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7E2D" w14:textId="77777777" w:rsidR="00386AEA" w:rsidRPr="00386AEA" w:rsidRDefault="00386AEA" w:rsidP="00386A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bookmarkStart w:id="0" w:name="OLE_LINK2"/>
      <w:r w:rsidRPr="00386AE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Executive Summary – NAC Architecture Strategy</w:t>
      </w:r>
    </w:p>
    <w:bookmarkEnd w:id="0"/>
    <w:p w14:paraId="0295397A" w14:textId="77777777" w:rsidR="00386AEA" w:rsidRPr="00386AEA" w:rsidRDefault="00386AEA" w:rsidP="0038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organization is implementing a </w:t>
      </w: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vendor</w:t>
      </w: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neutral, scalable Network Access Control (NAC) framework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purpose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built for wired LAN environments </w:t>
      </w: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without relying on 802.1X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This strategy enables strong, adaptive access control while minimizing operational risk, supporting existing infrastructure, and improving visibility across all device types—including IoT and OT systems.</w:t>
      </w:r>
    </w:p>
    <w:p w14:paraId="31CAA87B" w14:textId="77777777" w:rsidR="00386AEA" w:rsidRPr="00386AEA" w:rsidRDefault="00386AEA" w:rsidP="00386A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Strategic Objective</w:t>
      </w:r>
    </w:p>
    <w:p w14:paraId="46AE4223" w14:textId="77777777" w:rsidR="00386AEA" w:rsidRPr="00386AEA" w:rsidRDefault="00386AEA" w:rsidP="0038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Establish a unified, standards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 NAC capability that delivers:</w:t>
      </w:r>
    </w:p>
    <w:p w14:paraId="262C2630" w14:textId="77777777" w:rsidR="00386AEA" w:rsidRPr="00386AEA" w:rsidRDefault="00386AEA" w:rsidP="00386AE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Robust device identification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even without 802.1X</w:t>
      </w:r>
    </w:p>
    <w:p w14:paraId="06C1C161" w14:textId="77777777" w:rsidR="00386AEA" w:rsidRPr="00386AEA" w:rsidRDefault="00386AEA" w:rsidP="00386AE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Dynamic segmentation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limit risk and lateral movement</w:t>
      </w:r>
    </w:p>
    <w:p w14:paraId="522453B8" w14:textId="77777777" w:rsidR="00386AEA" w:rsidRPr="00386AEA" w:rsidRDefault="00386AEA" w:rsidP="00386AE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Consistent posture enforcement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corporate endpoints</w:t>
      </w:r>
    </w:p>
    <w:p w14:paraId="56AC9D7F" w14:textId="046B0CF8" w:rsidR="00386AEA" w:rsidRPr="00386AEA" w:rsidRDefault="00386AEA" w:rsidP="00386AE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Operationally safe rollout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aligned with governance and compliance requirements </w:t>
      </w:r>
    </w:p>
    <w:p w14:paraId="3723014E" w14:textId="77777777" w:rsidR="00386AEA" w:rsidRPr="00386AEA" w:rsidRDefault="00386AEA" w:rsidP="00386A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Core Architecture</w:t>
      </w:r>
    </w:p>
    <w:p w14:paraId="54F5E3F4" w14:textId="280C8C31" w:rsidR="00386AEA" w:rsidRPr="00386AEA" w:rsidRDefault="00386AEA" w:rsidP="0038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solution uses </w:t>
      </w: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MAC Authentication Bypass (MAB)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 the universal trigger for access decisions, enriched with device context from LLDP/CDP, MAC OUI data, switch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port indicators, historical behavior, and posture data for managed endpoints.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functions as the policy engine, performing device classification, posture assessment, and RADIUS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based VLAN and </w:t>
      </w:r>
      <w:proofErr w:type="spellStart"/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dACL</w:t>
      </w:r>
      <w:proofErr w:type="spellEnd"/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enforcement, including real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time change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of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authorization actions. This standards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based approach ensures vendor neutrality and avoids reliance on proprietary NAC features. </w:t>
      </w:r>
    </w:p>
    <w:p w14:paraId="7836E094" w14:textId="77777777" w:rsidR="00386AEA" w:rsidRPr="00386AEA" w:rsidRDefault="00386AEA" w:rsidP="00386A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Discovery &amp; Device Intelligence</w:t>
      </w:r>
    </w:p>
    <w:p w14:paraId="6C527EE8" w14:textId="59297F7C" w:rsidR="00386AEA" w:rsidRPr="00386AEA" w:rsidRDefault="00386AEA" w:rsidP="0038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discovery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led onboarding model gathers device intelligence using SSH collectors to read VLAN, MAC, ARP, and LLDP/CDP tables from switches. A scoring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based classification engine normalizes device data, enabling automated assignment into production, IoT/OT, remediation, or quarantine segments. This enables rapid onboarding, especially for IoT/OT assets where credentials or agents are not feasible. </w:t>
      </w:r>
    </w:p>
    <w:p w14:paraId="33DB6EC3" w14:textId="77777777" w:rsidR="00386AEA" w:rsidRPr="00386AEA" w:rsidRDefault="00386AEA" w:rsidP="00386A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Policy Framework</w:t>
      </w:r>
    </w:p>
    <w:p w14:paraId="0434F8A6" w14:textId="77777777" w:rsidR="00386AEA" w:rsidRPr="00386AEA" w:rsidRDefault="00386AEA" w:rsidP="00386AE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Managed Endpoints: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Must meet posture requirements (MDM, EDR, vulnerability state); receive production access with </w:t>
      </w:r>
      <w:proofErr w:type="spellStart"/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dACLs</w:t>
      </w:r>
      <w:proofErr w:type="spellEnd"/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otherwise routed to remediation.</w:t>
      </w:r>
    </w:p>
    <w:p w14:paraId="7F33A88E" w14:textId="77777777" w:rsidR="00386AEA" w:rsidRPr="00386AEA" w:rsidRDefault="00386AEA" w:rsidP="00386AE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IoT/OT Devices: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Segmented into dedicated VLANs with strict allowlists based on validated profiles.</w:t>
      </w:r>
    </w:p>
    <w:p w14:paraId="7BD64EE3" w14:textId="58C31A59" w:rsidR="00386AEA" w:rsidRPr="00386AEA" w:rsidRDefault="00386AEA" w:rsidP="00386AE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Unknown Devices: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Automatically placed into quarantine with ticket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driven registration.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ensures consistent security controls while reducing operational dependencies on identity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based authentication. </w:t>
      </w:r>
    </w:p>
    <w:p w14:paraId="679D4BAE" w14:textId="77777777" w:rsidR="00386AEA" w:rsidRPr="00386AEA" w:rsidRDefault="00386AEA" w:rsidP="00386A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Phased Rollout Plan</w:t>
      </w:r>
    </w:p>
    <w:p w14:paraId="186D3DBC" w14:textId="49D706B7" w:rsidR="00386AEA" w:rsidRPr="00386AEA" w:rsidRDefault="00386AEA" w:rsidP="0038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controlled, low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risk deployment model progresses from monitor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only to classification tuning, managed enforcement, IoT/OT enforcement, unknown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device lockdown, and ongoing optimization. Each phase includes clear backout paths and operational guardrails, ensuring minimal business disruption.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1E621E0" w14:textId="77777777" w:rsidR="00386AEA" w:rsidRPr="00386AEA" w:rsidRDefault="00386AEA" w:rsidP="00386A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Governance &amp; Operating Model</w:t>
      </w:r>
    </w:p>
    <w:p w14:paraId="64AE5A47" w14:textId="7CD48C03" w:rsidR="00386AEA" w:rsidRPr="00386AEA" w:rsidRDefault="00386AEA" w:rsidP="0038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Roles are clearly defined across Network Security, Network Operations, Endpoint Engineering, OT/Application owners, and GRC. A RACI framework ensures accountability across change control, enforcement activation, and support workflows. </w:t>
      </w:r>
    </w:p>
    <w:p w14:paraId="0FCA2FB6" w14:textId="77777777" w:rsidR="00386AEA" w:rsidRPr="00386AEA" w:rsidRDefault="00386AEA" w:rsidP="00386A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86AE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Key Outcomes</w:t>
      </w:r>
    </w:p>
    <w:p w14:paraId="5A950B65" w14:textId="77777777" w:rsidR="00386AEA" w:rsidRPr="00386AEA" w:rsidRDefault="00386AEA" w:rsidP="00386AE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Complete device visibility across the wired LAN</w:t>
      </w:r>
    </w:p>
    <w:p w14:paraId="22E2F6F6" w14:textId="77777777" w:rsidR="00386AEA" w:rsidRPr="00386AEA" w:rsidRDefault="00386AEA" w:rsidP="00386AE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NAC enforcement without the complexity of 802.1X</w:t>
      </w:r>
    </w:p>
    <w:p w14:paraId="782909F7" w14:textId="77777777" w:rsidR="00386AEA" w:rsidRPr="00386AEA" w:rsidRDefault="00386AEA" w:rsidP="00386AE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Faster IoT/OT onboarding through automated profiling</w:t>
      </w:r>
    </w:p>
    <w:p w14:paraId="59703753" w14:textId="77777777" w:rsidR="00386AEA" w:rsidRPr="00386AEA" w:rsidRDefault="00386AEA" w:rsidP="00386AE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Reduced lateral movement through segmentation and </w:t>
      </w:r>
      <w:proofErr w:type="spellStart"/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dACLs</w:t>
      </w:r>
      <w:proofErr w:type="spellEnd"/>
    </w:p>
    <w:p w14:paraId="410748E3" w14:textId="77777777" w:rsidR="00386AEA" w:rsidRPr="00386AEA" w:rsidRDefault="00386AEA" w:rsidP="00386AE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Consistent posture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 controls for corporate assets</w:t>
      </w:r>
    </w:p>
    <w:p w14:paraId="4F840F38" w14:textId="77777777" w:rsidR="00386AEA" w:rsidRPr="00386AEA" w:rsidRDefault="00386AEA" w:rsidP="00386AE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safe, governed, business</w:t>
      </w:r>
      <w:r w:rsidRPr="00386A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aligned rollout mode</w:t>
      </w:r>
    </w:p>
    <w:p w14:paraId="649F8CE6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3FF"/>
    <w:multiLevelType w:val="multilevel"/>
    <w:tmpl w:val="89AA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4C5D"/>
    <w:multiLevelType w:val="multilevel"/>
    <w:tmpl w:val="9F7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F5E9F"/>
    <w:multiLevelType w:val="multilevel"/>
    <w:tmpl w:val="A4D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072046">
    <w:abstractNumId w:val="2"/>
  </w:num>
  <w:num w:numId="2" w16cid:durableId="413547210">
    <w:abstractNumId w:val="1"/>
  </w:num>
  <w:num w:numId="3" w16cid:durableId="132921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EA"/>
    <w:rsid w:val="001D37EB"/>
    <w:rsid w:val="00386AEA"/>
    <w:rsid w:val="004F53FF"/>
    <w:rsid w:val="006A0D6D"/>
    <w:rsid w:val="00C927AD"/>
    <w:rsid w:val="00CF63BB"/>
    <w:rsid w:val="00F046C8"/>
    <w:rsid w:val="00F6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5491E"/>
  <w15:chartTrackingRefBased/>
  <w15:docId w15:val="{4C566264-D081-794D-89E6-31A95349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86AEA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386A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6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404</Words>
  <Characters>2716</Characters>
  <Application>Microsoft Office Word</Application>
  <DocSecurity>0</DocSecurity>
  <Lines>48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2</cp:revision>
  <dcterms:created xsi:type="dcterms:W3CDTF">2026-02-09T16:44:00Z</dcterms:created>
  <dcterms:modified xsi:type="dcterms:W3CDTF">2026-02-09T20:13:00Z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2026-02-09T19:45:28Z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748cc9be-c5b3-49b6-98d4-9572514f9554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