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Definition: NAC Deployment with Forescout and Cisco ISE</w:t>
      </w:r>
    </w:p>
    <w:p>
      <w:pPr>
        <w:pStyle w:val="Heading1"/>
      </w:pPr>
      <w:r>
        <w:t>1. User Journey / Story</w:t>
      </w:r>
    </w:p>
    <w:p>
      <w:r>
        <w:t>Persona: Network Security and Infrastructure Teams</w:t>
      </w:r>
    </w:p>
    <w:p>
      <w:r>
        <w:t>Scenario: Responsible for securing enterprise network access across wired, wireless, and VPN connections.</w:t>
      </w:r>
    </w:p>
    <w:p>
      <w:r>
        <w:t>Trigger: Increasing number of unmanaged and non-compliant devices accessing the network.</w:t>
      </w:r>
    </w:p>
    <w:p>
      <w:r>
        <w:t>Current Experience: Limited visibility into connected devices, manual enforcement of access policies, and inconsistent guest access control.</w:t>
      </w:r>
    </w:p>
    <w:p>
      <w:r>
        <w:t>Desired Experience: Automated device discovery, dynamic policy enforcement, posture assessment, and seamless integration with SIEM and endpoint protection platforms.</w:t>
      </w:r>
    </w:p>
    <w:p>
      <w:pPr>
        <w:pStyle w:val="Heading1"/>
      </w:pPr>
      <w:r>
        <w:t>2. Problem Hypothesis</w:t>
      </w:r>
    </w:p>
    <w:p>
      <w:r>
        <w:t>Statement: Lack of automated network access control increases security risks and operational overhead.</w:t>
      </w:r>
    </w:p>
    <w:p>
      <w:r>
        <w:t>Root Cause Analysis: Absence of centralized NAC solution with real-time visibility and enforcement capabilities.</w:t>
      </w:r>
    </w:p>
    <w:p>
      <w:r>
        <w:t>Impact Assessment: Increased risk of data breaches, non-compliance with security policies, and inefficient resource utilization.</w:t>
      </w:r>
    </w:p>
    <w:p>
      <w:pPr>
        <w:pStyle w:val="Heading1"/>
      </w:pPr>
      <w:r>
        <w:t>3. Solution Outcomes</w:t>
      </w:r>
    </w:p>
    <w:p>
      <w:r>
        <w:t>Proposed Solution: Deploy Forescout and Cisco ISE to enable device visibility, policy enforcement, guest access control, posture assessment, and integration with SIEM and endpoint protection platforms.</w:t>
      </w:r>
    </w:p>
    <w:p>
      <w:r>
        <w:t>Expected Benefits: Enhanced network security, reduced manual effort, improved compliance, and operational efficiency.</w:t>
      </w:r>
    </w:p>
    <w:p>
      <w:r>
        <w:t>Dependencies &amp; Constraints: Integration with existing network infrastructure, licensing costs, and training requirements.</w:t>
      </w:r>
    </w:p>
    <w:p>
      <w:pPr>
        <w:pStyle w:val="Heading2"/>
      </w:pPr>
      <w:r>
        <w:t>Continuous Asset Detection &amp; Classification</w:t>
      </w:r>
    </w:p>
    <w:p>
      <w:pPr>
        <w:pStyle w:val="ListBullet"/>
      </w:pPr>
      <w:r>
        <w:t>- Detects and categorizes all active assets</w:t>
      </w:r>
    </w:p>
    <w:p>
      <w:pPr>
        <w:pStyle w:val="ListBullet"/>
      </w:pPr>
      <w:r>
        <w:t>- Classifies assets by location and function</w:t>
      </w:r>
    </w:p>
    <w:p>
      <w:pPr>
        <w:pStyle w:val="ListBullet"/>
      </w:pPr>
      <w:r>
        <w:t>- ISE Profiling and integration with DNA Center or Stealthwatch</w:t>
      </w:r>
    </w:p>
    <w:p>
      <w:pPr>
        <w:pStyle w:val="Heading2"/>
      </w:pPr>
      <w:r>
        <w:t>Risk-Based Endpoint Control</w:t>
      </w:r>
    </w:p>
    <w:p>
      <w:pPr>
        <w:pStyle w:val="ListBullet"/>
      </w:pPr>
      <w:r>
        <w:t>- Policies isolate/control endpoints based on asset risk</w:t>
      </w:r>
    </w:p>
    <w:p>
      <w:pPr>
        <w:pStyle w:val="ListBullet"/>
      </w:pPr>
      <w:r>
        <w:t>- Device management via AD or SecureConnector</w:t>
      </w:r>
    </w:p>
    <w:p>
      <w:pPr>
        <w:pStyle w:val="ListBullet"/>
      </w:pPr>
      <w:r>
        <w:t>- ISE Adaptive Network Control (ANC) and Security Group Tags (SGTs)</w:t>
      </w:r>
    </w:p>
    <w:p>
      <w:pPr>
        <w:pStyle w:val="Heading2"/>
      </w:pPr>
      <w:r>
        <w:t>Enterprise Risk &amp; Compliance Reporting</w:t>
      </w:r>
    </w:p>
    <w:p>
      <w:pPr>
        <w:pStyle w:val="ListBullet"/>
      </w:pPr>
      <w:r>
        <w:t>- Production policies report on risk and compliance</w:t>
      </w:r>
    </w:p>
    <w:p>
      <w:pPr>
        <w:pStyle w:val="ListBullet"/>
      </w:pPr>
      <w:r>
        <w:t>- Automated inventory and assessments</w:t>
      </w:r>
    </w:p>
    <w:p>
      <w:pPr>
        <w:pStyle w:val="ListBullet"/>
      </w:pPr>
      <w:r>
        <w:t>- ISE pxGrid integration with SIEMs and vulnerability scanners</w:t>
      </w:r>
    </w:p>
    <w:p>
      <w:pPr>
        <w:pStyle w:val="Heading2"/>
      </w:pPr>
      <w:r>
        <w:t>Third-Party Risk Assessment (IoT/OT Focus)</w:t>
      </w:r>
    </w:p>
    <w:p>
      <w:pPr>
        <w:pStyle w:val="ListBullet"/>
      </w:pPr>
      <w:r>
        <w:t>- Identifies assets in critical areas</w:t>
      </w:r>
    </w:p>
    <w:p>
      <w:pPr>
        <w:pStyle w:val="ListBullet"/>
      </w:pPr>
      <w:r>
        <w:t>- Supports visibility into third-party and unmanaged devices</w:t>
      </w:r>
    </w:p>
    <w:p>
      <w:pPr>
        <w:pStyle w:val="ListBullet"/>
      </w:pPr>
      <w:r>
        <w:t>- ISE integration with Cyber Vision or ThousandEyes</w:t>
      </w:r>
    </w:p>
    <w:p>
      <w:pPr>
        <w:pStyle w:val="Heading2"/>
      </w:pPr>
      <w:r>
        <w:t>Unauthorized Asset Control</w:t>
      </w:r>
    </w:p>
    <w:p>
      <w:pPr>
        <w:pStyle w:val="ListBullet"/>
      </w:pPr>
      <w:r>
        <w:t>- Blocks unknown devices</w:t>
      </w:r>
    </w:p>
    <w:p>
      <w:pPr>
        <w:pStyle w:val="ListBullet"/>
      </w:pPr>
      <w:r>
        <w:t>- MAC Authentication Bypass (MAB) and Dynamic VLAN assignment</w:t>
      </w:r>
    </w:p>
    <w:p>
      <w:pPr>
        <w:pStyle w:val="ListBullet"/>
      </w:pPr>
      <w:r>
        <w:t>- ISE + TrustSec enforcement</w:t>
      </w:r>
    </w:p>
    <w:p>
      <w:pPr>
        <w:pStyle w:val="Heading1"/>
      </w:pPr>
      <w:r>
        <w:t>5. Business Value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Estimated Value</w:t>
            </w:r>
          </w:p>
        </w:tc>
      </w:tr>
      <w:tr>
        <w:tc>
          <w:tcPr>
            <w:tcW w:type="dxa" w:w="2880"/>
          </w:tcPr>
          <w:p>
            <w:r>
              <w:t>Risk Management</w:t>
            </w:r>
          </w:p>
        </w:tc>
        <w:tc>
          <w:tcPr>
            <w:tcW w:type="dxa" w:w="2880"/>
          </w:tcPr>
          <w:p>
            <w:r>
              <w:t>Improves visibility and control over network assets, reducing exposure to threats</w:t>
            </w:r>
          </w:p>
        </w:tc>
        <w:tc>
          <w:tcPr>
            <w:tcW w:type="dxa" w:w="2880"/>
          </w:tcPr>
          <w:p>
            <w:r>
              <w:t>60% reduction in unauthorized access incidents</w:t>
            </w:r>
          </w:p>
        </w:tc>
      </w:tr>
      <w:tr>
        <w:tc>
          <w:tcPr>
            <w:tcW w:type="dxa" w:w="2880"/>
          </w:tcPr>
          <w:p>
            <w:r>
              <w:t>Capital Investment</w:t>
            </w:r>
          </w:p>
        </w:tc>
        <w:tc>
          <w:tcPr>
            <w:tcW w:type="dxa" w:w="2880"/>
          </w:tcPr>
          <w:p>
            <w:r>
              <w:t>Costs for licensing, integration, and training for Forescout and Cisco ISE</w:t>
            </w:r>
          </w:p>
        </w:tc>
        <w:tc>
          <w:tcPr>
            <w:tcW w:type="dxa" w:w="2880"/>
          </w:tcPr>
          <w:p>
            <w:r>
              <w:t>$250K over 12 months</w:t>
            </w:r>
          </w:p>
        </w:tc>
      </w:tr>
      <w:tr>
        <w:tc>
          <w:tcPr>
            <w:tcW w:type="dxa" w:w="2880"/>
          </w:tcPr>
          <w:p>
            <w:r>
              <w:t>ROI</w:t>
            </w:r>
          </w:p>
        </w:tc>
        <w:tc>
          <w:tcPr>
            <w:tcW w:type="dxa" w:w="2880"/>
          </w:tcPr>
          <w:p>
            <w:r>
              <w:t>Operational efficiency and reduced breach costs</w:t>
            </w:r>
          </w:p>
        </w:tc>
        <w:tc>
          <w:tcPr>
            <w:tcW w:type="dxa" w:w="2880"/>
          </w:tcPr>
          <w:p>
            <w:r>
              <w:t>Payback in 12-18 months</w:t>
            </w:r>
          </w:p>
        </w:tc>
      </w:tr>
      <w:tr>
        <w:tc>
          <w:tcPr>
            <w:tcW w:type="dxa" w:w="2880"/>
          </w:tcPr>
          <w:p>
            <w:r>
              <w:t>Functional Value-Add</w:t>
            </w:r>
          </w:p>
        </w:tc>
        <w:tc>
          <w:tcPr>
            <w:tcW w:type="dxa" w:w="2880"/>
          </w:tcPr>
          <w:p>
            <w:r>
              <w:t>Supports secure access across enterprise and guest networks with automated enforcement</w:t>
            </w:r>
          </w:p>
        </w:tc>
        <w:tc>
          <w:tcPr>
            <w:tcW w:type="dxa" w:w="2880"/>
          </w:tcPr>
          <w:p>
            <w:r>
              <w:t>Improves user experience and compliance assurance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