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92B" w14:textId="1B4E4606" w:rsidR="008C3716" w:rsidRDefault="00000000">
      <w:pPr>
        <w:pStyle w:val="Title"/>
      </w:pPr>
      <w:r>
        <w:t>Problem Definition Statements</w:t>
      </w:r>
      <w:r w:rsidR="0057498D">
        <w:t xml:space="preserve"> for Cisco NAC</w:t>
      </w:r>
      <w:r>
        <w:t xml:space="preserve"> Deployment</w:t>
      </w:r>
    </w:p>
    <w:p w14:paraId="772659F7" w14:textId="2CBF4D63" w:rsidR="008C3716" w:rsidRDefault="00000000">
      <w:pPr>
        <w:pStyle w:val="Heading1"/>
      </w:pPr>
      <w:r>
        <w:t>Cisco ISE NAC Deployment</w:t>
      </w:r>
    </w:p>
    <w:p w14:paraId="1556527E" w14:textId="77777777" w:rsidR="008C3716" w:rsidRDefault="00000000">
      <w:pPr>
        <w:pStyle w:val="Heading2"/>
      </w:pPr>
      <w:r>
        <w:t>User Stories</w:t>
      </w:r>
    </w:p>
    <w:p w14:paraId="2BA765B2" w14:textId="77777777" w:rsidR="008C3716" w:rsidRDefault="00000000">
      <w:r>
        <w:t>Corporate Office Users: BYOD devices connect to a guest network with internet-only access. Managed devices that meet compliance checks connect to the corporate network. Non-compliant devices are redirected to the guest network for remediation. Compromised devices are isolated with no network connectivity.</w:t>
      </w:r>
    </w:p>
    <w:p w14:paraId="4FF520CD" w14:textId="77777777" w:rsidR="008C3716" w:rsidRDefault="00000000">
      <w:r>
        <w:t>Warehouse IoT/OT Devices: Device classes are predefined. Compliant devices connect to their dedicated segment. Undefined or non-compliant devices are isolated. All BYOD devices must authenticate via a captive portal using guest or AD credentials.</w:t>
      </w:r>
    </w:p>
    <w:p w14:paraId="09F828B9" w14:textId="77777777" w:rsidR="008C3716" w:rsidRDefault="00000000">
      <w:pPr>
        <w:pStyle w:val="Heading2"/>
      </w:pPr>
      <w:r>
        <w:t>Problem Hypothesis</w:t>
      </w:r>
    </w:p>
    <w:p w14:paraId="103F094B" w14:textId="77777777" w:rsidR="008C3716" w:rsidRDefault="00000000">
      <w:r>
        <w:t>Without dynamic access control and profiling, the network is vulnerable to unauthorized access and lacks visibility into device posture and classification. This includes risks from external bad actors and internal employees connecting unauthorized computers and IoT devices to the corporate network, potentially bypassing security controls.</w:t>
      </w:r>
    </w:p>
    <w:p w14:paraId="5D542BAE" w14:textId="77777777" w:rsidR="008C3716" w:rsidRDefault="00000000">
      <w:pPr>
        <w:pStyle w:val="Heading2"/>
      </w:pPr>
      <w:r>
        <w:t>Solution Outcomes</w:t>
      </w:r>
    </w:p>
    <w:p w14:paraId="011C9D36" w14:textId="77777777" w:rsidR="008C3716" w:rsidRDefault="00000000">
      <w:r>
        <w:t>Deploy Cisco ISE to implement profiling, adaptive network control, posture assessment, and integration with captive portals and AD. Use SGTs and TrustSec for policy enforcement and segmentation.</w:t>
      </w:r>
    </w:p>
    <w:p w14:paraId="41C7E2C7" w14:textId="77777777" w:rsidR="008C3716" w:rsidRDefault="00000000">
      <w:pPr>
        <w:pStyle w:val="Heading2"/>
      </w:pPr>
      <w:r>
        <w:t>Key Performance Indicators (KPIs)</w:t>
      </w:r>
    </w:p>
    <w:tbl>
      <w:tblPr>
        <w:tblStyle w:val="TableGrid"/>
        <w:tblW w:w="0" w:type="auto"/>
        <w:tblLook w:val="04A0" w:firstRow="1" w:lastRow="0" w:firstColumn="1" w:lastColumn="0" w:noHBand="0" w:noVBand="1"/>
      </w:tblPr>
      <w:tblGrid>
        <w:gridCol w:w="1728"/>
        <w:gridCol w:w="1727"/>
        <w:gridCol w:w="1725"/>
        <w:gridCol w:w="1724"/>
        <w:gridCol w:w="1726"/>
      </w:tblGrid>
      <w:tr w:rsidR="008C3716" w14:paraId="77261451" w14:textId="77777777">
        <w:tc>
          <w:tcPr>
            <w:tcW w:w="1728" w:type="dxa"/>
          </w:tcPr>
          <w:p w14:paraId="2C53D50C" w14:textId="77777777" w:rsidR="008C3716" w:rsidRDefault="00000000">
            <w:r>
              <w:t>KPI Name</w:t>
            </w:r>
          </w:p>
        </w:tc>
        <w:tc>
          <w:tcPr>
            <w:tcW w:w="1728" w:type="dxa"/>
          </w:tcPr>
          <w:p w14:paraId="2720E9C1" w14:textId="77777777" w:rsidR="008C3716" w:rsidRDefault="00000000">
            <w:r>
              <w:t>Description</w:t>
            </w:r>
          </w:p>
        </w:tc>
        <w:tc>
          <w:tcPr>
            <w:tcW w:w="1728" w:type="dxa"/>
          </w:tcPr>
          <w:p w14:paraId="34B45406" w14:textId="77777777" w:rsidR="008C3716" w:rsidRDefault="00000000">
            <w:r>
              <w:t>Baseline</w:t>
            </w:r>
          </w:p>
        </w:tc>
        <w:tc>
          <w:tcPr>
            <w:tcW w:w="1728" w:type="dxa"/>
          </w:tcPr>
          <w:p w14:paraId="05084BE4" w14:textId="77777777" w:rsidR="008C3716" w:rsidRDefault="00000000">
            <w:r>
              <w:t>Target</w:t>
            </w:r>
          </w:p>
        </w:tc>
        <w:tc>
          <w:tcPr>
            <w:tcW w:w="1728" w:type="dxa"/>
          </w:tcPr>
          <w:p w14:paraId="2A5417E9" w14:textId="77777777" w:rsidR="008C3716" w:rsidRDefault="00000000">
            <w:r>
              <w:t>Frequency</w:t>
            </w:r>
          </w:p>
        </w:tc>
      </w:tr>
      <w:tr w:rsidR="008C3716" w14:paraId="5719DBB5" w14:textId="77777777">
        <w:tc>
          <w:tcPr>
            <w:tcW w:w="1728" w:type="dxa"/>
          </w:tcPr>
          <w:p w14:paraId="0AE65CFE" w14:textId="77777777" w:rsidR="008C3716" w:rsidRDefault="00000000">
            <w:r>
              <w:t>Profiling Accuracy</w:t>
            </w:r>
          </w:p>
        </w:tc>
        <w:tc>
          <w:tcPr>
            <w:tcW w:w="1728" w:type="dxa"/>
          </w:tcPr>
          <w:p w14:paraId="428A2F99" w14:textId="77777777" w:rsidR="008C3716" w:rsidRDefault="00000000">
            <w:r>
              <w:t>Correct endpoint classification</w:t>
            </w:r>
          </w:p>
        </w:tc>
        <w:tc>
          <w:tcPr>
            <w:tcW w:w="1728" w:type="dxa"/>
          </w:tcPr>
          <w:p w14:paraId="4A50EAAE" w14:textId="77777777" w:rsidR="008C3716" w:rsidRDefault="00000000">
            <w:r>
              <w:t>60%</w:t>
            </w:r>
          </w:p>
        </w:tc>
        <w:tc>
          <w:tcPr>
            <w:tcW w:w="1728" w:type="dxa"/>
          </w:tcPr>
          <w:p w14:paraId="1D47F6D8" w14:textId="77777777" w:rsidR="008C3716" w:rsidRDefault="00000000">
            <w:r>
              <w:t>95%</w:t>
            </w:r>
          </w:p>
        </w:tc>
        <w:tc>
          <w:tcPr>
            <w:tcW w:w="1728" w:type="dxa"/>
          </w:tcPr>
          <w:p w14:paraId="6CD589F1" w14:textId="77777777" w:rsidR="008C3716" w:rsidRDefault="00000000">
            <w:r>
              <w:t>Monthly</w:t>
            </w:r>
          </w:p>
        </w:tc>
      </w:tr>
      <w:tr w:rsidR="008C3716" w14:paraId="66A3B17B" w14:textId="77777777">
        <w:tc>
          <w:tcPr>
            <w:tcW w:w="1728" w:type="dxa"/>
          </w:tcPr>
          <w:p w14:paraId="160EA405" w14:textId="77777777" w:rsidR="008C3716" w:rsidRDefault="00000000">
            <w:r>
              <w:t>Policy Enforcement Rate</w:t>
            </w:r>
          </w:p>
        </w:tc>
        <w:tc>
          <w:tcPr>
            <w:tcW w:w="1728" w:type="dxa"/>
          </w:tcPr>
          <w:p w14:paraId="4AB7118F" w14:textId="77777777" w:rsidR="008C3716" w:rsidRDefault="00000000">
            <w:r>
              <w:t>Rate of successful policy application</w:t>
            </w:r>
          </w:p>
        </w:tc>
        <w:tc>
          <w:tcPr>
            <w:tcW w:w="1728" w:type="dxa"/>
          </w:tcPr>
          <w:p w14:paraId="6C296833" w14:textId="77777777" w:rsidR="008C3716" w:rsidRDefault="00000000">
            <w:r>
              <w:t>70%</w:t>
            </w:r>
          </w:p>
        </w:tc>
        <w:tc>
          <w:tcPr>
            <w:tcW w:w="1728" w:type="dxa"/>
          </w:tcPr>
          <w:p w14:paraId="0B8F50C9" w14:textId="77777777" w:rsidR="008C3716" w:rsidRDefault="00000000">
            <w:r>
              <w:t>98%</w:t>
            </w:r>
          </w:p>
        </w:tc>
        <w:tc>
          <w:tcPr>
            <w:tcW w:w="1728" w:type="dxa"/>
          </w:tcPr>
          <w:p w14:paraId="141AE3D9" w14:textId="77777777" w:rsidR="008C3716" w:rsidRDefault="00000000">
            <w:r>
              <w:t>Monthly</w:t>
            </w:r>
          </w:p>
        </w:tc>
      </w:tr>
      <w:tr w:rsidR="008C3716" w14:paraId="29A41B71" w14:textId="77777777">
        <w:tc>
          <w:tcPr>
            <w:tcW w:w="1728" w:type="dxa"/>
          </w:tcPr>
          <w:p w14:paraId="30DC979F" w14:textId="77777777" w:rsidR="008C3716" w:rsidRDefault="00000000">
            <w:r>
              <w:t>Guest Access Authentication</w:t>
            </w:r>
          </w:p>
        </w:tc>
        <w:tc>
          <w:tcPr>
            <w:tcW w:w="1728" w:type="dxa"/>
          </w:tcPr>
          <w:p w14:paraId="19B183BC" w14:textId="77777777" w:rsidR="008C3716" w:rsidRDefault="00000000">
            <w:r>
              <w:t>Successful captive portal logins</w:t>
            </w:r>
          </w:p>
        </w:tc>
        <w:tc>
          <w:tcPr>
            <w:tcW w:w="1728" w:type="dxa"/>
          </w:tcPr>
          <w:p w14:paraId="4A177606" w14:textId="77777777" w:rsidR="008C3716" w:rsidRDefault="00000000">
            <w:r>
              <w:t>75%</w:t>
            </w:r>
          </w:p>
        </w:tc>
        <w:tc>
          <w:tcPr>
            <w:tcW w:w="1728" w:type="dxa"/>
          </w:tcPr>
          <w:p w14:paraId="01179CE6" w14:textId="77777777" w:rsidR="008C3716" w:rsidRDefault="00000000">
            <w:r>
              <w:t>99%</w:t>
            </w:r>
          </w:p>
        </w:tc>
        <w:tc>
          <w:tcPr>
            <w:tcW w:w="1728" w:type="dxa"/>
          </w:tcPr>
          <w:p w14:paraId="01EAD96F" w14:textId="77777777" w:rsidR="008C3716" w:rsidRDefault="00000000">
            <w:r>
              <w:t>Monthly</w:t>
            </w:r>
          </w:p>
        </w:tc>
      </w:tr>
    </w:tbl>
    <w:p w14:paraId="17BD9229" w14:textId="77777777" w:rsidR="008C3716" w:rsidRDefault="00000000">
      <w:pPr>
        <w:pStyle w:val="Heading2"/>
      </w:pPr>
      <w:r>
        <w:t>Service Level Agreements (SLAs)</w:t>
      </w:r>
    </w:p>
    <w:tbl>
      <w:tblPr>
        <w:tblStyle w:val="TableGrid"/>
        <w:tblW w:w="0" w:type="auto"/>
        <w:tblLook w:val="04A0" w:firstRow="1" w:lastRow="0" w:firstColumn="1" w:lastColumn="0" w:noHBand="0" w:noVBand="1"/>
      </w:tblPr>
      <w:tblGrid>
        <w:gridCol w:w="2159"/>
        <w:gridCol w:w="2157"/>
        <w:gridCol w:w="2157"/>
        <w:gridCol w:w="2157"/>
      </w:tblGrid>
      <w:tr w:rsidR="008C3716" w14:paraId="5616F367" w14:textId="77777777">
        <w:tc>
          <w:tcPr>
            <w:tcW w:w="2160" w:type="dxa"/>
          </w:tcPr>
          <w:p w14:paraId="5E9CDA64" w14:textId="77777777" w:rsidR="008C3716" w:rsidRDefault="00000000">
            <w:r>
              <w:t>SLA Metric</w:t>
            </w:r>
          </w:p>
        </w:tc>
        <w:tc>
          <w:tcPr>
            <w:tcW w:w="2160" w:type="dxa"/>
          </w:tcPr>
          <w:p w14:paraId="427305F5" w14:textId="77777777" w:rsidR="008C3716" w:rsidRDefault="00000000">
            <w:r>
              <w:t>Definition</w:t>
            </w:r>
          </w:p>
        </w:tc>
        <w:tc>
          <w:tcPr>
            <w:tcW w:w="2160" w:type="dxa"/>
          </w:tcPr>
          <w:p w14:paraId="51B85F25" w14:textId="77777777" w:rsidR="008C3716" w:rsidRDefault="00000000">
            <w:r>
              <w:t>Threshold</w:t>
            </w:r>
          </w:p>
        </w:tc>
        <w:tc>
          <w:tcPr>
            <w:tcW w:w="2160" w:type="dxa"/>
          </w:tcPr>
          <w:p w14:paraId="2926F1CC" w14:textId="77777777" w:rsidR="008C3716" w:rsidRDefault="00000000">
            <w:r>
              <w:t>Escalation</w:t>
            </w:r>
          </w:p>
        </w:tc>
      </w:tr>
      <w:tr w:rsidR="008C3716" w14:paraId="6A0D8AE4" w14:textId="77777777">
        <w:tc>
          <w:tcPr>
            <w:tcW w:w="2160" w:type="dxa"/>
          </w:tcPr>
          <w:p w14:paraId="49849D85" w14:textId="77777777" w:rsidR="008C3716" w:rsidRDefault="00000000">
            <w:r>
              <w:lastRenderedPageBreak/>
              <w:t>Policy Application Time</w:t>
            </w:r>
          </w:p>
        </w:tc>
        <w:tc>
          <w:tcPr>
            <w:tcW w:w="2160" w:type="dxa"/>
          </w:tcPr>
          <w:p w14:paraId="7F9BCEC1" w14:textId="77777777" w:rsidR="008C3716" w:rsidRDefault="00000000">
            <w:r>
              <w:t>Time to apply access policy</w:t>
            </w:r>
          </w:p>
        </w:tc>
        <w:tc>
          <w:tcPr>
            <w:tcW w:w="2160" w:type="dxa"/>
          </w:tcPr>
          <w:p w14:paraId="1757C158" w14:textId="77777777" w:rsidR="008C3716" w:rsidRDefault="00000000">
            <w:r>
              <w:t>&lt; 10 min</w:t>
            </w:r>
          </w:p>
        </w:tc>
        <w:tc>
          <w:tcPr>
            <w:tcW w:w="2160" w:type="dxa"/>
          </w:tcPr>
          <w:p w14:paraId="1CA110C8" w14:textId="77777777" w:rsidR="008C3716" w:rsidRDefault="00000000">
            <w:r>
              <w:t>Notify network operations</w:t>
            </w:r>
          </w:p>
        </w:tc>
      </w:tr>
      <w:tr w:rsidR="008C3716" w14:paraId="2ACE550D" w14:textId="77777777">
        <w:tc>
          <w:tcPr>
            <w:tcW w:w="2160" w:type="dxa"/>
          </w:tcPr>
          <w:p w14:paraId="24963C8C" w14:textId="77777777" w:rsidR="008C3716" w:rsidRDefault="00000000">
            <w:r>
              <w:t>Guest Provisioning Time</w:t>
            </w:r>
          </w:p>
        </w:tc>
        <w:tc>
          <w:tcPr>
            <w:tcW w:w="2160" w:type="dxa"/>
          </w:tcPr>
          <w:p w14:paraId="329D9A08" w14:textId="77777777" w:rsidR="008C3716" w:rsidRDefault="00000000">
            <w:r>
              <w:t>Time to provision guest access</w:t>
            </w:r>
          </w:p>
        </w:tc>
        <w:tc>
          <w:tcPr>
            <w:tcW w:w="2160" w:type="dxa"/>
          </w:tcPr>
          <w:p w14:paraId="632AF035" w14:textId="77777777" w:rsidR="008C3716" w:rsidRDefault="00000000">
            <w:r>
              <w:t>&lt; 2 min</w:t>
            </w:r>
          </w:p>
        </w:tc>
        <w:tc>
          <w:tcPr>
            <w:tcW w:w="2160" w:type="dxa"/>
          </w:tcPr>
          <w:p w14:paraId="014E1027" w14:textId="77777777" w:rsidR="008C3716" w:rsidRDefault="00000000">
            <w:r>
              <w:t>Escalate to helpdesk</w:t>
            </w:r>
          </w:p>
        </w:tc>
      </w:tr>
    </w:tbl>
    <w:p w14:paraId="48A1A5FF" w14:textId="77777777" w:rsidR="008C3716" w:rsidRDefault="00000000">
      <w:pPr>
        <w:pStyle w:val="Heading2"/>
      </w:pPr>
      <w:r>
        <w:t>Executive Summary</w:t>
      </w:r>
    </w:p>
    <w:p w14:paraId="7C69F78B" w14:textId="77777777" w:rsidR="008C3716" w:rsidRDefault="00000000">
      <w:r>
        <w:t>Cisco ISE was chosen for its robust profiling, adaptive access control, and integration with Cisco's broader security ecosystem. It supports dynamic policy enforcement using Security Group Tags and TrustSec, and provides seamless integration with AD and captive portals. Cisco ISE enables Zero Trust access across wired, wireless, and VPN connections, and integrates with DNA Center and pxGrid for enhanced visibility and threat response. Its value lies in scalable endpoint classification, secure segmentation, and compliance assurance. Additionally, Cisco ISE helps mitigate risks posed by unauthorized device connections from both external threats and internal misuse, ensuring only compliant and authenticated devices gain access. [Source: https://www.cisco.com/c/en/us/products/security/identity-services-engine/index.html]</w:t>
      </w:r>
    </w:p>
    <w:sectPr w:rsidR="008C3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94430">
    <w:abstractNumId w:val="8"/>
  </w:num>
  <w:num w:numId="2" w16cid:durableId="1342390766">
    <w:abstractNumId w:val="6"/>
  </w:num>
  <w:num w:numId="3" w16cid:durableId="1071276451">
    <w:abstractNumId w:val="5"/>
  </w:num>
  <w:num w:numId="4" w16cid:durableId="1357274283">
    <w:abstractNumId w:val="4"/>
  </w:num>
  <w:num w:numId="5" w16cid:durableId="739063176">
    <w:abstractNumId w:val="7"/>
  </w:num>
  <w:num w:numId="6" w16cid:durableId="1053115277">
    <w:abstractNumId w:val="3"/>
  </w:num>
  <w:num w:numId="7" w16cid:durableId="1780102426">
    <w:abstractNumId w:val="2"/>
  </w:num>
  <w:num w:numId="8" w16cid:durableId="843402741">
    <w:abstractNumId w:val="1"/>
  </w:num>
  <w:num w:numId="9" w16cid:durableId="89196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5C9"/>
    <w:rsid w:val="0029639D"/>
    <w:rsid w:val="00326F90"/>
    <w:rsid w:val="0057498D"/>
    <w:rsid w:val="006277C8"/>
    <w:rsid w:val="00896A03"/>
    <w:rsid w:val="008C3716"/>
    <w:rsid w:val="00AA1D8D"/>
    <w:rsid w:val="00B47730"/>
    <w:rsid w:val="00C07392"/>
    <w:rsid w:val="00CB0664"/>
    <w:rsid w:val="00E068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4903"/>
  <w14:defaultImageDpi w14:val="300"/>
  <w15:docId w15:val="{29E3129C-6FAA-1A4C-8F3C-C8B992EE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2</cp:revision>
  <dcterms:created xsi:type="dcterms:W3CDTF">2025-09-03T12:56:00Z</dcterms:created>
  <dcterms:modified xsi:type="dcterms:W3CDTF">2025-09-03T12:56:00Z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2025-09-03T12:48:27Z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57ce8c03-ddae-4094-bcc6-935253f71b6b</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