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92B" w14:textId="69A22B2F" w:rsidR="008C3716" w:rsidRDefault="00000000">
      <w:pPr>
        <w:pStyle w:val="Title"/>
      </w:pPr>
      <w:r>
        <w:t>Problem Definition Statement</w:t>
      </w:r>
      <w:r w:rsidR="00A10CDC">
        <w:t xml:space="preserve"> for Forescout</w:t>
      </w:r>
      <w:r>
        <w:t xml:space="preserve"> NAC Deployment</w:t>
      </w:r>
    </w:p>
    <w:p w14:paraId="771BBDD6" w14:textId="1B6E3FD3" w:rsidR="008C3716" w:rsidRDefault="00000000">
      <w:pPr>
        <w:pStyle w:val="Heading1"/>
      </w:pPr>
      <w:r>
        <w:t>Forescout NAC Deployment</w:t>
      </w:r>
    </w:p>
    <w:p w14:paraId="7E4EA510" w14:textId="77777777" w:rsidR="008C3716" w:rsidRDefault="00000000">
      <w:pPr>
        <w:pStyle w:val="Heading2"/>
      </w:pPr>
      <w:r>
        <w:t>User Stories</w:t>
      </w:r>
    </w:p>
    <w:p w14:paraId="2A1F4D6D" w14:textId="77777777" w:rsidR="008C3716" w:rsidRDefault="00000000">
      <w:r>
        <w:t>Corporate Office Users: BYOD devices connect to a guest network with internet-only access. Managed devices that meet compliance checks connect to the corporate network. Non-compliant devices are redirected to the guest network for remediation. Compromised devices are isolated with no network connectivity.</w:t>
      </w:r>
    </w:p>
    <w:p w14:paraId="0DEA16C2" w14:textId="77777777" w:rsidR="008C3716" w:rsidRDefault="00000000">
      <w:r>
        <w:t>Warehouse IoT/OT Devices: Device classes are predefined. Compliant devices connect to their dedicated segment. Undefined or non-compliant devices are isolated. All BYOD devices must authenticate via a captive portal using guest or AD credentials.</w:t>
      </w:r>
    </w:p>
    <w:p w14:paraId="6877C0E1" w14:textId="77777777" w:rsidR="008C3716" w:rsidRDefault="00000000">
      <w:pPr>
        <w:pStyle w:val="Heading2"/>
      </w:pPr>
      <w:r>
        <w:t>Problem Hypothesis</w:t>
      </w:r>
    </w:p>
    <w:p w14:paraId="552F5E9D" w14:textId="77777777" w:rsidR="008C3716" w:rsidRDefault="00000000">
      <w:r>
        <w:t>Lack of centralized visibility and control over diverse device types across corporate offices and distribution centers increases security risks and operational complexity. This includes threats from external attackers and internal employees who may connect unauthorized computers or IoT devices to the network, creating potential vulnerabilities.</w:t>
      </w:r>
    </w:p>
    <w:p w14:paraId="154D95F0" w14:textId="77777777" w:rsidR="008C3716" w:rsidRDefault="00000000">
      <w:pPr>
        <w:pStyle w:val="Heading2"/>
      </w:pPr>
      <w:r>
        <w:t>Solution Outcomes</w:t>
      </w:r>
    </w:p>
    <w:p w14:paraId="5C7DD70D" w14:textId="77777777" w:rsidR="008C3716" w:rsidRDefault="00000000">
      <w:r>
        <w:t>Deploy Forescout to enable continuous asset detection, risk-based endpoint control, compliance reporting, and third-party device visibility. Automate policy enforcement and integrate with AD and captive portals for authentication.</w:t>
      </w:r>
    </w:p>
    <w:p w14:paraId="62AFF6C5" w14:textId="77777777" w:rsidR="008C3716" w:rsidRDefault="00000000">
      <w:pPr>
        <w:pStyle w:val="Heading2"/>
      </w:pPr>
      <w:r>
        <w:t>Key Performance Indicators (KPIs)</w:t>
      </w:r>
    </w:p>
    <w:tbl>
      <w:tblPr>
        <w:tblStyle w:val="TableGrid"/>
        <w:tblW w:w="0" w:type="auto"/>
        <w:tblLook w:val="04A0" w:firstRow="1" w:lastRow="0" w:firstColumn="1" w:lastColumn="0" w:noHBand="0" w:noVBand="1"/>
      </w:tblPr>
      <w:tblGrid>
        <w:gridCol w:w="1728"/>
        <w:gridCol w:w="1727"/>
        <w:gridCol w:w="1725"/>
        <w:gridCol w:w="1724"/>
        <w:gridCol w:w="1726"/>
      </w:tblGrid>
      <w:tr w:rsidR="008C3716" w14:paraId="626A04BC" w14:textId="77777777">
        <w:tc>
          <w:tcPr>
            <w:tcW w:w="1728" w:type="dxa"/>
          </w:tcPr>
          <w:p w14:paraId="139AD6BC" w14:textId="77777777" w:rsidR="008C3716" w:rsidRDefault="00000000">
            <w:r>
              <w:t>KPI Name</w:t>
            </w:r>
          </w:p>
        </w:tc>
        <w:tc>
          <w:tcPr>
            <w:tcW w:w="1728" w:type="dxa"/>
          </w:tcPr>
          <w:p w14:paraId="362CA4BE" w14:textId="77777777" w:rsidR="008C3716" w:rsidRDefault="00000000">
            <w:r>
              <w:t>Description</w:t>
            </w:r>
          </w:p>
        </w:tc>
        <w:tc>
          <w:tcPr>
            <w:tcW w:w="1728" w:type="dxa"/>
          </w:tcPr>
          <w:p w14:paraId="69B8DA92" w14:textId="77777777" w:rsidR="008C3716" w:rsidRDefault="00000000">
            <w:r>
              <w:t>Baseline</w:t>
            </w:r>
          </w:p>
        </w:tc>
        <w:tc>
          <w:tcPr>
            <w:tcW w:w="1728" w:type="dxa"/>
          </w:tcPr>
          <w:p w14:paraId="73A6132A" w14:textId="77777777" w:rsidR="008C3716" w:rsidRDefault="00000000">
            <w:r>
              <w:t>Target</w:t>
            </w:r>
          </w:p>
        </w:tc>
        <w:tc>
          <w:tcPr>
            <w:tcW w:w="1728" w:type="dxa"/>
          </w:tcPr>
          <w:p w14:paraId="453A2353" w14:textId="77777777" w:rsidR="008C3716" w:rsidRDefault="00000000">
            <w:r>
              <w:t>Frequency</w:t>
            </w:r>
          </w:p>
        </w:tc>
      </w:tr>
      <w:tr w:rsidR="008C3716" w14:paraId="5F01E8A4" w14:textId="77777777">
        <w:tc>
          <w:tcPr>
            <w:tcW w:w="1728" w:type="dxa"/>
          </w:tcPr>
          <w:p w14:paraId="18449B7B" w14:textId="77777777" w:rsidR="008C3716" w:rsidRDefault="00000000">
            <w:r>
              <w:t>Device Compliance Rate</w:t>
            </w:r>
          </w:p>
        </w:tc>
        <w:tc>
          <w:tcPr>
            <w:tcW w:w="1728" w:type="dxa"/>
          </w:tcPr>
          <w:p w14:paraId="1B0D88D7" w14:textId="77777777" w:rsidR="008C3716" w:rsidRDefault="00000000">
            <w:r>
              <w:t>Percentage of managed devices meeting compliance</w:t>
            </w:r>
          </w:p>
        </w:tc>
        <w:tc>
          <w:tcPr>
            <w:tcW w:w="1728" w:type="dxa"/>
          </w:tcPr>
          <w:p w14:paraId="71475AB2" w14:textId="77777777" w:rsidR="008C3716" w:rsidRDefault="00000000">
            <w:r>
              <w:t>65%</w:t>
            </w:r>
          </w:p>
        </w:tc>
        <w:tc>
          <w:tcPr>
            <w:tcW w:w="1728" w:type="dxa"/>
          </w:tcPr>
          <w:p w14:paraId="596F6083" w14:textId="77777777" w:rsidR="008C3716" w:rsidRDefault="00000000">
            <w:r>
              <w:t>95%</w:t>
            </w:r>
          </w:p>
        </w:tc>
        <w:tc>
          <w:tcPr>
            <w:tcW w:w="1728" w:type="dxa"/>
          </w:tcPr>
          <w:p w14:paraId="20D6798D" w14:textId="77777777" w:rsidR="008C3716" w:rsidRDefault="00000000">
            <w:r>
              <w:t>Monthly</w:t>
            </w:r>
          </w:p>
        </w:tc>
      </w:tr>
      <w:tr w:rsidR="008C3716" w14:paraId="655A2A97" w14:textId="77777777">
        <w:tc>
          <w:tcPr>
            <w:tcW w:w="1728" w:type="dxa"/>
          </w:tcPr>
          <w:p w14:paraId="6746D449" w14:textId="77777777" w:rsidR="008C3716" w:rsidRDefault="00000000">
            <w:r>
              <w:t>Guest Authentication Success</w:t>
            </w:r>
          </w:p>
        </w:tc>
        <w:tc>
          <w:tcPr>
            <w:tcW w:w="1728" w:type="dxa"/>
          </w:tcPr>
          <w:p w14:paraId="234AE643" w14:textId="77777777" w:rsidR="008C3716" w:rsidRDefault="00000000">
            <w:r>
              <w:t>Rate of successful captive portal logins</w:t>
            </w:r>
          </w:p>
        </w:tc>
        <w:tc>
          <w:tcPr>
            <w:tcW w:w="1728" w:type="dxa"/>
          </w:tcPr>
          <w:p w14:paraId="0B7067D8" w14:textId="77777777" w:rsidR="008C3716" w:rsidRDefault="00000000">
            <w:r>
              <w:t>70%</w:t>
            </w:r>
          </w:p>
        </w:tc>
        <w:tc>
          <w:tcPr>
            <w:tcW w:w="1728" w:type="dxa"/>
          </w:tcPr>
          <w:p w14:paraId="724C723A" w14:textId="77777777" w:rsidR="008C3716" w:rsidRDefault="00000000">
            <w:r>
              <w:t>98%</w:t>
            </w:r>
          </w:p>
        </w:tc>
        <w:tc>
          <w:tcPr>
            <w:tcW w:w="1728" w:type="dxa"/>
          </w:tcPr>
          <w:p w14:paraId="79C71414" w14:textId="77777777" w:rsidR="008C3716" w:rsidRDefault="00000000">
            <w:r>
              <w:t>Monthly</w:t>
            </w:r>
          </w:p>
        </w:tc>
      </w:tr>
      <w:tr w:rsidR="008C3716" w14:paraId="3F4A2E97" w14:textId="77777777">
        <w:tc>
          <w:tcPr>
            <w:tcW w:w="1728" w:type="dxa"/>
          </w:tcPr>
          <w:p w14:paraId="4F20CF47" w14:textId="77777777" w:rsidR="008C3716" w:rsidRDefault="00000000">
            <w:r>
              <w:t>IoT/OT Classification Accuracy</w:t>
            </w:r>
          </w:p>
        </w:tc>
        <w:tc>
          <w:tcPr>
            <w:tcW w:w="1728" w:type="dxa"/>
          </w:tcPr>
          <w:p w14:paraId="38BCAA44" w14:textId="77777777" w:rsidR="008C3716" w:rsidRDefault="00000000">
            <w:r>
              <w:t>Correct classification of IoT/OT devices</w:t>
            </w:r>
          </w:p>
        </w:tc>
        <w:tc>
          <w:tcPr>
            <w:tcW w:w="1728" w:type="dxa"/>
          </w:tcPr>
          <w:p w14:paraId="38DCB384" w14:textId="77777777" w:rsidR="008C3716" w:rsidRDefault="00000000">
            <w:r>
              <w:t>60%</w:t>
            </w:r>
          </w:p>
        </w:tc>
        <w:tc>
          <w:tcPr>
            <w:tcW w:w="1728" w:type="dxa"/>
          </w:tcPr>
          <w:p w14:paraId="05DFAD5E" w14:textId="77777777" w:rsidR="008C3716" w:rsidRDefault="00000000">
            <w:r>
              <w:t>90%</w:t>
            </w:r>
          </w:p>
        </w:tc>
        <w:tc>
          <w:tcPr>
            <w:tcW w:w="1728" w:type="dxa"/>
          </w:tcPr>
          <w:p w14:paraId="710A9D87" w14:textId="77777777" w:rsidR="008C3716" w:rsidRDefault="00000000">
            <w:r>
              <w:t>Monthly</w:t>
            </w:r>
          </w:p>
        </w:tc>
      </w:tr>
    </w:tbl>
    <w:p w14:paraId="1BEA3BF0" w14:textId="77777777" w:rsidR="008C3716" w:rsidRDefault="00000000">
      <w:pPr>
        <w:pStyle w:val="Heading2"/>
      </w:pPr>
      <w:r>
        <w:t>Service Level Agreements (SLAs)</w:t>
      </w:r>
    </w:p>
    <w:tbl>
      <w:tblPr>
        <w:tblStyle w:val="TableGrid"/>
        <w:tblW w:w="0" w:type="auto"/>
        <w:tblLook w:val="04A0" w:firstRow="1" w:lastRow="0" w:firstColumn="1" w:lastColumn="0" w:noHBand="0" w:noVBand="1"/>
      </w:tblPr>
      <w:tblGrid>
        <w:gridCol w:w="2158"/>
        <w:gridCol w:w="2158"/>
        <w:gridCol w:w="2157"/>
        <w:gridCol w:w="2157"/>
      </w:tblGrid>
      <w:tr w:rsidR="008C3716" w14:paraId="67D4F5C2" w14:textId="77777777">
        <w:tc>
          <w:tcPr>
            <w:tcW w:w="2160" w:type="dxa"/>
          </w:tcPr>
          <w:p w14:paraId="040A1AF1" w14:textId="77777777" w:rsidR="008C3716" w:rsidRDefault="00000000">
            <w:r>
              <w:t>SLA Metric</w:t>
            </w:r>
          </w:p>
        </w:tc>
        <w:tc>
          <w:tcPr>
            <w:tcW w:w="2160" w:type="dxa"/>
          </w:tcPr>
          <w:p w14:paraId="12B83E3C" w14:textId="77777777" w:rsidR="008C3716" w:rsidRDefault="00000000">
            <w:r>
              <w:t>Definition</w:t>
            </w:r>
          </w:p>
        </w:tc>
        <w:tc>
          <w:tcPr>
            <w:tcW w:w="2160" w:type="dxa"/>
          </w:tcPr>
          <w:p w14:paraId="41383D7E" w14:textId="77777777" w:rsidR="008C3716" w:rsidRDefault="00000000">
            <w:r>
              <w:t>Threshold</w:t>
            </w:r>
          </w:p>
        </w:tc>
        <w:tc>
          <w:tcPr>
            <w:tcW w:w="2160" w:type="dxa"/>
          </w:tcPr>
          <w:p w14:paraId="259BDF5F" w14:textId="77777777" w:rsidR="008C3716" w:rsidRDefault="00000000">
            <w:r>
              <w:t>Escalation</w:t>
            </w:r>
          </w:p>
        </w:tc>
      </w:tr>
      <w:tr w:rsidR="008C3716" w14:paraId="3BB060C4" w14:textId="77777777">
        <w:tc>
          <w:tcPr>
            <w:tcW w:w="2160" w:type="dxa"/>
          </w:tcPr>
          <w:p w14:paraId="6FE500CB" w14:textId="77777777" w:rsidR="008C3716" w:rsidRDefault="00000000">
            <w:r>
              <w:lastRenderedPageBreak/>
              <w:t>Device Isolation Time</w:t>
            </w:r>
          </w:p>
        </w:tc>
        <w:tc>
          <w:tcPr>
            <w:tcW w:w="2160" w:type="dxa"/>
          </w:tcPr>
          <w:p w14:paraId="3F5C6C79" w14:textId="77777777" w:rsidR="008C3716" w:rsidRDefault="00000000">
            <w:r>
              <w:t>Time to isolate compromised devices</w:t>
            </w:r>
          </w:p>
        </w:tc>
        <w:tc>
          <w:tcPr>
            <w:tcW w:w="2160" w:type="dxa"/>
          </w:tcPr>
          <w:p w14:paraId="57BA3A0B" w14:textId="77777777" w:rsidR="008C3716" w:rsidRDefault="00000000">
            <w:r>
              <w:t>&lt; 5 min</w:t>
            </w:r>
          </w:p>
        </w:tc>
        <w:tc>
          <w:tcPr>
            <w:tcW w:w="2160" w:type="dxa"/>
          </w:tcPr>
          <w:p w14:paraId="1E519AE7" w14:textId="77777777" w:rsidR="008C3716" w:rsidRDefault="00000000">
            <w:r>
              <w:t>Notify security team</w:t>
            </w:r>
          </w:p>
        </w:tc>
      </w:tr>
      <w:tr w:rsidR="008C3716" w14:paraId="4F8E4298" w14:textId="77777777">
        <w:tc>
          <w:tcPr>
            <w:tcW w:w="2160" w:type="dxa"/>
          </w:tcPr>
          <w:p w14:paraId="787D18AA" w14:textId="77777777" w:rsidR="008C3716" w:rsidRDefault="00000000">
            <w:r>
              <w:t>Policy Enforcement Time</w:t>
            </w:r>
          </w:p>
        </w:tc>
        <w:tc>
          <w:tcPr>
            <w:tcW w:w="2160" w:type="dxa"/>
          </w:tcPr>
          <w:p w14:paraId="72282D50" w14:textId="77777777" w:rsidR="008C3716" w:rsidRDefault="00000000">
            <w:r>
              <w:t>Time to apply access policy</w:t>
            </w:r>
          </w:p>
        </w:tc>
        <w:tc>
          <w:tcPr>
            <w:tcW w:w="2160" w:type="dxa"/>
          </w:tcPr>
          <w:p w14:paraId="0A5F4423" w14:textId="77777777" w:rsidR="008C3716" w:rsidRDefault="00000000">
            <w:r>
              <w:t>&lt; 10 min</w:t>
            </w:r>
          </w:p>
        </w:tc>
        <w:tc>
          <w:tcPr>
            <w:tcW w:w="2160" w:type="dxa"/>
          </w:tcPr>
          <w:p w14:paraId="03C59FC0" w14:textId="77777777" w:rsidR="008C3716" w:rsidRDefault="00000000">
            <w:r>
              <w:t>Escalate to NAC admin</w:t>
            </w:r>
          </w:p>
        </w:tc>
      </w:tr>
    </w:tbl>
    <w:p w14:paraId="1F9DA3C0" w14:textId="77777777" w:rsidR="008C3716" w:rsidRDefault="00000000">
      <w:pPr>
        <w:pStyle w:val="Heading2"/>
      </w:pPr>
      <w:r>
        <w:t>Executive Summary</w:t>
      </w:r>
    </w:p>
    <w:p w14:paraId="7D9FD11E" w14:textId="77777777" w:rsidR="008C3716" w:rsidRDefault="00000000">
      <w:r>
        <w:t>Forescout was selected for its agentless visibility and control capabilities across managed, unmanaged, and IoT/OT devices. It delivers continuous asset detection, granular classification, and policy enforcement without requiring endpoint agents. Forescout supports dynamic segmentation and integrates with SIEMs and ticketing systems for automated threat response. Its value lies in reducing operational risk, improving compliance, and enabling Zero Trust principles. Forescout is particularly effective in identifying and isolating unauthorized devices, whether introduced by external actors or internal personnel, thereby strengthening network security posture. [Source: https://www.forescout.com/solutions/network-access-control/]</w:t>
      </w:r>
    </w:p>
    <w:sectPr w:rsidR="008C3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94430">
    <w:abstractNumId w:val="8"/>
  </w:num>
  <w:num w:numId="2" w16cid:durableId="1342390766">
    <w:abstractNumId w:val="6"/>
  </w:num>
  <w:num w:numId="3" w16cid:durableId="1071276451">
    <w:abstractNumId w:val="5"/>
  </w:num>
  <w:num w:numId="4" w16cid:durableId="1357274283">
    <w:abstractNumId w:val="4"/>
  </w:num>
  <w:num w:numId="5" w16cid:durableId="739063176">
    <w:abstractNumId w:val="7"/>
  </w:num>
  <w:num w:numId="6" w16cid:durableId="1053115277">
    <w:abstractNumId w:val="3"/>
  </w:num>
  <w:num w:numId="7" w16cid:durableId="1780102426">
    <w:abstractNumId w:val="2"/>
  </w:num>
  <w:num w:numId="8" w16cid:durableId="843402741">
    <w:abstractNumId w:val="1"/>
  </w:num>
  <w:num w:numId="9" w16cid:durableId="89196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77C8"/>
    <w:rsid w:val="008C3716"/>
    <w:rsid w:val="00A10CDC"/>
    <w:rsid w:val="00AA1D8D"/>
    <w:rsid w:val="00B47730"/>
    <w:rsid w:val="00C07392"/>
    <w:rsid w:val="00C706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4903"/>
  <w14:defaultImageDpi w14:val="300"/>
  <w15:docId w15:val="{29E3129C-6FAA-1A4C-8F3C-C8B992EE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4</cp:revision>
  <dcterms:created xsi:type="dcterms:W3CDTF">2025-09-03T12:48:00Z</dcterms:created>
  <dcterms:modified xsi:type="dcterms:W3CDTF">2025-09-03T12:51:00Z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2025-09-03T12:48:27Z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57ce8c03-ddae-4094-bcc6-935253f71b6b</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