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11DED" w14:textId="77777777" w:rsidR="00336B04" w:rsidRPr="00336B04" w:rsidRDefault="00336B04" w:rsidP="00336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36B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Executive Summary</w:t>
      </w:r>
    </w:p>
    <w:p w14:paraId="7785C0B8" w14:textId="77777777" w:rsidR="00336B04" w:rsidRPr="00336B04" w:rsidRDefault="00336B04" w:rsidP="0033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6B04">
        <w:rPr>
          <w:rFonts w:ascii="Times New Roman" w:eastAsia="Times New Roman" w:hAnsi="Times New Roman" w:cs="Times New Roman"/>
          <w:kern w:val="0"/>
          <w14:ligatures w14:val="none"/>
        </w:rPr>
        <w:t>This Executive Summary provides a high-level view of the enterprise detection problem space, the architectural constraints, and the resulting evaluation of Network Detection &amp; Response (NDR) platforms suitable for deployment at scale.</w:t>
      </w:r>
    </w:p>
    <w:p w14:paraId="613F58D0" w14:textId="77777777" w:rsidR="00336B04" w:rsidRPr="00336B04" w:rsidRDefault="00336B04" w:rsidP="0033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6B04">
        <w:rPr>
          <w:rFonts w:ascii="Times New Roman" w:eastAsia="Times New Roman" w:hAnsi="Times New Roman" w:cs="Times New Roman"/>
          <w:kern w:val="0"/>
          <w14:ligatures w14:val="none"/>
        </w:rPr>
        <w:t xml:space="preserve">The organization is a </w:t>
      </w:r>
      <w:r w:rsidRPr="00336B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large U.S.-based enterprise</w:t>
      </w:r>
      <w:r w:rsidRPr="00336B04">
        <w:rPr>
          <w:rFonts w:ascii="Times New Roman" w:eastAsia="Times New Roman" w:hAnsi="Times New Roman" w:cs="Times New Roman"/>
          <w:kern w:val="0"/>
          <w14:ligatures w14:val="none"/>
        </w:rPr>
        <w:t xml:space="preserve"> operating a hybrid application landscape spanning both </w:t>
      </w:r>
      <w:r w:rsidRPr="00336B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on-premises datacenters</w:t>
      </w:r>
      <w:r w:rsidRPr="00336B04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336B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multi-cloud environments</w:t>
      </w:r>
      <w:r w:rsidRPr="00336B04">
        <w:rPr>
          <w:rFonts w:ascii="Times New Roman" w:eastAsia="Times New Roman" w:hAnsi="Times New Roman" w:cs="Times New Roman"/>
          <w:kern w:val="0"/>
          <w14:ligatures w14:val="none"/>
        </w:rPr>
        <w:t xml:space="preserve">. Applications are consumed through a </w:t>
      </w:r>
      <w:r w:rsidRPr="00336B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split-brain delivery model</w:t>
      </w:r>
      <w:r w:rsidRPr="00336B04">
        <w:rPr>
          <w:rFonts w:ascii="Times New Roman" w:eastAsia="Times New Roman" w:hAnsi="Times New Roman" w:cs="Times New Roman"/>
          <w:kern w:val="0"/>
          <w14:ligatures w14:val="none"/>
        </w:rPr>
        <w:t xml:space="preserve">, where services may be accessed either via the </w:t>
      </w:r>
      <w:r w:rsidRPr="00336B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public Internet</w:t>
      </w:r>
      <w:r w:rsidRPr="00336B04">
        <w:rPr>
          <w:rFonts w:ascii="Times New Roman" w:eastAsia="Times New Roman" w:hAnsi="Times New Roman" w:cs="Times New Roman"/>
          <w:kern w:val="0"/>
          <w14:ligatures w14:val="none"/>
        </w:rPr>
        <w:t xml:space="preserve"> or the </w:t>
      </w:r>
      <w:r w:rsidRPr="00336B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private Intranet</w:t>
      </w:r>
      <w:r w:rsidRPr="00336B04">
        <w:rPr>
          <w:rFonts w:ascii="Times New Roman" w:eastAsia="Times New Roman" w:hAnsi="Times New Roman" w:cs="Times New Roman"/>
          <w:kern w:val="0"/>
          <w14:ligatures w14:val="none"/>
        </w:rPr>
        <w:t>, depending on application classification, risk level, and intended user population.</w:t>
      </w:r>
    </w:p>
    <w:p w14:paraId="563F1B12" w14:textId="77777777" w:rsidR="00336B04" w:rsidRPr="00336B04" w:rsidRDefault="00336B04" w:rsidP="0033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6B04">
        <w:rPr>
          <w:rFonts w:ascii="Times New Roman" w:eastAsia="Times New Roman" w:hAnsi="Times New Roman" w:cs="Times New Roman"/>
          <w:kern w:val="0"/>
          <w14:ligatures w14:val="none"/>
        </w:rPr>
        <w:t xml:space="preserve">The enterprise footprint includes </w:t>
      </w:r>
      <w:r w:rsidRPr="00336B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Retail, Corporate, Distribution, R&amp;D, External Partner, and Subsidiary</w:t>
      </w:r>
      <w:r w:rsidRPr="00336B04">
        <w:rPr>
          <w:rFonts w:ascii="Times New Roman" w:eastAsia="Times New Roman" w:hAnsi="Times New Roman" w:cs="Times New Roman"/>
          <w:kern w:val="0"/>
          <w14:ligatures w14:val="none"/>
        </w:rPr>
        <w:t xml:space="preserve"> locations, all interconnected over a </w:t>
      </w:r>
      <w:r w:rsidRPr="00336B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national corporate hybrid WAN</w:t>
      </w:r>
      <w:r w:rsidRPr="00336B04">
        <w:rPr>
          <w:rFonts w:ascii="Times New Roman" w:eastAsia="Times New Roman" w:hAnsi="Times New Roman" w:cs="Times New Roman"/>
          <w:kern w:val="0"/>
          <w14:ligatures w14:val="none"/>
        </w:rPr>
        <w:t xml:space="preserve">. This WAN combines SD-WAN capabilities with private and broadband transport to deliver unified connectivity and security policy to thousands of distributed environments. A </w:t>
      </w:r>
      <w:r w:rsidRPr="00336B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large remote user population</w:t>
      </w:r>
      <w:r w:rsidRPr="00336B04">
        <w:rPr>
          <w:rFonts w:ascii="Times New Roman" w:eastAsia="Times New Roman" w:hAnsi="Times New Roman" w:cs="Times New Roman"/>
          <w:kern w:val="0"/>
          <w14:ligatures w14:val="none"/>
        </w:rPr>
        <w:t xml:space="preserve"> accesses enterprise resources via </w:t>
      </w:r>
      <w:r w:rsidRPr="00336B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Cisco Secure VPN</w:t>
      </w:r>
      <w:r w:rsidRPr="00336B04">
        <w:rPr>
          <w:rFonts w:ascii="Times New Roman" w:eastAsia="Times New Roman" w:hAnsi="Times New Roman" w:cs="Times New Roman"/>
          <w:kern w:val="0"/>
          <w14:ligatures w14:val="none"/>
        </w:rPr>
        <w:t xml:space="preserve"> alongside </w:t>
      </w:r>
      <w:r w:rsidRPr="00336B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Zscaler Internet Access (ZIA)</w:t>
      </w:r>
      <w:r w:rsidRPr="00336B04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336B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Zscaler Private Access (ZPA)</w:t>
      </w:r>
      <w:r w:rsidRPr="00336B04">
        <w:rPr>
          <w:rFonts w:ascii="Times New Roman" w:eastAsia="Times New Roman" w:hAnsi="Times New Roman" w:cs="Times New Roman"/>
          <w:kern w:val="0"/>
          <w14:ligatures w14:val="none"/>
        </w:rPr>
        <w:t xml:space="preserve">, delivered in a </w:t>
      </w:r>
      <w:r w:rsidRPr="00336B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hub-based connectivity model</w:t>
      </w:r>
      <w:r w:rsidRPr="00336B04">
        <w:rPr>
          <w:rFonts w:ascii="Times New Roman" w:eastAsia="Times New Roman" w:hAnsi="Times New Roman" w:cs="Times New Roman"/>
          <w:kern w:val="0"/>
          <w14:ligatures w14:val="none"/>
        </w:rPr>
        <w:t>. In this design, Zscaler cloud security gateways and private access components are tightly integrated with the core datacenter and routing architecture, allowing identity-centric access to internal applications while steering Internet-bound traffic through cloud-based inspection and control.</w:t>
      </w:r>
    </w:p>
    <w:p w14:paraId="4DFE76E0" w14:textId="77777777" w:rsidR="00336B04" w:rsidRPr="00336B04" w:rsidRDefault="00336B04" w:rsidP="0033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6B04">
        <w:rPr>
          <w:rFonts w:ascii="Times New Roman" w:eastAsia="Times New Roman" w:hAnsi="Times New Roman" w:cs="Times New Roman"/>
          <w:kern w:val="0"/>
          <w14:ligatures w14:val="none"/>
        </w:rPr>
        <w:t xml:space="preserve">Cloud workloads participate directly in the </w:t>
      </w:r>
      <w:r w:rsidRPr="00336B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hybrid WAN</w:t>
      </w:r>
      <w:r w:rsidRPr="00336B04">
        <w:rPr>
          <w:rFonts w:ascii="Times New Roman" w:eastAsia="Times New Roman" w:hAnsi="Times New Roman" w:cs="Times New Roman"/>
          <w:kern w:val="0"/>
          <w14:ligatures w14:val="none"/>
        </w:rPr>
        <w:t xml:space="preserve"> using </w:t>
      </w:r>
      <w:r w:rsidRPr="00336B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Equinix Cloud Connect</w:t>
      </w:r>
      <w:r w:rsidRPr="00336B04">
        <w:rPr>
          <w:rFonts w:ascii="Times New Roman" w:eastAsia="Times New Roman" w:hAnsi="Times New Roman" w:cs="Times New Roman"/>
          <w:kern w:val="0"/>
          <w14:ligatures w14:val="none"/>
        </w:rPr>
        <w:t xml:space="preserve"> and a variety of cloud “direct” connectivity mechanisms (such as </w:t>
      </w:r>
      <w:r w:rsidRPr="00336B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AWS Direct Connect, Azure ExpressRoute, and Google Cloud Interconnect</w:t>
      </w:r>
      <w:r w:rsidRPr="00336B04">
        <w:rPr>
          <w:rFonts w:ascii="Times New Roman" w:eastAsia="Times New Roman" w:hAnsi="Times New Roman" w:cs="Times New Roman"/>
          <w:kern w:val="0"/>
          <w14:ligatures w14:val="none"/>
        </w:rPr>
        <w:t>). These links make cloud-hosted applications first-class citizens in the enterprise routing, identity, and security stacks, and they ensure that hybrid traffic between on-premises systems and cloud services follows governed, observable paths rather than ad-hoc internet-based peering.</w:t>
      </w:r>
    </w:p>
    <w:p w14:paraId="36235A73" w14:textId="77777777" w:rsidR="00336B04" w:rsidRPr="00336B04" w:rsidRDefault="00336B04" w:rsidP="0033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6B04">
        <w:rPr>
          <w:rFonts w:ascii="Times New Roman" w:eastAsia="Times New Roman" w:hAnsi="Times New Roman" w:cs="Times New Roman"/>
          <w:kern w:val="0"/>
          <w14:ligatures w14:val="none"/>
        </w:rPr>
        <w:t xml:space="preserve">A critical architectural decision is the explicit choice </w:t>
      </w:r>
      <w:r w:rsidRPr="00336B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to deploy packet taps, SPAN ports, or packet brokers</w:t>
      </w:r>
      <w:r w:rsidRPr="00336B04">
        <w:rPr>
          <w:rFonts w:ascii="Times New Roman" w:eastAsia="Times New Roman" w:hAnsi="Times New Roman" w:cs="Times New Roman"/>
          <w:kern w:val="0"/>
          <w14:ligatures w14:val="none"/>
        </w:rPr>
        <w:t xml:space="preserve">. As a result, the NDR strategy must be based entirely on </w:t>
      </w:r>
      <w:r w:rsidRPr="00336B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passive telemetry sources</w:t>
      </w:r>
      <w:r w:rsidRPr="00336B04">
        <w:rPr>
          <w:rFonts w:ascii="Times New Roman" w:eastAsia="Times New Roman" w:hAnsi="Times New Roman" w:cs="Times New Roman"/>
          <w:kern w:val="0"/>
          <w14:ligatures w14:val="none"/>
        </w:rPr>
        <w:t>, including:</w:t>
      </w:r>
    </w:p>
    <w:p w14:paraId="0551B6E9" w14:textId="77777777" w:rsidR="00336B04" w:rsidRPr="00336B04" w:rsidRDefault="00336B04" w:rsidP="00336B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6B04">
        <w:rPr>
          <w:rFonts w:ascii="Times New Roman" w:eastAsia="Times New Roman" w:hAnsi="Times New Roman" w:cs="Times New Roman"/>
          <w:kern w:val="0"/>
          <w14:ligatures w14:val="none"/>
        </w:rPr>
        <w:t>NetFlow/IPFIX and related flow metadata from SD-WAN and core Cisco infrastructure</w:t>
      </w:r>
    </w:p>
    <w:p w14:paraId="2AE2C6E9" w14:textId="77777777" w:rsidR="00336B04" w:rsidRPr="00336B04" w:rsidRDefault="00336B04" w:rsidP="00336B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6B04">
        <w:rPr>
          <w:rFonts w:ascii="Times New Roman" w:eastAsia="Times New Roman" w:hAnsi="Times New Roman" w:cs="Times New Roman"/>
          <w:kern w:val="0"/>
          <w14:ligatures w14:val="none"/>
        </w:rPr>
        <w:t>Cisco Encrypted Traffic Analytics (ETA) for encrypted traffic characterization</w:t>
      </w:r>
    </w:p>
    <w:p w14:paraId="58F5B04F" w14:textId="77777777" w:rsidR="00336B04" w:rsidRPr="00336B04" w:rsidRDefault="00336B04" w:rsidP="00336B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6B04">
        <w:rPr>
          <w:rFonts w:ascii="Times New Roman" w:eastAsia="Times New Roman" w:hAnsi="Times New Roman" w:cs="Times New Roman"/>
          <w:kern w:val="0"/>
          <w14:ligatures w14:val="none"/>
        </w:rPr>
        <w:t>DNS and proxy logs</w:t>
      </w:r>
    </w:p>
    <w:p w14:paraId="6479B478" w14:textId="77777777" w:rsidR="00336B04" w:rsidRPr="00336B04" w:rsidRDefault="00336B04" w:rsidP="00336B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6B04">
        <w:rPr>
          <w:rFonts w:ascii="Times New Roman" w:eastAsia="Times New Roman" w:hAnsi="Times New Roman" w:cs="Times New Roman"/>
          <w:kern w:val="0"/>
          <w14:ligatures w14:val="none"/>
        </w:rPr>
        <w:t>Identity provider logs (e.g., AD / Azure AD / SSO platforms)</w:t>
      </w:r>
    </w:p>
    <w:p w14:paraId="2C0D3D68" w14:textId="77777777" w:rsidR="00336B04" w:rsidRPr="00336B04" w:rsidRDefault="00336B04" w:rsidP="00336B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6B04">
        <w:rPr>
          <w:rFonts w:ascii="Times New Roman" w:eastAsia="Times New Roman" w:hAnsi="Times New Roman" w:cs="Times New Roman"/>
          <w:kern w:val="0"/>
          <w14:ligatures w14:val="none"/>
        </w:rPr>
        <w:t>Zscaler ZIA and ZPA logs</w:t>
      </w:r>
    </w:p>
    <w:p w14:paraId="12F98225" w14:textId="77777777" w:rsidR="00336B04" w:rsidRPr="00336B04" w:rsidRDefault="00336B04" w:rsidP="00336B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6B04">
        <w:rPr>
          <w:rFonts w:ascii="Times New Roman" w:eastAsia="Times New Roman" w:hAnsi="Times New Roman" w:cs="Times New Roman"/>
          <w:kern w:val="0"/>
          <w14:ligatures w14:val="none"/>
        </w:rPr>
        <w:t>Cloud flow logs (AWS, Azure, GCP)</w:t>
      </w:r>
    </w:p>
    <w:p w14:paraId="0902843C" w14:textId="77777777" w:rsidR="00336B04" w:rsidRPr="00336B04" w:rsidRDefault="00336B04" w:rsidP="00336B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6B04">
        <w:rPr>
          <w:rFonts w:ascii="Times New Roman" w:eastAsia="Times New Roman" w:hAnsi="Times New Roman" w:cs="Times New Roman"/>
          <w:kern w:val="0"/>
          <w14:ligatures w14:val="none"/>
        </w:rPr>
        <w:t xml:space="preserve">Telemetry from </w:t>
      </w:r>
      <w:r w:rsidRPr="00336B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CDN and WAF</w:t>
      </w:r>
      <w:r w:rsidRPr="00336B04">
        <w:rPr>
          <w:rFonts w:ascii="Times New Roman" w:eastAsia="Times New Roman" w:hAnsi="Times New Roman" w:cs="Times New Roman"/>
          <w:kern w:val="0"/>
          <w14:ligatures w14:val="none"/>
        </w:rPr>
        <w:t xml:space="preserve"> providers (Akamai, Imperva, Fastly)</w:t>
      </w:r>
    </w:p>
    <w:p w14:paraId="4097AD84" w14:textId="77777777" w:rsidR="00336B04" w:rsidRPr="00336B04" w:rsidRDefault="00336B04" w:rsidP="00336B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6B04">
        <w:rPr>
          <w:rFonts w:ascii="Times New Roman" w:eastAsia="Times New Roman" w:hAnsi="Times New Roman" w:cs="Times New Roman"/>
          <w:kern w:val="0"/>
          <w14:ligatures w14:val="none"/>
        </w:rPr>
        <w:t>SD-WAN fabric statistics and performance metrics</w:t>
      </w:r>
    </w:p>
    <w:p w14:paraId="15E871E1" w14:textId="77777777" w:rsidR="00336B04" w:rsidRPr="00336B04" w:rsidRDefault="00336B04" w:rsidP="0033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6B04">
        <w:rPr>
          <w:rFonts w:ascii="Times New Roman" w:eastAsia="Times New Roman" w:hAnsi="Times New Roman" w:cs="Times New Roman"/>
          <w:kern w:val="0"/>
          <w14:ligatures w14:val="none"/>
        </w:rPr>
        <w:t xml:space="preserve">This constraint effectively eliminates traditional packet-centric NDR solutions and strongly favors platforms that can generate high-fidelity detection and investigation outcomes from </w:t>
      </w:r>
      <w:r w:rsidRPr="00336B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metadata, identity, and cloud telemetry alone</w:t>
      </w:r>
      <w:r w:rsidRPr="00336B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1657ED0" w14:textId="77777777" w:rsidR="00336B04" w:rsidRPr="00336B04" w:rsidRDefault="00336B04" w:rsidP="0033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6B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Within this context, the enterprise has prioritized the following NDR capabilities:</w:t>
      </w:r>
    </w:p>
    <w:p w14:paraId="7DBE9C45" w14:textId="77777777" w:rsidR="00336B04" w:rsidRPr="00336B04" w:rsidRDefault="00336B04" w:rsidP="00336B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6B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Identity and cloud correlation</w:t>
      </w:r>
      <w:r w:rsidRPr="00336B04">
        <w:rPr>
          <w:rFonts w:ascii="Times New Roman" w:eastAsia="Times New Roman" w:hAnsi="Times New Roman" w:cs="Times New Roman"/>
          <w:kern w:val="0"/>
          <w14:ligatures w14:val="none"/>
        </w:rPr>
        <w:t xml:space="preserve"> – The ability to stitch together user, device, and workload identities across on-prem and cloud environments, including remote access via Zscaler and hybrid connectivity via Equinix and cloud direct links.</w:t>
      </w:r>
    </w:p>
    <w:p w14:paraId="147DF170" w14:textId="77777777" w:rsidR="00336B04" w:rsidRPr="00336B04" w:rsidRDefault="00336B04" w:rsidP="00336B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6B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Metadata-driven forensics</w:t>
      </w:r>
      <w:r w:rsidRPr="00336B04">
        <w:rPr>
          <w:rFonts w:ascii="Times New Roman" w:eastAsia="Times New Roman" w:hAnsi="Times New Roman" w:cs="Times New Roman"/>
          <w:kern w:val="0"/>
          <w14:ligatures w14:val="none"/>
        </w:rPr>
        <w:t xml:space="preserve"> – Rich, </w:t>
      </w:r>
      <w:proofErr w:type="spellStart"/>
      <w:r w:rsidRPr="00336B04">
        <w:rPr>
          <w:rFonts w:ascii="Times New Roman" w:eastAsia="Times New Roman" w:hAnsi="Times New Roman" w:cs="Times New Roman"/>
          <w:kern w:val="0"/>
          <w14:ligatures w14:val="none"/>
        </w:rPr>
        <w:t>queryable</w:t>
      </w:r>
      <w:proofErr w:type="spellEnd"/>
      <w:r w:rsidRPr="00336B04">
        <w:rPr>
          <w:rFonts w:ascii="Times New Roman" w:eastAsia="Times New Roman" w:hAnsi="Times New Roman" w:cs="Times New Roman"/>
          <w:kern w:val="0"/>
          <w14:ligatures w14:val="none"/>
        </w:rPr>
        <w:t xml:space="preserve"> telemetry and correlated events that enable incident response and threat hunting without relying on full packet capture.</w:t>
      </w:r>
    </w:p>
    <w:p w14:paraId="3EA41E98" w14:textId="77777777" w:rsidR="00336B04" w:rsidRPr="00336B04" w:rsidRDefault="00336B04" w:rsidP="00336B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6B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Detection fidelity and coverage</w:t>
      </w:r>
      <w:r w:rsidRPr="00336B04">
        <w:rPr>
          <w:rFonts w:ascii="Times New Roman" w:eastAsia="Times New Roman" w:hAnsi="Times New Roman" w:cs="Times New Roman"/>
          <w:kern w:val="0"/>
          <w14:ligatures w14:val="none"/>
        </w:rPr>
        <w:t xml:space="preserve"> – High-quality detection of modern attacker behaviors (e.g., credential abuse, lateral movement, command-and-control, data exfiltration) across Internet, Intranet, and hybrid paths, with manageable false positives at enterprise scale.</w:t>
      </w:r>
    </w:p>
    <w:p w14:paraId="39367CF1" w14:textId="77777777" w:rsidR="00336B04" w:rsidRPr="00336B04" w:rsidRDefault="00336B04" w:rsidP="00336B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6B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Scalability and operational fit</w:t>
      </w:r>
      <w:r w:rsidRPr="00336B04">
        <w:rPr>
          <w:rFonts w:ascii="Times New Roman" w:eastAsia="Times New Roman" w:hAnsi="Times New Roman" w:cs="Times New Roman"/>
          <w:kern w:val="0"/>
          <w14:ligatures w14:val="none"/>
        </w:rPr>
        <w:t xml:space="preserve"> – The ability to operate effectively at 150,000+ endpoints, 10,000+ retail locations, and hundreds of additional corporate/partner/remote sites without requiring heavy per-site hardware or excessive tuning.</w:t>
      </w:r>
    </w:p>
    <w:p w14:paraId="7A640D94" w14:textId="77777777" w:rsidR="00336B04" w:rsidRPr="00336B04" w:rsidRDefault="00336B04" w:rsidP="00336B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6B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Automation and response integration</w:t>
      </w:r>
      <w:r w:rsidRPr="00336B04">
        <w:rPr>
          <w:rFonts w:ascii="Times New Roman" w:eastAsia="Times New Roman" w:hAnsi="Times New Roman" w:cs="Times New Roman"/>
          <w:kern w:val="0"/>
          <w14:ligatures w14:val="none"/>
        </w:rPr>
        <w:t xml:space="preserve"> – Native support for integrating with existing SIEM/SOAR and security control points to enable orchestrated and, where appropriate, automated response actions.</w:t>
      </w:r>
    </w:p>
    <w:p w14:paraId="6B69D369" w14:textId="77777777" w:rsidR="00336B04" w:rsidRPr="00336B04" w:rsidRDefault="00336B04" w:rsidP="0033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6B04">
        <w:rPr>
          <w:rFonts w:ascii="Times New Roman" w:eastAsia="Times New Roman" w:hAnsi="Times New Roman" w:cs="Times New Roman"/>
          <w:kern w:val="0"/>
          <w14:ligatures w14:val="none"/>
        </w:rPr>
        <w:t xml:space="preserve">Based on these priorities and constraints, the evaluation concludes that </w:t>
      </w:r>
      <w:r w:rsidRPr="00336B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Vectra AI</w:t>
      </w:r>
      <w:r w:rsidRPr="00336B04">
        <w:rPr>
          <w:rFonts w:ascii="Times New Roman" w:eastAsia="Times New Roman" w:hAnsi="Times New Roman" w:cs="Times New Roman"/>
          <w:kern w:val="0"/>
          <w14:ligatures w14:val="none"/>
        </w:rPr>
        <w:t xml:space="preserve"> is the </w:t>
      </w:r>
      <w:r w:rsidRPr="00336B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recommended primary NDR platform</w:t>
      </w:r>
      <w:r w:rsidRPr="00336B04">
        <w:rPr>
          <w:rFonts w:ascii="Times New Roman" w:eastAsia="Times New Roman" w:hAnsi="Times New Roman" w:cs="Times New Roman"/>
          <w:kern w:val="0"/>
          <w14:ligatures w14:val="none"/>
        </w:rPr>
        <w:t xml:space="preserve">. Vectra is architected to ingest and correlate </w:t>
      </w:r>
      <w:r w:rsidRPr="00336B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network, identity, and cloud telemetry</w:t>
      </w:r>
      <w:r w:rsidRPr="00336B04">
        <w:rPr>
          <w:rFonts w:ascii="Times New Roman" w:eastAsia="Times New Roman" w:hAnsi="Times New Roman" w:cs="Times New Roman"/>
          <w:kern w:val="0"/>
          <w14:ligatures w14:val="none"/>
        </w:rPr>
        <w:t xml:space="preserve">—including Zscaler, cloud flow logs, and hybrid WAN metadata—to generate </w:t>
      </w:r>
      <w:r w:rsidRPr="00336B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high-fidelity attack narratives</w:t>
      </w:r>
      <w:r w:rsidRPr="00336B04">
        <w:rPr>
          <w:rFonts w:ascii="Times New Roman" w:eastAsia="Times New Roman" w:hAnsi="Times New Roman" w:cs="Times New Roman"/>
          <w:kern w:val="0"/>
          <w14:ligatures w14:val="none"/>
        </w:rPr>
        <w:t xml:space="preserve"> without packet capture. It aligns closely with the identity- and cloud-centric nature of the environment and scales to support the organization’s distributed footprint.</w:t>
      </w:r>
    </w:p>
    <w:p w14:paraId="55E04BAB" w14:textId="77777777" w:rsidR="00336B04" w:rsidRPr="00336B04" w:rsidRDefault="00336B04" w:rsidP="0033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6B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Cisco Secure Network Analytics (SNA)</w:t>
      </w:r>
      <w:r w:rsidRPr="00336B04">
        <w:rPr>
          <w:rFonts w:ascii="Times New Roman" w:eastAsia="Times New Roman" w:hAnsi="Times New Roman" w:cs="Times New Roman"/>
          <w:kern w:val="0"/>
          <w14:ligatures w14:val="none"/>
        </w:rPr>
        <w:t xml:space="preserve"> is recommended as a </w:t>
      </w:r>
      <w:r w:rsidRPr="00336B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complementary platform</w:t>
      </w:r>
      <w:r w:rsidRPr="00336B04">
        <w:rPr>
          <w:rFonts w:ascii="Times New Roman" w:eastAsia="Times New Roman" w:hAnsi="Times New Roman" w:cs="Times New Roman"/>
          <w:kern w:val="0"/>
          <w14:ligatures w14:val="none"/>
        </w:rPr>
        <w:t xml:space="preserve">, providing deep value where </w:t>
      </w:r>
      <w:r w:rsidRPr="00336B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Cisco flow and ETA telemetry</w:t>
      </w:r>
      <w:r w:rsidRPr="00336B04">
        <w:rPr>
          <w:rFonts w:ascii="Times New Roman" w:eastAsia="Times New Roman" w:hAnsi="Times New Roman" w:cs="Times New Roman"/>
          <w:kern w:val="0"/>
          <w14:ligatures w14:val="none"/>
        </w:rPr>
        <w:t xml:space="preserve"> is dense (e.g., SD-WAN edges, core, and datacenter fabrics). SNA enhances visibility into large-scale flow behavior and encrypted traffic characteristics but is less capable than Vectra in identity and cloud correlation.</w:t>
      </w:r>
    </w:p>
    <w:p w14:paraId="18C3C7F3" w14:textId="77777777" w:rsidR="00336B04" w:rsidRPr="00336B04" w:rsidRDefault="00336B04" w:rsidP="0033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6B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Darktrace</w:t>
      </w:r>
      <w:r w:rsidRPr="00336B04">
        <w:rPr>
          <w:rFonts w:ascii="Times New Roman" w:eastAsia="Times New Roman" w:hAnsi="Times New Roman" w:cs="Times New Roman"/>
          <w:kern w:val="0"/>
          <w14:ligatures w14:val="none"/>
        </w:rPr>
        <w:t xml:space="preserve"> is best suited for </w:t>
      </w:r>
      <w:r w:rsidRPr="00336B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targeted use in OT/IoT/robotics domains</w:t>
      </w:r>
      <w:r w:rsidRPr="00336B04">
        <w:rPr>
          <w:rFonts w:ascii="Times New Roman" w:eastAsia="Times New Roman" w:hAnsi="Times New Roman" w:cs="Times New Roman"/>
          <w:kern w:val="0"/>
          <w14:ligatures w14:val="none"/>
        </w:rPr>
        <w:t xml:space="preserve">, where behavioral modeling of non-traditional devices provides incremental value. It is </w:t>
      </w:r>
      <w:r w:rsidRPr="00336B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recommended as the primary NDR system</w:t>
      </w:r>
      <w:r w:rsidRPr="00336B04">
        <w:rPr>
          <w:rFonts w:ascii="Times New Roman" w:eastAsia="Times New Roman" w:hAnsi="Times New Roman" w:cs="Times New Roman"/>
          <w:kern w:val="0"/>
          <w14:ligatures w14:val="none"/>
        </w:rPr>
        <w:t xml:space="preserve"> for the broader enterprise due to cost, tuning requirements, and weaker identity/cloud correlation.</w:t>
      </w:r>
    </w:p>
    <w:p w14:paraId="29DA6D2D" w14:textId="77777777" w:rsidR="00336B04" w:rsidRPr="00336B04" w:rsidRDefault="00336B04" w:rsidP="00336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36B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Corelight</w:t>
      </w:r>
      <w:proofErr w:type="spellEnd"/>
      <w:r w:rsidRPr="00336B04">
        <w:rPr>
          <w:rFonts w:ascii="Times New Roman" w:eastAsia="Times New Roman" w:hAnsi="Times New Roman" w:cs="Times New Roman"/>
          <w:kern w:val="0"/>
          <w14:ligatures w14:val="none"/>
        </w:rPr>
        <w:t xml:space="preserve">, whose strengths are tightly coupled to </w:t>
      </w:r>
      <w:r w:rsidRPr="00336B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packet-level visibility and deep Zeek/Suricata analytics</w:t>
      </w:r>
      <w:r w:rsidRPr="00336B04">
        <w:rPr>
          <w:rFonts w:ascii="Times New Roman" w:eastAsia="Times New Roman" w:hAnsi="Times New Roman" w:cs="Times New Roman"/>
          <w:kern w:val="0"/>
          <w14:ligatures w14:val="none"/>
        </w:rPr>
        <w:t xml:space="preserve">, is </w:t>
      </w:r>
      <w:r w:rsidRPr="00336B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excluded from recommendation</w:t>
      </w:r>
      <w:r w:rsidRPr="00336B04">
        <w:rPr>
          <w:rFonts w:ascii="Times New Roman" w:eastAsia="Times New Roman" w:hAnsi="Times New Roman" w:cs="Times New Roman"/>
          <w:kern w:val="0"/>
          <w14:ligatures w14:val="none"/>
        </w:rPr>
        <w:t xml:space="preserve"> under the current architecture. Without taps or SPAN-based packet access, </w:t>
      </w:r>
      <w:proofErr w:type="spellStart"/>
      <w:r w:rsidRPr="00336B04">
        <w:rPr>
          <w:rFonts w:ascii="Times New Roman" w:eastAsia="Times New Roman" w:hAnsi="Times New Roman" w:cs="Times New Roman"/>
          <w:kern w:val="0"/>
          <w14:ligatures w14:val="none"/>
        </w:rPr>
        <w:t>Corelight</w:t>
      </w:r>
      <w:proofErr w:type="spellEnd"/>
      <w:r w:rsidRPr="00336B04">
        <w:rPr>
          <w:rFonts w:ascii="Times New Roman" w:eastAsia="Times New Roman" w:hAnsi="Times New Roman" w:cs="Times New Roman"/>
          <w:kern w:val="0"/>
          <w14:ligatures w14:val="none"/>
        </w:rPr>
        <w:t xml:space="preserve"> cannot realize its primary differentiators and therefore does not offer sufficient value in this environment.</w:t>
      </w:r>
    </w:p>
    <w:p w14:paraId="449B60C5" w14:textId="77777777" w:rsidR="00B8713E" w:rsidRDefault="00B8713E"/>
    <w:sectPr w:rsidR="00B871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27FD0"/>
    <w:multiLevelType w:val="multilevel"/>
    <w:tmpl w:val="383C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2447CE"/>
    <w:multiLevelType w:val="multilevel"/>
    <w:tmpl w:val="D7764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390678">
    <w:abstractNumId w:val="0"/>
  </w:num>
  <w:num w:numId="2" w16cid:durableId="12274555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B04"/>
    <w:rsid w:val="00336B04"/>
    <w:rsid w:val="00B8713E"/>
    <w:rsid w:val="00C76424"/>
    <w:rsid w:val="00CD3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AB8F5B"/>
  <w15:chartTrackingRefBased/>
  <w15:docId w15:val="{1FBF9598-3211-AB49-96C5-4FE3271CC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6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B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B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B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36B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B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B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B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B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B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B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B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B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B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B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B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B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B0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36B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36B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22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820</Words>
  <Characters>4678</Characters>
  <Application>Microsoft Office Word</Application>
  <DocSecurity>0</DocSecurity>
  <Lines>38</Lines>
  <Paragraphs>10</Paragraphs>
  <ScaleCrop>false</ScaleCrop>
  <Company/>
  <LinksUpToDate>false</LinksUpToDate>
  <CharactersWithSpaces>5488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Martin</dc:creator>
  <cp:keywords/>
  <dc:description/>
  <cp:lastModifiedBy>Sam Martin</cp:lastModifiedBy>
  <cp:revision>1</cp:revision>
  <dcterms:created xsi:type="dcterms:W3CDTF">2025-11-24T21:01:00Z</dcterms:created>
  <dcterms:modified xsi:type="dcterms:W3CDTF">2025-11-24T21:01:00Z</dcterms:modified>
</cp:coreProperties>
</file>