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DEDDA" w14:textId="77777777" w:rsidR="00AE1CEA" w:rsidRPr="00AE1CEA" w:rsidRDefault="00AE1CEA" w:rsidP="00AE1C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1CEA">
        <w:rPr>
          <w:rFonts w:ascii="Times New Roman" w:eastAsia="Times New Roman" w:hAnsi="Times New Roman" w:cs="Times New Roman"/>
          <w:b/>
          <w:bCs/>
          <w:kern w:val="36"/>
          <w:sz w:val="48"/>
          <w:szCs w:val="48"/>
          <w14:ligatures w14:val="none"/>
        </w:rPr>
        <w:t>2. Environment Overview</w:t>
      </w:r>
    </w:p>
    <w:p w14:paraId="210AC167"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This section provides a comprehensive technical description of the enterprise’s operating environment, connectivity models, trust boundaries, traffic flows, and hybrid integration points that collectively determine the visibility, telemetry, and detection requirements for the Network Detection &amp; Response (NDR) platform. The enterprise environment is large, heterogeneous, identity-centric, and hybrid by design, with several structural characteristics that significantly shape NDR capability expectations.</w:t>
      </w:r>
    </w:p>
    <w:p w14:paraId="34AA53FA" w14:textId="77777777" w:rsidR="00AE1CEA" w:rsidRPr="00AE1CEA" w:rsidRDefault="00CF4A6E" w:rsidP="00AE1CEA">
      <w:pPr>
        <w:spacing w:after="0" w:line="240" w:lineRule="auto"/>
        <w:rPr>
          <w:rFonts w:ascii="Times New Roman" w:eastAsia="Times New Roman" w:hAnsi="Times New Roman" w:cs="Times New Roman"/>
          <w:kern w:val="0"/>
          <w14:ligatures w14:val="none"/>
        </w:rPr>
      </w:pPr>
      <w:r>
        <w:rPr>
          <w:noProof/>
        </w:rPr>
      </w:r>
      <w:r>
        <w:pict w14:anchorId="2488AA6C">
          <v:rect id="Horizontal Line 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646335" w14:textId="77777777" w:rsidR="00AE1CEA" w:rsidRPr="00AE1CEA" w:rsidRDefault="00AE1CEA" w:rsidP="00AE1C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1CEA">
        <w:rPr>
          <w:rFonts w:ascii="Times New Roman" w:eastAsia="Times New Roman" w:hAnsi="Times New Roman" w:cs="Times New Roman"/>
          <w:b/>
          <w:bCs/>
          <w:kern w:val="0"/>
          <w:sz w:val="36"/>
          <w:szCs w:val="36"/>
          <w14:ligatures w14:val="none"/>
        </w:rPr>
        <w:t>2.1 Enterprise Scale and Topology</w:t>
      </w:r>
    </w:p>
    <w:p w14:paraId="773EA35F"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The organization operates as a </w:t>
      </w:r>
      <w:r w:rsidRPr="00AE1CEA">
        <w:rPr>
          <w:rFonts w:ascii="Times New Roman" w:eastAsia="Times New Roman" w:hAnsi="Times New Roman" w:cs="Times New Roman"/>
          <w:b/>
          <w:bCs/>
          <w:kern w:val="0"/>
          <w14:ligatures w14:val="none"/>
        </w:rPr>
        <w:t>large U.S.-based enterprise</w:t>
      </w:r>
      <w:r w:rsidRPr="00AE1CEA">
        <w:rPr>
          <w:rFonts w:ascii="Times New Roman" w:eastAsia="Times New Roman" w:hAnsi="Times New Roman" w:cs="Times New Roman"/>
          <w:kern w:val="0"/>
          <w14:ligatures w14:val="none"/>
        </w:rPr>
        <w:t xml:space="preserve"> with a highly distributed physical and digital footprint supporting multiple business units and technology domains. The environment includes:</w:t>
      </w:r>
    </w:p>
    <w:p w14:paraId="390E596A" w14:textId="77777777" w:rsidR="00AE1CEA" w:rsidRPr="00AE1CEA" w:rsidRDefault="00AE1CEA" w:rsidP="00AE1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10,000+ retail store locations</w:t>
      </w:r>
      <w:r w:rsidRPr="00AE1CEA">
        <w:rPr>
          <w:rFonts w:ascii="Times New Roman" w:eastAsia="Times New Roman" w:hAnsi="Times New Roman" w:cs="Times New Roman"/>
          <w:kern w:val="0"/>
          <w14:ligatures w14:val="none"/>
        </w:rPr>
        <w:t>, each operating a local network zone</w:t>
      </w:r>
    </w:p>
    <w:p w14:paraId="7689128B" w14:textId="77777777" w:rsidR="00AE1CEA" w:rsidRPr="00AE1CEA" w:rsidRDefault="00AE1CEA" w:rsidP="00AE1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150,000+ total endpoints</w:t>
      </w:r>
      <w:r w:rsidRPr="00AE1CEA">
        <w:rPr>
          <w:rFonts w:ascii="Times New Roman" w:eastAsia="Times New Roman" w:hAnsi="Times New Roman" w:cs="Times New Roman"/>
          <w:kern w:val="0"/>
          <w14:ligatures w14:val="none"/>
        </w:rPr>
        <w:t>, including:</w:t>
      </w:r>
    </w:p>
    <w:p w14:paraId="039952F0" w14:textId="77777777" w:rsidR="00AE1CEA" w:rsidRPr="00AE1CEA" w:rsidRDefault="00AE1CEA" w:rsidP="00AE1CE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POS/POS-adjacent systems</w:t>
      </w:r>
    </w:p>
    <w:p w14:paraId="2C0F7F28" w14:textId="77777777" w:rsidR="00AE1CEA" w:rsidRPr="00AE1CEA" w:rsidRDefault="00AE1CEA" w:rsidP="00AE1CE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Workstations and laptops</w:t>
      </w:r>
    </w:p>
    <w:p w14:paraId="698DDD52" w14:textId="77777777" w:rsidR="00AE1CEA" w:rsidRPr="00AE1CEA" w:rsidRDefault="00AE1CEA" w:rsidP="00AE1CE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IoT and smart retail devices</w:t>
      </w:r>
    </w:p>
    <w:p w14:paraId="0270910C" w14:textId="77777777" w:rsidR="00AE1CEA" w:rsidRPr="00AE1CEA" w:rsidRDefault="00AE1CEA" w:rsidP="00AE1CE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Warehouse automation systems</w:t>
      </w:r>
    </w:p>
    <w:p w14:paraId="33792F4F" w14:textId="77777777" w:rsidR="00AE1CEA" w:rsidRPr="00AE1CEA" w:rsidRDefault="00AE1CEA" w:rsidP="00AE1CE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OT/Robotics assets in distribution centers</w:t>
      </w:r>
    </w:p>
    <w:p w14:paraId="4B18BB26" w14:textId="77777777" w:rsidR="00AE1CEA" w:rsidRPr="00AE1CEA" w:rsidRDefault="00AE1CEA" w:rsidP="00AE1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Corporate, Distribution, R&amp;D, and Subsidiary offices</w:t>
      </w:r>
    </w:p>
    <w:p w14:paraId="0ED07C4C" w14:textId="77777777" w:rsidR="00AE1CEA" w:rsidRPr="00AE1CEA" w:rsidRDefault="00AE1CEA" w:rsidP="00AE1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500+ third-party partner connections</w:t>
      </w:r>
      <w:r w:rsidRPr="00AE1CEA">
        <w:rPr>
          <w:rFonts w:ascii="Times New Roman" w:eastAsia="Times New Roman" w:hAnsi="Times New Roman" w:cs="Times New Roman"/>
          <w:kern w:val="0"/>
          <w14:ligatures w14:val="none"/>
        </w:rPr>
        <w:t xml:space="preserve"> (vendors, supply-chain links, service providers)</w:t>
      </w:r>
    </w:p>
    <w:p w14:paraId="6F3D1AC4" w14:textId="77777777" w:rsidR="00AE1CEA" w:rsidRPr="00AE1CEA" w:rsidRDefault="00AE1CEA" w:rsidP="00AE1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Multiple datacenters</w:t>
      </w:r>
      <w:r w:rsidRPr="00AE1CEA">
        <w:rPr>
          <w:rFonts w:ascii="Times New Roman" w:eastAsia="Times New Roman" w:hAnsi="Times New Roman" w:cs="Times New Roman"/>
          <w:kern w:val="0"/>
          <w14:ligatures w14:val="none"/>
        </w:rPr>
        <w:t xml:space="preserve"> across regional hubs</w:t>
      </w:r>
    </w:p>
    <w:p w14:paraId="1638C306" w14:textId="77777777" w:rsidR="00AE1CEA" w:rsidRPr="00AE1CEA" w:rsidRDefault="00AE1CEA" w:rsidP="00AE1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Large multi-cloud presence</w:t>
      </w:r>
      <w:r w:rsidRPr="00AE1CEA">
        <w:rPr>
          <w:rFonts w:ascii="Times New Roman" w:eastAsia="Times New Roman" w:hAnsi="Times New Roman" w:cs="Times New Roman"/>
          <w:kern w:val="0"/>
          <w14:ligatures w14:val="none"/>
        </w:rPr>
        <w:t xml:space="preserve"> across AWS, Azure, and GCP</w:t>
      </w:r>
    </w:p>
    <w:p w14:paraId="1A9E6D5C"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2.1.1 Retail Address Architecture</w:t>
      </w:r>
    </w:p>
    <w:p w14:paraId="4AD63465"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Each retail store is assigned a </w:t>
      </w:r>
      <w:r w:rsidRPr="00AE1CEA">
        <w:rPr>
          <w:rFonts w:ascii="Times New Roman" w:eastAsia="Times New Roman" w:hAnsi="Times New Roman" w:cs="Times New Roman"/>
          <w:b/>
          <w:bCs/>
          <w:kern w:val="0"/>
          <w14:ligatures w14:val="none"/>
        </w:rPr>
        <w:t>unique /26 IPv4 block</w:t>
      </w:r>
      <w:r w:rsidRPr="00AE1CEA">
        <w:rPr>
          <w:rFonts w:ascii="Times New Roman" w:eastAsia="Times New Roman" w:hAnsi="Times New Roman" w:cs="Times New Roman"/>
          <w:kern w:val="0"/>
          <w14:ligatures w14:val="none"/>
        </w:rPr>
        <w:t xml:space="preserve"> carved from the 172.16.0.0/12 RFC1918 space.</w:t>
      </w:r>
      <w:r w:rsidRPr="00AE1CEA">
        <w:rPr>
          <w:rFonts w:ascii="Times New Roman" w:eastAsia="Times New Roman" w:hAnsi="Times New Roman" w:cs="Times New Roman"/>
          <w:kern w:val="0"/>
          <w14:ligatures w14:val="none"/>
        </w:rPr>
        <w:br/>
        <w:t>This provides:</w:t>
      </w:r>
    </w:p>
    <w:p w14:paraId="16A4D598" w14:textId="77777777" w:rsidR="00AE1CEA" w:rsidRPr="00AE1CEA" w:rsidRDefault="00AE1CEA" w:rsidP="00AE1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Deterministic per-store addressing</w:t>
      </w:r>
    </w:p>
    <w:p w14:paraId="4CA2E5F6" w14:textId="77777777" w:rsidR="00AE1CEA" w:rsidRPr="00AE1CEA" w:rsidRDefault="00AE1CEA" w:rsidP="00AE1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Collision-free attribution in telemetry</w:t>
      </w:r>
    </w:p>
    <w:p w14:paraId="205CDB9F" w14:textId="77777777" w:rsidR="00AE1CEA" w:rsidRPr="00AE1CEA" w:rsidRDefault="00AE1CEA" w:rsidP="00AE1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Static mapping between NAT pools and store identity</w:t>
      </w:r>
    </w:p>
    <w:p w14:paraId="256220A8" w14:textId="77777777" w:rsidR="00AE1CEA" w:rsidRPr="00AE1CEA" w:rsidRDefault="00AE1CEA" w:rsidP="00AE1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Stability for flow-based analytics on SD-WAN and core edge devices</w:t>
      </w:r>
    </w:p>
    <w:p w14:paraId="408B81DB"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This deterministic approach is ideal for NDR platforms relying on network metadata (NetFlow/IPFIX), as each flow can be unambiguously attributed to the originating retail site.</w:t>
      </w:r>
    </w:p>
    <w:p w14:paraId="43018A92"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2.1.2 Split-Brain Application Delivery</w:t>
      </w:r>
    </w:p>
    <w:p w14:paraId="2D2DDEFA"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lastRenderedPageBreak/>
        <w:t>Applications are accessed via one of two primary service paths:</w:t>
      </w:r>
    </w:p>
    <w:p w14:paraId="53CFF1CA" w14:textId="77777777" w:rsidR="00AE1CEA" w:rsidRPr="00AE1CEA" w:rsidRDefault="00AE1CEA" w:rsidP="00AE1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Internet-facing</w:t>
      </w:r>
      <w:r w:rsidRPr="00AE1CEA">
        <w:rPr>
          <w:rFonts w:ascii="Times New Roman" w:eastAsia="Times New Roman" w:hAnsi="Times New Roman" w:cs="Times New Roman"/>
          <w:kern w:val="0"/>
          <w14:ligatures w14:val="none"/>
        </w:rPr>
        <w:t xml:space="preserve"> applications (public APIs, consumer services, partner portals)</w:t>
      </w:r>
    </w:p>
    <w:p w14:paraId="6B7BAB78" w14:textId="77777777" w:rsidR="00AE1CEA" w:rsidRPr="00AE1CEA" w:rsidRDefault="00AE1CEA" w:rsidP="00AE1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Intranet-facing</w:t>
      </w:r>
      <w:r w:rsidRPr="00AE1CEA">
        <w:rPr>
          <w:rFonts w:ascii="Times New Roman" w:eastAsia="Times New Roman" w:hAnsi="Times New Roman" w:cs="Times New Roman"/>
          <w:kern w:val="0"/>
          <w14:ligatures w14:val="none"/>
        </w:rPr>
        <w:t xml:space="preserve"> applications delivered through internal WAN/DC or cloud private routing</w:t>
      </w:r>
    </w:p>
    <w:p w14:paraId="026E19AD"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This dual-delivery pattern increases the complexity of detection, as threats can originate from:</w:t>
      </w:r>
    </w:p>
    <w:p w14:paraId="54DBB7B8" w14:textId="77777777" w:rsidR="00AE1CEA" w:rsidRPr="00AE1CEA" w:rsidRDefault="00AE1CEA" w:rsidP="00AE1C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Internet-based adversaries</w:t>
      </w:r>
    </w:p>
    <w:p w14:paraId="0C23FEB1" w14:textId="77777777" w:rsidR="00AE1CEA" w:rsidRPr="00AE1CEA" w:rsidRDefault="00AE1CEA" w:rsidP="00AE1C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Internal enterprise misuse</w:t>
      </w:r>
    </w:p>
    <w:p w14:paraId="5BEE858B" w14:textId="77777777" w:rsidR="00AE1CEA" w:rsidRPr="00AE1CEA" w:rsidRDefault="00AE1CEA" w:rsidP="00AE1C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Remote access misuse</w:t>
      </w:r>
    </w:p>
    <w:p w14:paraId="68861D01" w14:textId="77777777" w:rsidR="00AE1CEA" w:rsidRPr="00AE1CEA" w:rsidRDefault="00AE1CEA" w:rsidP="00AE1C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Third-party or partner-originated breaches</w:t>
      </w:r>
    </w:p>
    <w:p w14:paraId="7C13A4B3" w14:textId="77777777" w:rsidR="00AE1CEA" w:rsidRPr="00AE1CEA" w:rsidRDefault="00AE1CEA" w:rsidP="00AE1C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Cloud-native lateral movement</w:t>
      </w:r>
    </w:p>
    <w:p w14:paraId="18A2521A"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NDR must therefore unify detection across both Internet and internal Intranet paths.</w:t>
      </w:r>
    </w:p>
    <w:p w14:paraId="263478A7" w14:textId="77777777" w:rsidR="00AE1CEA" w:rsidRPr="00AE1CEA" w:rsidRDefault="00CF4A6E" w:rsidP="00AE1CEA">
      <w:pPr>
        <w:spacing w:after="0" w:line="240" w:lineRule="auto"/>
        <w:rPr>
          <w:rFonts w:ascii="Times New Roman" w:eastAsia="Times New Roman" w:hAnsi="Times New Roman" w:cs="Times New Roman"/>
          <w:kern w:val="0"/>
          <w14:ligatures w14:val="none"/>
        </w:rPr>
      </w:pPr>
      <w:r w:rsidRPr="00CF4A6E">
        <w:rPr>
          <w:rFonts w:ascii="Times New Roman" w:eastAsia="Times New Roman" w:hAnsi="Times New Roman" w:cs="Times New Roman"/>
          <w:noProof/>
          <w:kern w:val="0"/>
        </w:rPr>
        <w:pict w14:anchorId="074C3B62">
          <v:rect id="_x0000_i1030" alt="" style="width:468pt;height:.05pt;mso-width-percent:0;mso-height-percent:0;mso-width-percent:0;mso-height-percent:0" o:hralign="center" o:hrstd="t" o:hr="t" fillcolor="#a0a0a0" stroked="f"/>
        </w:pict>
      </w:r>
    </w:p>
    <w:p w14:paraId="460563E7" w14:textId="77777777" w:rsidR="00AE1CEA" w:rsidRPr="00AE1CEA" w:rsidRDefault="00AE1CEA" w:rsidP="00AE1C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1CEA">
        <w:rPr>
          <w:rFonts w:ascii="Times New Roman" w:eastAsia="Times New Roman" w:hAnsi="Times New Roman" w:cs="Times New Roman"/>
          <w:b/>
          <w:bCs/>
          <w:kern w:val="0"/>
          <w:sz w:val="36"/>
          <w:szCs w:val="36"/>
          <w14:ligatures w14:val="none"/>
        </w:rPr>
        <w:t>2.2 National Hybrid WAN Architecture</w:t>
      </w:r>
    </w:p>
    <w:p w14:paraId="57D66876"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The enterprise operates a </w:t>
      </w:r>
      <w:r w:rsidRPr="00AE1CEA">
        <w:rPr>
          <w:rFonts w:ascii="Times New Roman" w:eastAsia="Times New Roman" w:hAnsi="Times New Roman" w:cs="Times New Roman"/>
          <w:b/>
          <w:bCs/>
          <w:kern w:val="0"/>
          <w14:ligatures w14:val="none"/>
        </w:rPr>
        <w:t>national hybrid WAN</w:t>
      </w:r>
      <w:r w:rsidRPr="00AE1CEA">
        <w:rPr>
          <w:rFonts w:ascii="Times New Roman" w:eastAsia="Times New Roman" w:hAnsi="Times New Roman" w:cs="Times New Roman"/>
          <w:kern w:val="0"/>
          <w14:ligatures w14:val="none"/>
        </w:rPr>
        <w:t xml:space="preserve"> integrating:</w:t>
      </w:r>
    </w:p>
    <w:p w14:paraId="57726503" w14:textId="77777777" w:rsidR="00AE1CEA" w:rsidRPr="00AE1CEA" w:rsidRDefault="00AE1CEA" w:rsidP="00AE1C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SD-WAN fabric overlays</w:t>
      </w:r>
    </w:p>
    <w:p w14:paraId="5A99FE61" w14:textId="77777777" w:rsidR="00AE1CEA" w:rsidRPr="00AE1CEA" w:rsidRDefault="00AE1CEA" w:rsidP="00AE1C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MPLS backbones</w:t>
      </w:r>
    </w:p>
    <w:p w14:paraId="60C0A45B" w14:textId="77777777" w:rsidR="00AE1CEA" w:rsidRPr="00AE1CEA" w:rsidRDefault="00AE1CEA" w:rsidP="00AE1C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Metro-Ethernet circuits</w:t>
      </w:r>
    </w:p>
    <w:p w14:paraId="596E1E15" w14:textId="77777777" w:rsidR="00AE1CEA" w:rsidRPr="00AE1CEA" w:rsidRDefault="00AE1CEA" w:rsidP="00AE1C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Broadband aggregation</w:t>
      </w:r>
    </w:p>
    <w:p w14:paraId="70850276" w14:textId="77777777" w:rsidR="00AE1CEA" w:rsidRPr="00AE1CEA" w:rsidRDefault="00AE1CEA" w:rsidP="00AE1C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5G/LTE for failover or micro-sites</w:t>
      </w:r>
    </w:p>
    <w:p w14:paraId="39BC6C38" w14:textId="77777777" w:rsidR="00AE1CEA" w:rsidRPr="00AE1CEA" w:rsidRDefault="00AE1CEA" w:rsidP="00AE1C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Direct private cloud connectivity</w:t>
      </w:r>
    </w:p>
    <w:p w14:paraId="0C9063DC"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2.2.1 SD-WAN Edge Roles</w:t>
      </w:r>
    </w:p>
    <w:p w14:paraId="1A53954A"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SD-WAN is implemented across nearly every distributed site, with SD-WAN routers performing:</w:t>
      </w:r>
    </w:p>
    <w:p w14:paraId="1392EB5D" w14:textId="77777777" w:rsidR="00AE1CEA" w:rsidRPr="00AE1CEA" w:rsidRDefault="00AE1CEA" w:rsidP="00AE1C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Traffic engineering</w:t>
      </w:r>
    </w:p>
    <w:p w14:paraId="065BFA19" w14:textId="77777777" w:rsidR="00AE1CEA" w:rsidRPr="00AE1CEA" w:rsidRDefault="00AE1CEA" w:rsidP="00AE1C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Segmentation enforcement</w:t>
      </w:r>
    </w:p>
    <w:p w14:paraId="1196441D" w14:textId="77777777" w:rsidR="00AE1CEA" w:rsidRPr="00AE1CEA" w:rsidRDefault="00AE1CEA" w:rsidP="00AE1C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Path steering (Internet vs Intranet)</w:t>
      </w:r>
    </w:p>
    <w:p w14:paraId="4CBFB466" w14:textId="77777777" w:rsidR="00AE1CEA" w:rsidRPr="00AE1CEA" w:rsidRDefault="00AE1CEA" w:rsidP="00AE1C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Source NAT (SNAT)</w:t>
      </w:r>
      <w:r w:rsidRPr="00AE1CEA">
        <w:rPr>
          <w:rFonts w:ascii="Times New Roman" w:eastAsia="Times New Roman" w:hAnsi="Times New Roman" w:cs="Times New Roman"/>
          <w:kern w:val="0"/>
          <w14:ligatures w14:val="none"/>
        </w:rPr>
        <w:t xml:space="preserve"> for retail sites</w:t>
      </w:r>
    </w:p>
    <w:p w14:paraId="717878CE" w14:textId="77777777" w:rsidR="00AE1CEA" w:rsidRPr="00AE1CEA" w:rsidRDefault="00AE1CEA" w:rsidP="00AE1C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Flow record generation (NetFlow/IPFIX)</w:t>
      </w:r>
    </w:p>
    <w:p w14:paraId="35BF692D" w14:textId="77777777" w:rsidR="00AE1CEA" w:rsidRPr="00AE1CEA" w:rsidRDefault="00AE1CEA" w:rsidP="00AE1C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Application-aware routing for cloud services</w:t>
      </w:r>
    </w:p>
    <w:p w14:paraId="0B32C462" w14:textId="77777777" w:rsidR="00AE1CEA" w:rsidRPr="00AE1CEA" w:rsidRDefault="00AE1CEA" w:rsidP="00AE1C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WAN SLA monitoring</w:t>
      </w:r>
    </w:p>
    <w:p w14:paraId="35A49FB2"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2.2.2 Retail-to-Corporate Traffic Model</w:t>
      </w:r>
    </w:p>
    <w:p w14:paraId="078F3D12"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Retail sites communicate with corporate systems through SD-WAN, with SNAT performed </w:t>
      </w:r>
      <w:r w:rsidRPr="00AE1CEA">
        <w:rPr>
          <w:rFonts w:ascii="Times New Roman" w:eastAsia="Times New Roman" w:hAnsi="Times New Roman" w:cs="Times New Roman"/>
          <w:b/>
          <w:bCs/>
          <w:kern w:val="0"/>
          <w14:ligatures w14:val="none"/>
        </w:rPr>
        <w:t>at the store’s edge</w:t>
      </w:r>
      <w:r w:rsidRPr="00AE1CEA">
        <w:rPr>
          <w:rFonts w:ascii="Times New Roman" w:eastAsia="Times New Roman" w:hAnsi="Times New Roman" w:cs="Times New Roman"/>
          <w:kern w:val="0"/>
          <w14:ligatures w14:val="none"/>
        </w:rPr>
        <w:t xml:space="preserve"> using NAT pools derived from each store’s unique /26 block.</w:t>
      </w:r>
    </w:p>
    <w:p w14:paraId="1D268101"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lastRenderedPageBreak/>
        <w:t>This provides:</w:t>
      </w:r>
    </w:p>
    <w:p w14:paraId="692FD64F" w14:textId="77777777" w:rsidR="00AE1CEA" w:rsidRPr="00AE1CEA" w:rsidRDefault="00AE1CEA" w:rsidP="00AE1C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Clean per-store identity</w:t>
      </w:r>
    </w:p>
    <w:p w14:paraId="6B3D7175" w14:textId="77777777" w:rsidR="00AE1CEA" w:rsidRPr="00AE1CEA" w:rsidRDefault="00AE1CEA" w:rsidP="00AE1C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Subnets that act like logical “store tags”</w:t>
      </w:r>
    </w:p>
    <w:p w14:paraId="2F3690C3" w14:textId="77777777" w:rsidR="00AE1CEA" w:rsidRPr="00AE1CEA" w:rsidRDefault="00AE1CEA" w:rsidP="00AE1C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Predictable traffic patterns for analytics</w:t>
      </w:r>
    </w:p>
    <w:p w14:paraId="5B5C5B09" w14:textId="77777777" w:rsidR="00AE1CEA" w:rsidRPr="00AE1CEA" w:rsidRDefault="00AE1CEA" w:rsidP="00AE1C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Segmentation consistency across the WAN</w:t>
      </w:r>
    </w:p>
    <w:p w14:paraId="011D4C14"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2.2.3 Implications for NDR</w:t>
      </w:r>
    </w:p>
    <w:p w14:paraId="5BFC4CA4"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This environment produces large volumes of flow data with highly predictable per-store behavior, enabling:</w:t>
      </w:r>
    </w:p>
    <w:p w14:paraId="79152450" w14:textId="77777777" w:rsidR="00AE1CEA" w:rsidRPr="00AE1CEA" w:rsidRDefault="00AE1CEA" w:rsidP="00AE1C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Per-site behavioral baselining</w:t>
      </w:r>
    </w:p>
    <w:p w14:paraId="3B1F1C94" w14:textId="77777777" w:rsidR="00AE1CEA" w:rsidRPr="00AE1CEA" w:rsidRDefault="00AE1CEA" w:rsidP="00AE1C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Detection of outlier stores</w:t>
      </w:r>
    </w:p>
    <w:p w14:paraId="33983BFF" w14:textId="77777777" w:rsidR="00AE1CEA" w:rsidRPr="00AE1CEA" w:rsidRDefault="00AE1CEA" w:rsidP="00AE1C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Lateral threat identification between stores and DCs</w:t>
      </w:r>
    </w:p>
    <w:p w14:paraId="7242847E" w14:textId="77777777" w:rsidR="00AE1CEA" w:rsidRPr="00AE1CEA" w:rsidRDefault="00AE1CEA" w:rsidP="00AE1C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High-fidelity anomaly detection at scale</w:t>
      </w:r>
    </w:p>
    <w:p w14:paraId="7CE1D453"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NDR solutions must be able to ingest and correlate millions of flow records per hour.</w:t>
      </w:r>
    </w:p>
    <w:p w14:paraId="7E9B6C69" w14:textId="77777777" w:rsidR="00AE1CEA" w:rsidRPr="00AE1CEA" w:rsidRDefault="00CF4A6E" w:rsidP="00AE1CEA">
      <w:pPr>
        <w:spacing w:after="0" w:line="240" w:lineRule="auto"/>
        <w:rPr>
          <w:rFonts w:ascii="Times New Roman" w:eastAsia="Times New Roman" w:hAnsi="Times New Roman" w:cs="Times New Roman"/>
          <w:kern w:val="0"/>
          <w14:ligatures w14:val="none"/>
        </w:rPr>
      </w:pPr>
      <w:r w:rsidRPr="00CF4A6E">
        <w:rPr>
          <w:rFonts w:ascii="Times New Roman" w:eastAsia="Times New Roman" w:hAnsi="Times New Roman" w:cs="Times New Roman"/>
          <w:noProof/>
          <w:kern w:val="0"/>
        </w:rPr>
        <w:pict w14:anchorId="128EC5F1">
          <v:rect id="_x0000_i1029" alt="" style="width:468pt;height:.05pt;mso-width-percent:0;mso-height-percent:0;mso-width-percent:0;mso-height-percent:0" o:hralign="center" o:hrstd="t" o:hr="t" fillcolor="#a0a0a0" stroked="f"/>
        </w:pict>
      </w:r>
    </w:p>
    <w:p w14:paraId="2B9AE684" w14:textId="77777777" w:rsidR="00AE1CEA" w:rsidRPr="00AE1CEA" w:rsidRDefault="00AE1CEA" w:rsidP="00AE1C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1CEA">
        <w:rPr>
          <w:rFonts w:ascii="Times New Roman" w:eastAsia="Times New Roman" w:hAnsi="Times New Roman" w:cs="Times New Roman"/>
          <w:b/>
          <w:bCs/>
          <w:kern w:val="0"/>
          <w:sz w:val="36"/>
          <w:szCs w:val="36"/>
          <w14:ligatures w14:val="none"/>
        </w:rPr>
        <w:t>2.3 Remote User Connectivity Model</w:t>
      </w:r>
    </w:p>
    <w:p w14:paraId="708A1EDB"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The enterprise relies heavily on remote workforce operations, supported through:</w:t>
      </w:r>
    </w:p>
    <w:p w14:paraId="7DCEADA4" w14:textId="77777777" w:rsidR="00AE1CEA" w:rsidRPr="00AE1CEA" w:rsidRDefault="00AE1CEA" w:rsidP="00AE1CE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Cisco Secure VPN</w:t>
      </w:r>
    </w:p>
    <w:p w14:paraId="7CE876F8" w14:textId="77777777" w:rsidR="00AE1CEA" w:rsidRPr="00AE1CEA" w:rsidRDefault="00AE1CEA" w:rsidP="00AE1CE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Zscaler Internet Access (ZIA)</w:t>
      </w:r>
    </w:p>
    <w:p w14:paraId="7D28F4D0" w14:textId="77777777" w:rsidR="00AE1CEA" w:rsidRPr="00AE1CEA" w:rsidRDefault="00AE1CEA" w:rsidP="00AE1CE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Zscaler Private Access (ZPA)</w:t>
      </w:r>
    </w:p>
    <w:p w14:paraId="2744BEFC"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2.3.1 ZIA – Internet Egress</w:t>
      </w:r>
    </w:p>
    <w:p w14:paraId="135F80EC"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ZIA handles:</w:t>
      </w:r>
    </w:p>
    <w:p w14:paraId="51E19A20" w14:textId="77777777" w:rsidR="00AE1CEA" w:rsidRPr="00AE1CEA" w:rsidRDefault="00AE1CEA" w:rsidP="00AE1C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Remote Internet-bound traffic</w:t>
      </w:r>
    </w:p>
    <w:p w14:paraId="56E2A6E6" w14:textId="77777777" w:rsidR="00AE1CEA" w:rsidRPr="00AE1CEA" w:rsidRDefault="00AE1CEA" w:rsidP="00AE1C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TLS inspection (policy-dependent)</w:t>
      </w:r>
    </w:p>
    <w:p w14:paraId="5029A743" w14:textId="77777777" w:rsidR="00AE1CEA" w:rsidRPr="00AE1CEA" w:rsidRDefault="00AE1CEA" w:rsidP="00AE1C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CASB/DLP controls</w:t>
      </w:r>
    </w:p>
    <w:p w14:paraId="690289C8" w14:textId="77777777" w:rsidR="00AE1CEA" w:rsidRPr="00AE1CEA" w:rsidRDefault="00AE1CEA" w:rsidP="00AE1C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Malware scanning</w:t>
      </w:r>
    </w:p>
    <w:p w14:paraId="216CB2B2" w14:textId="77777777" w:rsidR="00AE1CEA" w:rsidRPr="00AE1CEA" w:rsidRDefault="00AE1CEA" w:rsidP="00AE1C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Cloud sandboxing</w:t>
      </w:r>
    </w:p>
    <w:p w14:paraId="621025DD"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Since ZIA traffic bypasses internal NDR sensors, </w:t>
      </w:r>
      <w:r w:rsidRPr="00AE1CEA">
        <w:rPr>
          <w:rFonts w:ascii="Times New Roman" w:eastAsia="Times New Roman" w:hAnsi="Times New Roman" w:cs="Times New Roman"/>
          <w:b/>
          <w:bCs/>
          <w:kern w:val="0"/>
          <w14:ligatures w14:val="none"/>
        </w:rPr>
        <w:t>Zscaler logs must be ingested</w:t>
      </w:r>
      <w:r w:rsidRPr="00AE1CEA">
        <w:rPr>
          <w:rFonts w:ascii="Times New Roman" w:eastAsia="Times New Roman" w:hAnsi="Times New Roman" w:cs="Times New Roman"/>
          <w:kern w:val="0"/>
          <w14:ligatures w14:val="none"/>
        </w:rPr>
        <w:t xml:space="preserve"> into the NDR platform or SIEM for:</w:t>
      </w:r>
    </w:p>
    <w:p w14:paraId="208968E7" w14:textId="77777777" w:rsidR="00AE1CEA" w:rsidRPr="00AE1CEA" w:rsidRDefault="00AE1CEA" w:rsidP="00AE1C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Threat correlation</w:t>
      </w:r>
    </w:p>
    <w:p w14:paraId="528A22AF" w14:textId="77777777" w:rsidR="00AE1CEA" w:rsidRPr="00AE1CEA" w:rsidRDefault="00AE1CEA" w:rsidP="00AE1C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Remote user attack-signal mapping</w:t>
      </w:r>
    </w:p>
    <w:p w14:paraId="18617954" w14:textId="77777777" w:rsidR="00AE1CEA" w:rsidRPr="00AE1CEA" w:rsidRDefault="00AE1CEA" w:rsidP="00AE1C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Detection integration with cloud identity</w:t>
      </w:r>
    </w:p>
    <w:p w14:paraId="6E78589D"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lastRenderedPageBreak/>
        <w:t>2.3.2 ZPA – Private Application Access</w:t>
      </w:r>
    </w:p>
    <w:p w14:paraId="19EC7BB8"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ZPA enables identity-based access to internal applications by steering traffic through:</w:t>
      </w:r>
    </w:p>
    <w:p w14:paraId="2052FEEA" w14:textId="77777777" w:rsidR="00AE1CEA" w:rsidRPr="00AE1CEA" w:rsidRDefault="00AE1CEA" w:rsidP="00AE1C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ZPA Client Connector</w:t>
      </w:r>
    </w:p>
    <w:p w14:paraId="2B0A0BE9" w14:textId="77777777" w:rsidR="00AE1CEA" w:rsidRPr="00AE1CEA" w:rsidRDefault="00AE1CEA" w:rsidP="00AE1C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Zscaler ZPA cloud broker</w:t>
      </w:r>
    </w:p>
    <w:p w14:paraId="3B77A643" w14:textId="77777777" w:rsidR="00AE1CEA" w:rsidRPr="00AE1CEA" w:rsidRDefault="00AE1CEA" w:rsidP="00AE1C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ZPA App Connectors in enterprise datacenters</w:t>
      </w:r>
    </w:p>
    <w:p w14:paraId="78323027" w14:textId="77777777" w:rsidR="00AE1CEA" w:rsidRPr="00AE1CEA" w:rsidRDefault="00AE1CEA" w:rsidP="00AE1C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Cisco switching, routing, and security infrastructure</w:t>
      </w:r>
    </w:p>
    <w:p w14:paraId="386E43E0" w14:textId="77777777" w:rsidR="00AE1CEA" w:rsidRPr="00AE1CEA" w:rsidRDefault="00AE1CEA" w:rsidP="00AE1C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Internal apps (DC or cloud private routing)</w:t>
      </w:r>
    </w:p>
    <w:p w14:paraId="792EBE04"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ZPA traffic </w:t>
      </w:r>
      <w:r w:rsidRPr="00AE1CEA">
        <w:rPr>
          <w:rFonts w:ascii="Times New Roman" w:eastAsia="Times New Roman" w:hAnsi="Times New Roman" w:cs="Times New Roman"/>
          <w:b/>
          <w:bCs/>
          <w:kern w:val="0"/>
          <w14:ligatures w14:val="none"/>
        </w:rPr>
        <w:t>becomes fully visible</w:t>
      </w:r>
      <w:r w:rsidRPr="00AE1CEA">
        <w:rPr>
          <w:rFonts w:ascii="Times New Roman" w:eastAsia="Times New Roman" w:hAnsi="Times New Roman" w:cs="Times New Roman"/>
          <w:kern w:val="0"/>
          <w14:ligatures w14:val="none"/>
        </w:rPr>
        <w:t xml:space="preserve"> once it passes the App Connector into the datacenter.</w:t>
      </w:r>
    </w:p>
    <w:p w14:paraId="113C90E6"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This is crucial because it means:</w:t>
      </w:r>
    </w:p>
    <w:p w14:paraId="5B8F7B54" w14:textId="77777777" w:rsidR="00AE1CEA" w:rsidRPr="00AE1CEA" w:rsidRDefault="00AE1CEA" w:rsidP="00AE1CE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Remote → internal traffic is visible to Cisco NetFlow/ETA</w:t>
      </w:r>
    </w:p>
    <w:p w14:paraId="2A7B3310" w14:textId="77777777" w:rsidR="00AE1CEA" w:rsidRPr="00AE1CEA" w:rsidRDefault="00AE1CEA" w:rsidP="00AE1CE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NDR has direct visibility into remote user actions inside DCs</w:t>
      </w:r>
    </w:p>
    <w:p w14:paraId="5362B5B8" w14:textId="77777777" w:rsidR="00AE1CEA" w:rsidRPr="00AE1CEA" w:rsidRDefault="00AE1CEA" w:rsidP="00AE1CE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Identity correlation becomes mandatory for accurate analysis</w:t>
      </w:r>
    </w:p>
    <w:p w14:paraId="0CE22392"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NDR platforms must integrate with:</w:t>
      </w:r>
    </w:p>
    <w:p w14:paraId="5A7B55B4" w14:textId="77777777" w:rsidR="00AE1CEA" w:rsidRPr="00AE1CEA" w:rsidRDefault="00AE1CEA" w:rsidP="00AE1CE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ZPA logs</w:t>
      </w:r>
    </w:p>
    <w:p w14:paraId="4893C709" w14:textId="77777777" w:rsidR="00AE1CEA" w:rsidRPr="00AE1CEA" w:rsidRDefault="00AE1CEA" w:rsidP="00AE1CE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Azure AD / SSO identity events</w:t>
      </w:r>
    </w:p>
    <w:p w14:paraId="68478CA4" w14:textId="77777777" w:rsidR="00AE1CEA" w:rsidRPr="00AE1CEA" w:rsidRDefault="00AE1CEA" w:rsidP="00AE1CE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DC-side flow telemetry</w:t>
      </w:r>
    </w:p>
    <w:p w14:paraId="1BEB70C2"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2.3.3 Hybrid Identity and Access</w:t>
      </w:r>
    </w:p>
    <w:p w14:paraId="32517BA6"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Remote access events must be correlated through:</w:t>
      </w:r>
    </w:p>
    <w:p w14:paraId="7B01597B" w14:textId="77777777" w:rsidR="00AE1CEA" w:rsidRPr="00AE1CEA" w:rsidRDefault="00AE1CEA" w:rsidP="00AE1CE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Device identity</w:t>
      </w:r>
    </w:p>
    <w:p w14:paraId="7DD2BD24" w14:textId="77777777" w:rsidR="00AE1CEA" w:rsidRPr="00AE1CEA" w:rsidRDefault="00AE1CEA" w:rsidP="00AE1CE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User identity</w:t>
      </w:r>
    </w:p>
    <w:p w14:paraId="18AEF8DB" w14:textId="77777777" w:rsidR="00AE1CEA" w:rsidRPr="00AE1CEA" w:rsidRDefault="00AE1CEA" w:rsidP="00AE1CE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Contextual login data</w:t>
      </w:r>
    </w:p>
    <w:p w14:paraId="0B8D96E5" w14:textId="77777777" w:rsidR="00AE1CEA" w:rsidRPr="00AE1CEA" w:rsidRDefault="00AE1CEA" w:rsidP="00AE1CE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Session attributes</w:t>
      </w:r>
    </w:p>
    <w:p w14:paraId="51E27E8C" w14:textId="77777777" w:rsidR="00AE1CEA" w:rsidRPr="00AE1CEA" w:rsidRDefault="00AE1CEA" w:rsidP="00AE1CE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Application access paths</w:t>
      </w:r>
    </w:p>
    <w:p w14:paraId="791D92E7"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NDR solutions must </w:t>
      </w:r>
      <w:r w:rsidRPr="00AE1CEA">
        <w:rPr>
          <w:rFonts w:ascii="Times New Roman" w:eastAsia="Times New Roman" w:hAnsi="Times New Roman" w:cs="Times New Roman"/>
          <w:b/>
          <w:bCs/>
          <w:kern w:val="0"/>
          <w14:ligatures w14:val="none"/>
        </w:rPr>
        <w:t>merge ZPA/ZIA telemetry with on-prem and cloud flows</w:t>
      </w:r>
      <w:r w:rsidRPr="00AE1CEA">
        <w:rPr>
          <w:rFonts w:ascii="Times New Roman" w:eastAsia="Times New Roman" w:hAnsi="Times New Roman" w:cs="Times New Roman"/>
          <w:kern w:val="0"/>
          <w14:ligatures w14:val="none"/>
        </w:rPr>
        <w:t xml:space="preserve"> to produce unified attack narratives.</w:t>
      </w:r>
    </w:p>
    <w:p w14:paraId="7E99A425" w14:textId="77777777" w:rsidR="00AE1CEA" w:rsidRPr="00AE1CEA" w:rsidRDefault="00CF4A6E" w:rsidP="00AE1CEA">
      <w:pPr>
        <w:spacing w:after="0" w:line="240" w:lineRule="auto"/>
        <w:rPr>
          <w:rFonts w:ascii="Times New Roman" w:eastAsia="Times New Roman" w:hAnsi="Times New Roman" w:cs="Times New Roman"/>
          <w:kern w:val="0"/>
          <w14:ligatures w14:val="none"/>
        </w:rPr>
      </w:pPr>
      <w:r w:rsidRPr="00CF4A6E">
        <w:rPr>
          <w:rFonts w:ascii="Times New Roman" w:eastAsia="Times New Roman" w:hAnsi="Times New Roman" w:cs="Times New Roman"/>
          <w:noProof/>
          <w:kern w:val="0"/>
        </w:rPr>
        <w:pict w14:anchorId="0A4C7B65">
          <v:rect id="_x0000_i1028" alt="" style="width:468pt;height:.05pt;mso-width-percent:0;mso-height-percent:0;mso-width-percent:0;mso-height-percent:0" o:hralign="center" o:hrstd="t" o:hr="t" fillcolor="#a0a0a0" stroked="f"/>
        </w:pict>
      </w:r>
    </w:p>
    <w:p w14:paraId="673B25F0" w14:textId="77777777" w:rsidR="00AE1CEA" w:rsidRPr="00AE1CEA" w:rsidRDefault="00AE1CEA" w:rsidP="00AE1C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1CEA">
        <w:rPr>
          <w:rFonts w:ascii="Times New Roman" w:eastAsia="Times New Roman" w:hAnsi="Times New Roman" w:cs="Times New Roman"/>
          <w:b/>
          <w:bCs/>
          <w:kern w:val="0"/>
          <w:sz w:val="36"/>
          <w:szCs w:val="36"/>
          <w14:ligatures w14:val="none"/>
        </w:rPr>
        <w:t>2.4 Third-Party and Partner Connectivity</w:t>
      </w:r>
    </w:p>
    <w:p w14:paraId="632B43D3"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The enterprise maintains more than </w:t>
      </w:r>
      <w:r w:rsidRPr="00AE1CEA">
        <w:rPr>
          <w:rFonts w:ascii="Times New Roman" w:eastAsia="Times New Roman" w:hAnsi="Times New Roman" w:cs="Times New Roman"/>
          <w:b/>
          <w:bCs/>
          <w:kern w:val="0"/>
          <w14:ligatures w14:val="none"/>
        </w:rPr>
        <w:t>500 third-party partner networks</w:t>
      </w:r>
      <w:r w:rsidRPr="00AE1CEA">
        <w:rPr>
          <w:rFonts w:ascii="Times New Roman" w:eastAsia="Times New Roman" w:hAnsi="Times New Roman" w:cs="Times New Roman"/>
          <w:kern w:val="0"/>
          <w14:ligatures w14:val="none"/>
        </w:rPr>
        <w:t>, including:</w:t>
      </w:r>
    </w:p>
    <w:p w14:paraId="0DD5D51D" w14:textId="77777777" w:rsidR="00AE1CEA" w:rsidRPr="00AE1CEA" w:rsidRDefault="00AE1CEA" w:rsidP="00AE1CE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B2B extranet VPNs</w:t>
      </w:r>
    </w:p>
    <w:p w14:paraId="5F5D7CBF" w14:textId="77777777" w:rsidR="00AE1CEA" w:rsidRPr="00AE1CEA" w:rsidRDefault="00AE1CEA" w:rsidP="00AE1CE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Vendor-managed OT networks</w:t>
      </w:r>
    </w:p>
    <w:p w14:paraId="2087829B" w14:textId="77777777" w:rsidR="00AE1CEA" w:rsidRPr="00AE1CEA" w:rsidRDefault="00AE1CEA" w:rsidP="00AE1CE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lastRenderedPageBreak/>
        <w:t>Supplier access tunnels</w:t>
      </w:r>
    </w:p>
    <w:p w14:paraId="09AA3846" w14:textId="77777777" w:rsidR="00AE1CEA" w:rsidRPr="00AE1CEA" w:rsidRDefault="00AE1CEA" w:rsidP="00AE1CE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Legacy private circuits</w:t>
      </w:r>
    </w:p>
    <w:p w14:paraId="623D7F3D" w14:textId="77777777" w:rsidR="00AE1CEA" w:rsidRPr="00AE1CEA" w:rsidRDefault="00AE1CEA" w:rsidP="00AE1CE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MSSP and logistics partner networks</w:t>
      </w:r>
    </w:p>
    <w:p w14:paraId="6C472EA2"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Key Risk Drivers</w:t>
      </w:r>
    </w:p>
    <w:p w14:paraId="01D4F723"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Third-party networks:</w:t>
      </w:r>
    </w:p>
    <w:p w14:paraId="6219BDF9" w14:textId="77777777" w:rsidR="00AE1CEA" w:rsidRPr="00AE1CEA" w:rsidRDefault="00AE1CEA" w:rsidP="00AE1C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Have variable or unknown security maturity</w:t>
      </w:r>
    </w:p>
    <w:p w14:paraId="1099E582" w14:textId="77777777" w:rsidR="00AE1CEA" w:rsidRPr="00AE1CEA" w:rsidRDefault="00AE1CEA" w:rsidP="00AE1C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May introduce unmanaged assets</w:t>
      </w:r>
    </w:p>
    <w:p w14:paraId="7B0673DB" w14:textId="77777777" w:rsidR="00AE1CEA" w:rsidRPr="00AE1CEA" w:rsidRDefault="00AE1CEA" w:rsidP="00AE1C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Often include inbound access to OT/Robotics or DC apps</w:t>
      </w:r>
    </w:p>
    <w:p w14:paraId="41978B46" w14:textId="77777777" w:rsidR="00AE1CEA" w:rsidRPr="00AE1CEA" w:rsidRDefault="00AE1CEA" w:rsidP="00AE1C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Represent high-value targets for attackers</w:t>
      </w:r>
    </w:p>
    <w:p w14:paraId="6DC6D9DD"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NDR Visibility Requirements</w:t>
      </w:r>
    </w:p>
    <w:p w14:paraId="00A0E089"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NDR must support:</w:t>
      </w:r>
    </w:p>
    <w:p w14:paraId="36D294F4" w14:textId="77777777" w:rsidR="00AE1CEA" w:rsidRPr="00AE1CEA" w:rsidRDefault="00AE1CEA" w:rsidP="00AE1CE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Flow telemetry from partner ingress points</w:t>
      </w:r>
    </w:p>
    <w:p w14:paraId="47A91C6C" w14:textId="77777777" w:rsidR="00AE1CEA" w:rsidRPr="00AE1CEA" w:rsidRDefault="00AE1CEA" w:rsidP="00AE1CE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DNS/proxy logs for third-party devices</w:t>
      </w:r>
    </w:p>
    <w:p w14:paraId="3DB440FD" w14:textId="77777777" w:rsidR="00AE1CEA" w:rsidRPr="00AE1CEA" w:rsidRDefault="00AE1CEA" w:rsidP="00AE1CE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Identity mapping where possible</w:t>
      </w:r>
    </w:p>
    <w:p w14:paraId="472DF703" w14:textId="77777777" w:rsidR="00AE1CEA" w:rsidRPr="00AE1CEA" w:rsidRDefault="00AE1CEA" w:rsidP="00AE1CE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Behavioral detection of anomalous partner activity</w:t>
      </w:r>
    </w:p>
    <w:p w14:paraId="496A0468" w14:textId="77777777" w:rsidR="00AE1CEA" w:rsidRPr="00AE1CEA" w:rsidRDefault="00AE1CEA" w:rsidP="00AE1CE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Segmentation validation</w:t>
      </w:r>
    </w:p>
    <w:p w14:paraId="0337ED37" w14:textId="77777777" w:rsidR="00AE1CEA" w:rsidRPr="00AE1CEA" w:rsidRDefault="00AE1CEA" w:rsidP="00AE1CE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Southbound lateral movement detection</w:t>
      </w:r>
    </w:p>
    <w:p w14:paraId="13940BE2" w14:textId="77777777" w:rsidR="00AE1CEA" w:rsidRPr="00AE1CEA" w:rsidRDefault="00CF4A6E" w:rsidP="00AE1CEA">
      <w:pPr>
        <w:spacing w:after="0" w:line="240" w:lineRule="auto"/>
        <w:rPr>
          <w:rFonts w:ascii="Times New Roman" w:eastAsia="Times New Roman" w:hAnsi="Times New Roman" w:cs="Times New Roman"/>
          <w:kern w:val="0"/>
          <w14:ligatures w14:val="none"/>
        </w:rPr>
      </w:pPr>
      <w:r w:rsidRPr="00CF4A6E">
        <w:rPr>
          <w:rFonts w:ascii="Times New Roman" w:eastAsia="Times New Roman" w:hAnsi="Times New Roman" w:cs="Times New Roman"/>
          <w:noProof/>
          <w:kern w:val="0"/>
        </w:rPr>
        <w:pict w14:anchorId="33267C70">
          <v:rect id="_x0000_i1027" alt="" style="width:468pt;height:.05pt;mso-width-percent:0;mso-height-percent:0;mso-width-percent:0;mso-height-percent:0" o:hralign="center" o:hrstd="t" o:hr="t" fillcolor="#a0a0a0" stroked="f"/>
        </w:pict>
      </w:r>
    </w:p>
    <w:p w14:paraId="319899B9" w14:textId="77777777" w:rsidR="00AE1CEA" w:rsidRPr="00AE1CEA" w:rsidRDefault="00AE1CEA" w:rsidP="00AE1C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1CEA">
        <w:rPr>
          <w:rFonts w:ascii="Times New Roman" w:eastAsia="Times New Roman" w:hAnsi="Times New Roman" w:cs="Times New Roman"/>
          <w:b/>
          <w:bCs/>
          <w:kern w:val="0"/>
          <w:sz w:val="36"/>
          <w:szCs w:val="36"/>
          <w14:ligatures w14:val="none"/>
        </w:rPr>
        <w:t>2.5 Public-Facing Application Footprint (CDN/WAF Layer)</w:t>
      </w:r>
    </w:p>
    <w:p w14:paraId="464E16AA"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The enterprise operates a </w:t>
      </w:r>
      <w:r w:rsidRPr="00AE1CEA">
        <w:rPr>
          <w:rFonts w:ascii="Times New Roman" w:eastAsia="Times New Roman" w:hAnsi="Times New Roman" w:cs="Times New Roman"/>
          <w:b/>
          <w:bCs/>
          <w:kern w:val="0"/>
          <w14:ligatures w14:val="none"/>
        </w:rPr>
        <w:t>large, globally distributed public application surface</w:t>
      </w:r>
      <w:r w:rsidRPr="00AE1CEA">
        <w:rPr>
          <w:rFonts w:ascii="Times New Roman" w:eastAsia="Times New Roman" w:hAnsi="Times New Roman" w:cs="Times New Roman"/>
          <w:kern w:val="0"/>
          <w14:ligatures w14:val="none"/>
        </w:rPr>
        <w:t xml:space="preserve"> delivered via:</w:t>
      </w:r>
    </w:p>
    <w:p w14:paraId="3CC84409" w14:textId="77777777" w:rsidR="00AE1CEA" w:rsidRPr="00AE1CEA" w:rsidRDefault="00AE1CEA" w:rsidP="00AE1C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Akamai CDN</w:t>
      </w:r>
    </w:p>
    <w:p w14:paraId="69E6E3A9" w14:textId="77777777" w:rsidR="00AE1CEA" w:rsidRPr="00AE1CEA" w:rsidRDefault="00AE1CEA" w:rsidP="00AE1C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Akamai WAF</w:t>
      </w:r>
    </w:p>
    <w:p w14:paraId="59B8B4CB" w14:textId="77777777" w:rsidR="00AE1CEA" w:rsidRPr="00AE1CEA" w:rsidRDefault="00AE1CEA" w:rsidP="00AE1C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Imperva WAF</w:t>
      </w:r>
    </w:p>
    <w:p w14:paraId="1DFCA6E4" w14:textId="77777777" w:rsidR="00AE1CEA" w:rsidRPr="00AE1CEA" w:rsidRDefault="00AE1CEA" w:rsidP="00AE1C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Fastly CDN/WAF</w:t>
      </w:r>
    </w:p>
    <w:p w14:paraId="009B35D3" w14:textId="77777777" w:rsidR="00AE1CEA" w:rsidRPr="00AE1CEA" w:rsidRDefault="00AE1CEA" w:rsidP="00AE1C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Multi-cloud API endpoints</w:t>
      </w:r>
    </w:p>
    <w:p w14:paraId="5D6C8D95" w14:textId="77777777" w:rsidR="00AE1CEA" w:rsidRPr="00AE1CEA" w:rsidRDefault="00AE1CEA" w:rsidP="00AE1C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Edge-accelerated web delivery</w:t>
      </w:r>
    </w:p>
    <w:p w14:paraId="2880743C"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These services terminate Internet traffic at global edge locations and forward allowed traffic to internal apps in:</w:t>
      </w:r>
    </w:p>
    <w:p w14:paraId="62F7DE56" w14:textId="77777777" w:rsidR="00AE1CEA" w:rsidRPr="00AE1CEA" w:rsidRDefault="00AE1CEA" w:rsidP="00AE1CE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Datacenters</w:t>
      </w:r>
    </w:p>
    <w:p w14:paraId="5A198074" w14:textId="77777777" w:rsidR="00AE1CEA" w:rsidRPr="00AE1CEA" w:rsidRDefault="00AE1CEA" w:rsidP="00AE1CE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Cloud workloads</w:t>
      </w:r>
    </w:p>
    <w:p w14:paraId="1F61BB9B" w14:textId="77777777" w:rsidR="00AE1CEA" w:rsidRPr="00AE1CEA" w:rsidRDefault="00AE1CEA" w:rsidP="00AE1CE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API gateways</w:t>
      </w:r>
    </w:p>
    <w:p w14:paraId="0366FE82" w14:textId="77777777" w:rsidR="00AE1CEA" w:rsidRPr="00AE1CEA" w:rsidRDefault="00AE1CEA" w:rsidP="00AE1CE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Microservice clusters</w:t>
      </w:r>
    </w:p>
    <w:p w14:paraId="213E627F"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lastRenderedPageBreak/>
        <w:t>Visibility Requirements</w:t>
      </w:r>
    </w:p>
    <w:p w14:paraId="71556E7C"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Because internal NDR tools do not see raw Internet traffic, they rely on:</w:t>
      </w:r>
    </w:p>
    <w:p w14:paraId="757C8EC5" w14:textId="77777777" w:rsidR="00AE1CEA" w:rsidRPr="00AE1CEA" w:rsidRDefault="00AE1CEA" w:rsidP="00AE1C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WAF logs (attack types, blocking decisions)</w:t>
      </w:r>
    </w:p>
    <w:p w14:paraId="467E01FE" w14:textId="77777777" w:rsidR="00AE1CEA" w:rsidRPr="00AE1CEA" w:rsidRDefault="00AE1CEA" w:rsidP="00AE1C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CDN logs (HTTP request attributes, geolocation, rates)</w:t>
      </w:r>
    </w:p>
    <w:p w14:paraId="6B1F52CD" w14:textId="77777777" w:rsidR="00AE1CEA" w:rsidRPr="00AE1CEA" w:rsidRDefault="00AE1CEA" w:rsidP="00AE1C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Cloud load balancer logs</w:t>
      </w:r>
    </w:p>
    <w:p w14:paraId="2BB86109" w14:textId="77777777" w:rsidR="00AE1CEA" w:rsidRPr="00AE1CEA" w:rsidRDefault="00AE1CEA" w:rsidP="00AE1C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Application gateway logs</w:t>
      </w:r>
    </w:p>
    <w:p w14:paraId="5B6F52BC" w14:textId="77777777" w:rsidR="00AE1CEA" w:rsidRPr="00AE1CEA" w:rsidRDefault="00AE1CEA" w:rsidP="00AE1C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Flow logs from private routing paths</w:t>
      </w:r>
    </w:p>
    <w:p w14:paraId="58C5E68A"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NDR must correlate:</w:t>
      </w:r>
    </w:p>
    <w:p w14:paraId="3B2A19B8" w14:textId="77777777" w:rsidR="00AE1CEA" w:rsidRPr="00AE1CEA" w:rsidRDefault="00AE1CEA" w:rsidP="00AE1CE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External attack attempts</w:t>
      </w:r>
      <w:r w:rsidRPr="00AE1CEA">
        <w:rPr>
          <w:rFonts w:ascii="Times New Roman" w:eastAsia="Times New Roman" w:hAnsi="Times New Roman" w:cs="Times New Roman"/>
          <w:kern w:val="0"/>
          <w14:ligatures w14:val="none"/>
        </w:rPr>
        <w:t xml:space="preserve"> recorded at CDN/WAF</w:t>
      </w:r>
    </w:p>
    <w:p w14:paraId="59297CA9" w14:textId="77777777" w:rsidR="00AE1CEA" w:rsidRPr="00AE1CEA" w:rsidRDefault="00AE1CEA" w:rsidP="00AE1CE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Application-level logs or deviations</w:t>
      </w:r>
    </w:p>
    <w:p w14:paraId="27A050EA" w14:textId="77777777" w:rsidR="00AE1CEA" w:rsidRPr="00AE1CEA" w:rsidRDefault="00AE1CEA" w:rsidP="00AE1CE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Flow activity inside corporate/cloud routing</w:t>
      </w:r>
    </w:p>
    <w:p w14:paraId="4C4CDB9A"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This creates a complete kill-chain from Internet → CDN/WAF → DC/Cloud → East–West movement.</w:t>
      </w:r>
    </w:p>
    <w:p w14:paraId="3B917E6F" w14:textId="77777777" w:rsidR="00AE1CEA" w:rsidRPr="00AE1CEA" w:rsidRDefault="00CF4A6E" w:rsidP="00AE1CEA">
      <w:pPr>
        <w:spacing w:after="0" w:line="240" w:lineRule="auto"/>
        <w:rPr>
          <w:rFonts w:ascii="Times New Roman" w:eastAsia="Times New Roman" w:hAnsi="Times New Roman" w:cs="Times New Roman"/>
          <w:kern w:val="0"/>
          <w14:ligatures w14:val="none"/>
        </w:rPr>
      </w:pPr>
      <w:r w:rsidRPr="00CF4A6E">
        <w:rPr>
          <w:rFonts w:ascii="Times New Roman" w:eastAsia="Times New Roman" w:hAnsi="Times New Roman" w:cs="Times New Roman"/>
          <w:noProof/>
          <w:kern w:val="0"/>
        </w:rPr>
        <w:pict w14:anchorId="6680B35B">
          <v:rect id="_x0000_i1026" alt="" style="width:468pt;height:.05pt;mso-width-percent:0;mso-height-percent:0;mso-width-percent:0;mso-height-percent:0" o:hralign="center" o:hrstd="t" o:hr="t" fillcolor="#a0a0a0" stroked="f"/>
        </w:pict>
      </w:r>
    </w:p>
    <w:p w14:paraId="57AC39D8" w14:textId="77777777" w:rsidR="00AE1CEA" w:rsidRPr="00AE1CEA" w:rsidRDefault="00AE1CEA" w:rsidP="00AE1C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1CEA">
        <w:rPr>
          <w:rFonts w:ascii="Times New Roman" w:eastAsia="Times New Roman" w:hAnsi="Times New Roman" w:cs="Times New Roman"/>
          <w:b/>
          <w:bCs/>
          <w:kern w:val="0"/>
          <w:sz w:val="36"/>
          <w:szCs w:val="36"/>
          <w14:ligatures w14:val="none"/>
        </w:rPr>
        <w:t>2.6 Cloud Hosting and Hybrid Integration</w:t>
      </w:r>
    </w:p>
    <w:p w14:paraId="0534054A"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The enterprise uses all three major cloud providers:</w:t>
      </w:r>
    </w:p>
    <w:p w14:paraId="37BB97FD" w14:textId="77777777" w:rsidR="00AE1CEA" w:rsidRPr="00AE1CEA" w:rsidRDefault="00AE1CEA" w:rsidP="00AE1CE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AWS</w:t>
      </w:r>
    </w:p>
    <w:p w14:paraId="32C28FEA" w14:textId="77777777" w:rsidR="00AE1CEA" w:rsidRPr="00AE1CEA" w:rsidRDefault="00AE1CEA" w:rsidP="00AE1CE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Azure</w:t>
      </w:r>
    </w:p>
    <w:p w14:paraId="6D17D707" w14:textId="77777777" w:rsidR="00AE1CEA" w:rsidRPr="00AE1CEA" w:rsidRDefault="00AE1CEA" w:rsidP="00AE1CE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GCP</w:t>
      </w:r>
    </w:p>
    <w:p w14:paraId="46A10B46"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2.6.1 Cloud Interconnection</w:t>
      </w:r>
    </w:p>
    <w:p w14:paraId="2B3A4D47"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Cloud sites are connected into the hybrid environment using:</w:t>
      </w:r>
    </w:p>
    <w:p w14:paraId="76B37641" w14:textId="77777777" w:rsidR="00AE1CEA" w:rsidRPr="00AE1CEA" w:rsidRDefault="00AE1CEA" w:rsidP="00AE1CE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Equinix Cloud Connect</w:t>
      </w:r>
    </w:p>
    <w:p w14:paraId="5DCC972B" w14:textId="77777777" w:rsidR="00AE1CEA" w:rsidRPr="00AE1CEA" w:rsidRDefault="00AE1CEA" w:rsidP="00AE1CE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AWS Direct Connect</w:t>
      </w:r>
    </w:p>
    <w:p w14:paraId="0CD03AB2" w14:textId="77777777" w:rsidR="00AE1CEA" w:rsidRPr="00AE1CEA" w:rsidRDefault="00AE1CEA" w:rsidP="00AE1CE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Azure ExpressRoute</w:t>
      </w:r>
    </w:p>
    <w:p w14:paraId="2B686B9F" w14:textId="77777777" w:rsidR="00AE1CEA" w:rsidRPr="00AE1CEA" w:rsidRDefault="00AE1CEA" w:rsidP="00AE1CE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b/>
          <w:bCs/>
          <w:kern w:val="0"/>
          <w14:ligatures w14:val="none"/>
        </w:rPr>
        <w:t>Google Interconnect</w:t>
      </w:r>
    </w:p>
    <w:p w14:paraId="5FF58C00" w14:textId="77777777" w:rsidR="00AE1CEA" w:rsidRPr="00AE1CEA" w:rsidRDefault="00AE1CEA" w:rsidP="00AE1CE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Private IP routing extension</w:t>
      </w:r>
    </w:p>
    <w:p w14:paraId="6A08C2A6"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Cloud workloads act as first-class citizens in the enterprise network.</w:t>
      </w:r>
    </w:p>
    <w:p w14:paraId="6D2054A9"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2.6.2 Cloud Telemetry Sources</w:t>
      </w:r>
    </w:p>
    <w:p w14:paraId="0C5CC8FD"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NDR must ingest:</w:t>
      </w:r>
    </w:p>
    <w:p w14:paraId="5E975379" w14:textId="77777777" w:rsidR="00AE1CEA" w:rsidRPr="00AE1CEA" w:rsidRDefault="00AE1CEA" w:rsidP="00AE1C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lastRenderedPageBreak/>
        <w:t>AWS VPC Flow Logs</w:t>
      </w:r>
    </w:p>
    <w:p w14:paraId="6E6A2052" w14:textId="77777777" w:rsidR="00AE1CEA" w:rsidRPr="00AE1CEA" w:rsidRDefault="00AE1CEA" w:rsidP="00AE1C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Azure NSG Flow Logs</w:t>
      </w:r>
    </w:p>
    <w:p w14:paraId="7866E20C" w14:textId="77777777" w:rsidR="00AE1CEA" w:rsidRPr="00AE1CEA" w:rsidRDefault="00AE1CEA" w:rsidP="00AE1C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GCP VPC Flow Logs</w:t>
      </w:r>
    </w:p>
    <w:p w14:paraId="1DFAD4BB" w14:textId="77777777" w:rsidR="00AE1CEA" w:rsidRPr="00AE1CEA" w:rsidRDefault="00AE1CEA" w:rsidP="00AE1C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Cloud identity logs (IAM, AAD, GCP IAM)</w:t>
      </w:r>
    </w:p>
    <w:p w14:paraId="3ABFD2D7" w14:textId="77777777" w:rsidR="00AE1CEA" w:rsidRPr="00AE1CEA" w:rsidRDefault="00AE1CEA" w:rsidP="00AE1C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API gateway and load balancer logs</w:t>
      </w:r>
    </w:p>
    <w:p w14:paraId="6C0851D4" w14:textId="77777777" w:rsidR="00AE1CEA" w:rsidRPr="00AE1CEA" w:rsidRDefault="00AE1CEA" w:rsidP="00AE1C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Cloud WAF (AWS WAF, Azure WAF, Cloud Armor)</w:t>
      </w:r>
    </w:p>
    <w:p w14:paraId="1638160C" w14:textId="77777777" w:rsidR="00AE1CEA" w:rsidRPr="00AE1CEA" w:rsidRDefault="00AE1CEA" w:rsidP="00AE1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CEA">
        <w:rPr>
          <w:rFonts w:ascii="Times New Roman" w:eastAsia="Times New Roman" w:hAnsi="Times New Roman" w:cs="Times New Roman"/>
          <w:b/>
          <w:bCs/>
          <w:kern w:val="0"/>
          <w:sz w:val="27"/>
          <w:szCs w:val="27"/>
          <w14:ligatures w14:val="none"/>
        </w:rPr>
        <w:t>2.6.3 Hybrid Threat Detection Requirements</w:t>
      </w:r>
    </w:p>
    <w:p w14:paraId="00B290B9"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NDR must detect:</w:t>
      </w:r>
    </w:p>
    <w:p w14:paraId="5D66ABD3" w14:textId="77777777" w:rsidR="00AE1CEA" w:rsidRPr="00AE1CEA" w:rsidRDefault="00AE1CEA" w:rsidP="00AE1CE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Cloud-based lateral movement</w:t>
      </w:r>
    </w:p>
    <w:p w14:paraId="46DA9458" w14:textId="77777777" w:rsidR="00AE1CEA" w:rsidRPr="00AE1CEA" w:rsidRDefault="00AE1CEA" w:rsidP="00AE1CE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Internal attack propagation via cloud direct links</w:t>
      </w:r>
    </w:p>
    <w:p w14:paraId="4A79DF57" w14:textId="77777777" w:rsidR="00AE1CEA" w:rsidRPr="00AE1CEA" w:rsidRDefault="00AE1CEA" w:rsidP="00AE1CE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Compromised workload behavior</w:t>
      </w:r>
    </w:p>
    <w:p w14:paraId="4079F19C" w14:textId="77777777" w:rsidR="00AE1CEA" w:rsidRPr="00AE1CEA" w:rsidRDefault="00AE1CEA" w:rsidP="00AE1CE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East–west movement inside cloud VPCs</w:t>
      </w:r>
    </w:p>
    <w:p w14:paraId="2136C1D2" w14:textId="77777777" w:rsidR="00AE1CEA" w:rsidRPr="00AE1CEA" w:rsidRDefault="00AE1CEA" w:rsidP="00AE1CE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Privilege escalation through cloud identities</w:t>
      </w:r>
    </w:p>
    <w:p w14:paraId="4CB64817" w14:textId="77777777" w:rsidR="00AE1CEA" w:rsidRPr="00AE1CEA" w:rsidRDefault="00AE1CEA" w:rsidP="00AE1CE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Hybrid kill-chains that blend on-prem and cloud activity</w:t>
      </w:r>
    </w:p>
    <w:p w14:paraId="07F87A0B" w14:textId="77777777" w:rsidR="00AE1CEA" w:rsidRPr="00AE1CEA" w:rsidRDefault="00CF4A6E" w:rsidP="00AE1CEA">
      <w:pPr>
        <w:spacing w:after="0" w:line="240" w:lineRule="auto"/>
        <w:rPr>
          <w:rFonts w:ascii="Times New Roman" w:eastAsia="Times New Roman" w:hAnsi="Times New Roman" w:cs="Times New Roman"/>
          <w:kern w:val="0"/>
          <w14:ligatures w14:val="none"/>
        </w:rPr>
      </w:pPr>
      <w:r>
        <w:rPr>
          <w:noProof/>
        </w:rPr>
      </w:r>
      <w:r>
        <w:pict w14:anchorId="4A754B8A">
          <v:rect id="Horizontal Lin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6EA9BF" w14:textId="77777777" w:rsidR="00AE1CEA" w:rsidRPr="00AE1CEA" w:rsidRDefault="00AE1CEA" w:rsidP="00AE1C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1CEA">
        <w:rPr>
          <w:rFonts w:ascii="Times New Roman" w:eastAsia="Times New Roman" w:hAnsi="Times New Roman" w:cs="Times New Roman"/>
          <w:b/>
          <w:bCs/>
          <w:kern w:val="0"/>
          <w:sz w:val="36"/>
          <w:szCs w:val="36"/>
          <w14:ligatures w14:val="none"/>
        </w:rPr>
        <w:t>2.7 Section Summary</w:t>
      </w:r>
    </w:p>
    <w:p w14:paraId="4A72F59A"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The enterprise environment introduces multiple layers of complexity:</w:t>
      </w:r>
    </w:p>
    <w:p w14:paraId="37450065" w14:textId="77777777" w:rsidR="00AE1CEA" w:rsidRPr="00AE1CEA" w:rsidRDefault="00AE1CEA" w:rsidP="00AE1C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E1CEA">
        <w:rPr>
          <w:rFonts w:ascii="Times New Roman" w:eastAsia="Times New Roman" w:hAnsi="Times New Roman" w:cs="Times New Roman"/>
          <w:kern w:val="0"/>
          <w14:ligatures w14:val="none"/>
        </w:rPr>
        <w:t>Massive distributed</w:t>
      </w:r>
      <w:proofErr w:type="gramEnd"/>
      <w:r w:rsidRPr="00AE1CEA">
        <w:rPr>
          <w:rFonts w:ascii="Times New Roman" w:eastAsia="Times New Roman" w:hAnsi="Times New Roman" w:cs="Times New Roman"/>
          <w:kern w:val="0"/>
          <w14:ligatures w14:val="none"/>
        </w:rPr>
        <w:t xml:space="preserve"> site count with deterministic addressing</w:t>
      </w:r>
    </w:p>
    <w:p w14:paraId="6D2CE84C" w14:textId="77777777" w:rsidR="00AE1CEA" w:rsidRPr="00AE1CEA" w:rsidRDefault="00AE1CEA" w:rsidP="00AE1C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SD-WAN fabric requiring flow-based analytics</w:t>
      </w:r>
    </w:p>
    <w:p w14:paraId="6ED8A1FE" w14:textId="77777777" w:rsidR="00AE1CEA" w:rsidRPr="00AE1CEA" w:rsidRDefault="00AE1CEA" w:rsidP="00AE1C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Identity-driven remote user access and application consumption</w:t>
      </w:r>
    </w:p>
    <w:p w14:paraId="07CB8D2E" w14:textId="77777777" w:rsidR="00AE1CEA" w:rsidRPr="00AE1CEA" w:rsidRDefault="00AE1CEA" w:rsidP="00AE1C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Hybrid multi-cloud workloads connected via private routing</w:t>
      </w:r>
    </w:p>
    <w:p w14:paraId="26F3D396" w14:textId="77777777" w:rsidR="00AE1CEA" w:rsidRPr="00AE1CEA" w:rsidRDefault="00AE1CEA" w:rsidP="00AE1C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Large public-facing application attack surface through multiple CDN/WAF vendors</w:t>
      </w:r>
    </w:p>
    <w:p w14:paraId="7308EBF8" w14:textId="77777777" w:rsidR="00AE1CEA" w:rsidRPr="00AE1CEA" w:rsidRDefault="00AE1CEA" w:rsidP="00AE1C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High-risk third-party connectivity requiring unified visibility</w:t>
      </w:r>
    </w:p>
    <w:p w14:paraId="38517810"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 xml:space="preserve">This environment places </w:t>
      </w:r>
      <w:r w:rsidRPr="00AE1CEA">
        <w:rPr>
          <w:rFonts w:ascii="Times New Roman" w:eastAsia="Times New Roman" w:hAnsi="Times New Roman" w:cs="Times New Roman"/>
          <w:b/>
          <w:bCs/>
          <w:kern w:val="0"/>
          <w14:ligatures w14:val="none"/>
        </w:rPr>
        <w:t>significant technical requirements</w:t>
      </w:r>
      <w:r w:rsidRPr="00AE1CEA">
        <w:rPr>
          <w:rFonts w:ascii="Times New Roman" w:eastAsia="Times New Roman" w:hAnsi="Times New Roman" w:cs="Times New Roman"/>
          <w:kern w:val="0"/>
          <w14:ligatures w14:val="none"/>
        </w:rPr>
        <w:t xml:space="preserve"> on the NDR platform:</w:t>
      </w:r>
    </w:p>
    <w:p w14:paraId="2877D81A" w14:textId="77777777" w:rsidR="00AE1CEA" w:rsidRPr="00AE1CEA" w:rsidRDefault="00AE1CEA" w:rsidP="00AE1CE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E1CEA">
        <w:rPr>
          <w:rFonts w:ascii="Times New Roman" w:eastAsia="Times New Roman" w:hAnsi="Times New Roman" w:cs="Times New Roman"/>
          <w:kern w:val="0"/>
          <w14:ligatures w14:val="none"/>
        </w:rPr>
        <w:t>True identity</w:t>
      </w:r>
      <w:proofErr w:type="gramEnd"/>
      <w:r w:rsidRPr="00AE1CEA">
        <w:rPr>
          <w:rFonts w:ascii="Times New Roman" w:eastAsia="Times New Roman" w:hAnsi="Times New Roman" w:cs="Times New Roman"/>
          <w:kern w:val="0"/>
          <w14:ligatures w14:val="none"/>
        </w:rPr>
        <w:t xml:space="preserve"> + cloud + network correlation</w:t>
      </w:r>
    </w:p>
    <w:p w14:paraId="18AA3291" w14:textId="77777777" w:rsidR="00AE1CEA" w:rsidRPr="00AE1CEA" w:rsidRDefault="00AE1CEA" w:rsidP="00AE1CE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Ability to ingest high-volume flow telemetry</w:t>
      </w:r>
    </w:p>
    <w:p w14:paraId="5462A557" w14:textId="77777777" w:rsidR="00AE1CEA" w:rsidRPr="00AE1CEA" w:rsidRDefault="00AE1CEA" w:rsidP="00AE1CE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Capability to merge Zscaler, cloud, SD-WAN, and datacenter logs</w:t>
      </w:r>
    </w:p>
    <w:p w14:paraId="676DCB14" w14:textId="77777777" w:rsidR="00AE1CEA" w:rsidRPr="00AE1CEA" w:rsidRDefault="00AE1CEA" w:rsidP="00AE1CE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Strong metadata-based behavioral analytics in the absence of packet capture</w:t>
      </w:r>
    </w:p>
    <w:p w14:paraId="7A149B40" w14:textId="77777777" w:rsidR="00AE1CEA" w:rsidRPr="00AE1CEA" w:rsidRDefault="00AE1CEA" w:rsidP="00AE1CE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Scalability across tens of thousands of distributed locations</w:t>
      </w:r>
    </w:p>
    <w:p w14:paraId="0394D00E" w14:textId="77777777" w:rsidR="00AE1CEA" w:rsidRPr="00AE1CEA" w:rsidRDefault="00AE1CEA" w:rsidP="00AE1CE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Robust multi-domain attack narrative generation</w:t>
      </w:r>
    </w:p>
    <w:p w14:paraId="7EFE487A" w14:textId="77777777" w:rsidR="00AE1CEA" w:rsidRPr="00AE1CEA" w:rsidRDefault="00AE1CEA" w:rsidP="00AE1CEA">
      <w:pPr>
        <w:spacing w:before="100" w:beforeAutospacing="1" w:after="100" w:afterAutospacing="1" w:line="240" w:lineRule="auto"/>
        <w:rPr>
          <w:rFonts w:ascii="Times New Roman" w:eastAsia="Times New Roman" w:hAnsi="Times New Roman" w:cs="Times New Roman"/>
          <w:kern w:val="0"/>
          <w14:ligatures w14:val="none"/>
        </w:rPr>
      </w:pPr>
      <w:r w:rsidRPr="00AE1CEA">
        <w:rPr>
          <w:rFonts w:ascii="Times New Roman" w:eastAsia="Times New Roman" w:hAnsi="Times New Roman" w:cs="Times New Roman"/>
          <w:kern w:val="0"/>
          <w14:ligatures w14:val="none"/>
        </w:rPr>
        <w:t>These requirements inform the platform evaluation in Sections 3 and 4.</w:t>
      </w:r>
    </w:p>
    <w:p w14:paraId="0274613F" w14:textId="71F4EC67" w:rsidR="00B8713E" w:rsidRDefault="00995795">
      <w:r>
        <w:t xml:space="preserve">        </w:t>
      </w:r>
    </w:p>
    <w:sectPr w:rsidR="00B87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863"/>
    <w:multiLevelType w:val="multilevel"/>
    <w:tmpl w:val="3FE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2A32"/>
    <w:multiLevelType w:val="multilevel"/>
    <w:tmpl w:val="187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1883"/>
    <w:multiLevelType w:val="multilevel"/>
    <w:tmpl w:val="27C65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840FC"/>
    <w:multiLevelType w:val="multilevel"/>
    <w:tmpl w:val="7380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F5707"/>
    <w:multiLevelType w:val="multilevel"/>
    <w:tmpl w:val="C39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D106C"/>
    <w:multiLevelType w:val="multilevel"/>
    <w:tmpl w:val="8A02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101C6"/>
    <w:multiLevelType w:val="multilevel"/>
    <w:tmpl w:val="71A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2569B"/>
    <w:multiLevelType w:val="multilevel"/>
    <w:tmpl w:val="8FE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52500"/>
    <w:multiLevelType w:val="multilevel"/>
    <w:tmpl w:val="390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1197E"/>
    <w:multiLevelType w:val="multilevel"/>
    <w:tmpl w:val="5DB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156A3"/>
    <w:multiLevelType w:val="multilevel"/>
    <w:tmpl w:val="0A42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1598A"/>
    <w:multiLevelType w:val="multilevel"/>
    <w:tmpl w:val="9472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95B9C"/>
    <w:multiLevelType w:val="multilevel"/>
    <w:tmpl w:val="52D8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A57D2"/>
    <w:multiLevelType w:val="multilevel"/>
    <w:tmpl w:val="A26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E14FA"/>
    <w:multiLevelType w:val="multilevel"/>
    <w:tmpl w:val="E4E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50866"/>
    <w:multiLevelType w:val="multilevel"/>
    <w:tmpl w:val="BD3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47395"/>
    <w:multiLevelType w:val="multilevel"/>
    <w:tmpl w:val="B21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94238"/>
    <w:multiLevelType w:val="multilevel"/>
    <w:tmpl w:val="2198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A0488"/>
    <w:multiLevelType w:val="multilevel"/>
    <w:tmpl w:val="1BA8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C7743"/>
    <w:multiLevelType w:val="multilevel"/>
    <w:tmpl w:val="2278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15296"/>
    <w:multiLevelType w:val="multilevel"/>
    <w:tmpl w:val="F4F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739E7"/>
    <w:multiLevelType w:val="multilevel"/>
    <w:tmpl w:val="31D06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2C5B2D"/>
    <w:multiLevelType w:val="multilevel"/>
    <w:tmpl w:val="21D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D4DF8"/>
    <w:multiLevelType w:val="multilevel"/>
    <w:tmpl w:val="EB9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E492E"/>
    <w:multiLevelType w:val="multilevel"/>
    <w:tmpl w:val="3EF0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80736"/>
    <w:multiLevelType w:val="multilevel"/>
    <w:tmpl w:val="B6C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C0A59"/>
    <w:multiLevelType w:val="multilevel"/>
    <w:tmpl w:val="3CB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94D2F"/>
    <w:multiLevelType w:val="multilevel"/>
    <w:tmpl w:val="A6CA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292048">
    <w:abstractNumId w:val="2"/>
  </w:num>
  <w:num w:numId="2" w16cid:durableId="114252582">
    <w:abstractNumId w:val="26"/>
  </w:num>
  <w:num w:numId="3" w16cid:durableId="310184295">
    <w:abstractNumId w:val="6"/>
  </w:num>
  <w:num w:numId="4" w16cid:durableId="30153155">
    <w:abstractNumId w:val="23"/>
  </w:num>
  <w:num w:numId="5" w16cid:durableId="633750643">
    <w:abstractNumId w:val="4"/>
  </w:num>
  <w:num w:numId="6" w16cid:durableId="1355113012">
    <w:abstractNumId w:val="16"/>
  </w:num>
  <w:num w:numId="7" w16cid:durableId="457407920">
    <w:abstractNumId w:val="11"/>
  </w:num>
  <w:num w:numId="8" w16cid:durableId="165559974">
    <w:abstractNumId w:val="8"/>
  </w:num>
  <w:num w:numId="9" w16cid:durableId="1672101946">
    <w:abstractNumId w:val="14"/>
  </w:num>
  <w:num w:numId="10" w16cid:durableId="1158111410">
    <w:abstractNumId w:val="12"/>
  </w:num>
  <w:num w:numId="11" w16cid:durableId="527137949">
    <w:abstractNumId w:val="25"/>
  </w:num>
  <w:num w:numId="12" w16cid:durableId="128212132">
    <w:abstractNumId w:val="27"/>
  </w:num>
  <w:num w:numId="13" w16cid:durableId="1212574123">
    <w:abstractNumId w:val="22"/>
  </w:num>
  <w:num w:numId="14" w16cid:durableId="1202475901">
    <w:abstractNumId w:val="1"/>
  </w:num>
  <w:num w:numId="15" w16cid:durableId="1018577260">
    <w:abstractNumId w:val="13"/>
  </w:num>
  <w:num w:numId="16" w16cid:durableId="140465111">
    <w:abstractNumId w:val="0"/>
  </w:num>
  <w:num w:numId="17" w16cid:durableId="1933466754">
    <w:abstractNumId w:val="5"/>
  </w:num>
  <w:num w:numId="18" w16cid:durableId="876042806">
    <w:abstractNumId w:val="15"/>
  </w:num>
  <w:num w:numId="19" w16cid:durableId="1172184229">
    <w:abstractNumId w:val="7"/>
  </w:num>
  <w:num w:numId="20" w16cid:durableId="594023208">
    <w:abstractNumId w:val="9"/>
  </w:num>
  <w:num w:numId="21" w16cid:durableId="1927692701">
    <w:abstractNumId w:val="3"/>
  </w:num>
  <w:num w:numId="22" w16cid:durableId="570508874">
    <w:abstractNumId w:val="21"/>
  </w:num>
  <w:num w:numId="23" w16cid:durableId="733770861">
    <w:abstractNumId w:val="19"/>
  </w:num>
  <w:num w:numId="24" w16cid:durableId="1436901009">
    <w:abstractNumId w:val="18"/>
  </w:num>
  <w:num w:numId="25" w16cid:durableId="315107359">
    <w:abstractNumId w:val="10"/>
  </w:num>
  <w:num w:numId="26" w16cid:durableId="2056002146">
    <w:abstractNumId w:val="20"/>
  </w:num>
  <w:num w:numId="27" w16cid:durableId="1931236346">
    <w:abstractNumId w:val="17"/>
  </w:num>
  <w:num w:numId="28" w16cid:durableId="15705302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CEA"/>
    <w:rsid w:val="002919CB"/>
    <w:rsid w:val="00995795"/>
    <w:rsid w:val="00AE1CEA"/>
    <w:rsid w:val="00B8713E"/>
    <w:rsid w:val="00C76424"/>
    <w:rsid w:val="00CD3288"/>
    <w:rsid w:val="00CF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185E684"/>
  <w15:chartTrackingRefBased/>
  <w15:docId w15:val="{A54D0674-50FA-B046-86BA-40B448445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CEA"/>
    <w:rPr>
      <w:rFonts w:eastAsiaTheme="majorEastAsia" w:cstheme="majorBidi"/>
      <w:color w:val="272727" w:themeColor="text1" w:themeTint="D8"/>
    </w:rPr>
  </w:style>
  <w:style w:type="paragraph" w:styleId="Title">
    <w:name w:val="Title"/>
    <w:basedOn w:val="Normal"/>
    <w:next w:val="Normal"/>
    <w:link w:val="TitleChar"/>
    <w:uiPriority w:val="10"/>
    <w:qFormat/>
    <w:rsid w:val="00AE1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CEA"/>
    <w:pPr>
      <w:spacing w:before="160"/>
      <w:jc w:val="center"/>
    </w:pPr>
    <w:rPr>
      <w:i/>
      <w:iCs/>
      <w:color w:val="404040" w:themeColor="text1" w:themeTint="BF"/>
    </w:rPr>
  </w:style>
  <w:style w:type="character" w:customStyle="1" w:styleId="QuoteChar">
    <w:name w:val="Quote Char"/>
    <w:basedOn w:val="DefaultParagraphFont"/>
    <w:link w:val="Quote"/>
    <w:uiPriority w:val="29"/>
    <w:rsid w:val="00AE1CEA"/>
    <w:rPr>
      <w:i/>
      <w:iCs/>
      <w:color w:val="404040" w:themeColor="text1" w:themeTint="BF"/>
    </w:rPr>
  </w:style>
  <w:style w:type="paragraph" w:styleId="ListParagraph">
    <w:name w:val="List Paragraph"/>
    <w:basedOn w:val="Normal"/>
    <w:uiPriority w:val="34"/>
    <w:qFormat/>
    <w:rsid w:val="00AE1CEA"/>
    <w:pPr>
      <w:ind w:left="720"/>
      <w:contextualSpacing/>
    </w:pPr>
  </w:style>
  <w:style w:type="character" w:styleId="IntenseEmphasis">
    <w:name w:val="Intense Emphasis"/>
    <w:basedOn w:val="DefaultParagraphFont"/>
    <w:uiPriority w:val="21"/>
    <w:qFormat/>
    <w:rsid w:val="00AE1CEA"/>
    <w:rPr>
      <w:i/>
      <w:iCs/>
      <w:color w:val="0F4761" w:themeColor="accent1" w:themeShade="BF"/>
    </w:rPr>
  </w:style>
  <w:style w:type="paragraph" w:styleId="IntenseQuote">
    <w:name w:val="Intense Quote"/>
    <w:basedOn w:val="Normal"/>
    <w:next w:val="Normal"/>
    <w:link w:val="IntenseQuoteChar"/>
    <w:uiPriority w:val="30"/>
    <w:qFormat/>
    <w:rsid w:val="00AE1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CEA"/>
    <w:rPr>
      <w:i/>
      <w:iCs/>
      <w:color w:val="0F4761" w:themeColor="accent1" w:themeShade="BF"/>
    </w:rPr>
  </w:style>
  <w:style w:type="character" w:styleId="IntenseReference">
    <w:name w:val="Intense Reference"/>
    <w:basedOn w:val="DefaultParagraphFont"/>
    <w:uiPriority w:val="32"/>
    <w:qFormat/>
    <w:rsid w:val="00AE1CEA"/>
    <w:rPr>
      <w:b/>
      <w:bCs/>
      <w:smallCaps/>
      <w:color w:val="0F4761" w:themeColor="accent1" w:themeShade="BF"/>
      <w:spacing w:val="5"/>
    </w:rPr>
  </w:style>
  <w:style w:type="character" w:styleId="Strong">
    <w:name w:val="Strong"/>
    <w:basedOn w:val="DefaultParagraphFont"/>
    <w:uiPriority w:val="22"/>
    <w:qFormat/>
    <w:rsid w:val="00AE1CEA"/>
    <w:rPr>
      <w:b/>
      <w:bCs/>
    </w:rPr>
  </w:style>
  <w:style w:type="paragraph" w:styleId="NormalWeb">
    <w:name w:val="Normal (Web)"/>
    <w:basedOn w:val="Normal"/>
    <w:uiPriority w:val="99"/>
    <w:semiHidden/>
    <w:unhideWhenUsed/>
    <w:rsid w:val="00AE1C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77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7</Pages>
  <Words>1328</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Martin</dc:creator>
  <cp:keywords/>
  <dc:description/>
  <cp:lastModifiedBy>Sam Martin</cp:lastModifiedBy>
  <cp:revision>2</cp:revision>
  <dcterms:created xsi:type="dcterms:W3CDTF">2025-11-24T21:57:00Z</dcterms:created>
  <dcterms:modified xsi:type="dcterms:W3CDTF">2025-11-25T14:03:00Z</dcterms:modified>
</cp:coreProperties>
</file>