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60"/>
        <w:jc w:val="center"/>
      </w:pPr>
      <w:r>
        <w:rPr>
          <w:rFonts w:ascii="Arial" w:cs="Arial" w:eastAsia="Arial" w:hAnsi="Arial"/>
          <w:b/>
          <w:bCs/>
          <w:color w:val="1F3864"/>
          <w:sz w:val="44"/>
          <w:szCs w:val="44"/>
        </w:rPr>
        <w:t xml:space="preserve">CVS HEALTH — THIRD-PARTY LANDING ZONE (3PLZ)</w:t>
      </w:r>
    </w:p>
    <w:p>
      <w:pPr>
        <w:pBdr>
          <w:bottom w:val="single" w:color="2E75B6" w:sz="6" w:space="1"/>
        </w:pBdr>
        <w:spacing w:before="120" w:after="120"/>
      </w:pPr>
    </w:p>
    <w:p>
      <w:pPr>
        <w:spacing w:before="80" w:after="40"/>
        <w:jc w:val="center"/>
      </w:pPr>
      <w:r>
        <w:rPr>
          <w:rFonts w:ascii="Arial" w:cs="Arial" w:eastAsia="Arial" w:hAnsi="Arial"/>
          <w:b/>
          <w:bCs/>
          <w:color w:val="2E75B6"/>
          <w:sz w:val="32"/>
          <w:szCs w:val="32"/>
        </w:rPr>
        <w:t xml:space="preserve">ASA Estate: Configuration Findings &amp; Risk Assessment</w:t>
      </w:r>
    </w:p>
    <w:p>
      <w:pPr>
        <w:spacing w:before="0" w:after="40"/>
        <w:jc w:val="center"/>
      </w:pPr>
      <w:r>
        <w:rPr>
          <w:rFonts w:ascii="Arial" w:cs="Arial" w:eastAsia="Arial" w:hAnsi="Arial"/>
          <w:b/>
          <w:bCs/>
          <w:color w:val="2E75B6"/>
          <w:sz w:val="32"/>
          <w:szCs w:val="32"/>
        </w:rPr>
        <w:t xml:space="preserve">PA-5400 Single-VSYS Migration Plan</w:t>
      </w:r>
    </w:p>
    <w:p>
      <w:pPr>
        <w:spacing w:before="4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PAZSHDC-SEC-EXT-VPN-01 — ASA 5585-SSP-40</w:t>
            </w:r>
          </w:p>
        </w:tc>
      </w:tr>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ASA Version 9.12(3)9</w:t>
            </w:r>
          </w:p>
        </w:tc>
      </w:tr>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Platform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PA-5400 Series — Single-VSYS, Per-Tenant VR Architecture</w:t>
            </w:r>
          </w:p>
        </w:tc>
      </w:tr>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Scope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ASA configuration analysis, risk findings, and phased migration plan</w:t>
            </w:r>
          </w:p>
        </w:tc>
      </w:tr>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 — Restricted Distribution</w:t>
            </w:r>
          </w:p>
        </w:tc>
      </w:tr>
    </w:tbl>
    <w:p>
      <w:r>
        <w:br w:type="page"/>
      </w:r>
    </w:p>
    <w:p>
      <w:pPr>
        <w:pStyle w:val="Heading1"/>
        <w:spacing w:before="360" w:after="120"/>
      </w:pPr>
      <w:r>
        <w:rPr>
          <w:rFonts w:ascii="Arial" w:cs="Arial" w:eastAsia="Arial" w:hAnsi="Arial"/>
          <w:b/>
          <w:bCs/>
          <w:color w:val="1F3864"/>
          <w:sz w:val="32"/>
          <w:szCs w:val="32"/>
        </w:rPr>
        <w:t xml:space="preserve">1. Executive Summary</w:t>
      </w:r>
    </w:p>
    <w:p>
      <w:pPr>
        <w:spacing w:before="60" w:after="120"/>
      </w:pPr>
      <w:r>
        <w:rPr>
          <w:rFonts w:ascii="Arial" w:cs="Arial" w:eastAsia="Arial" w:hAnsi="Arial"/>
          <w:sz w:val="22"/>
          <w:szCs w:val="22"/>
        </w:rPr>
        <w:t xml:space="preserve">This document presents the findings of a configuration analysis performed against the active running configuration of PAZSHDC-SEC-EXT-VPN-01, the Cisco ASA 5585-SSP-40 that currently terminates the CVS Health third-party partner VPN estate. It identifies specific technical risks present in the configuration today, quantifies their scope, and defines the migration path to the PA-5400 Single-VSYS, Per-Tenant Virtual Router architecture that is the selected transport platform for the 3PLZ program.</w:t>
      </w:r>
    </w:p>
    <w:p>
      <w:pPr>
        <w:spacing w:before="60" w:after="120"/>
      </w:pPr>
      <w:r>
        <w:rPr>
          <w:rFonts w:ascii="Arial" w:cs="Arial" w:eastAsia="Arial" w:hAnsi="Arial"/>
          <w:sz w:val="22"/>
          <w:szCs w:val="22"/>
        </w:rPr>
        <w:t xml:space="preserve">The analysis is based on the actual running configuration — not assumptions or estimates. Every finding is tied to a specific configuration construct with a measured count.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6E4F0" w:val="clear"/>
            <w:tcMar>
              <w:top w:type="dxa" w:w="140"/>
              <w:left w:type="dxa" w:w="200"/>
              <w:bottom w:type="dxa" w:w="140"/>
              <w:right w:type="dxa" w:w="200"/>
            </w:tcMar>
          </w:tcPr>
          <w:p>
            <w:pPr>
              <w:spacing w:before="0" w:after="40"/>
            </w:pPr>
            <w:r>
              <w:rPr>
                <w:rFonts w:ascii="Arial" w:cs="Arial" w:eastAsia="Arial" w:hAnsi="Arial"/>
                <w:b/>
                <w:bCs/>
                <w:color w:val="1F3864"/>
                <w:sz w:val="22"/>
                <w:szCs w:val="22"/>
              </w:rPr>
              <w:t xml:space="preserve">Estate at a Glance</w:t>
            </w:r>
          </w:p>
          <w:p>
            <w:pPr>
              <w:spacing w:before="0" w:after="0"/>
            </w:pPr>
            <w:r>
              <w:rPr>
                <w:rFonts w:ascii="Arial" w:cs="Arial" w:eastAsia="Arial" w:hAnsi="Arial"/>
                <w:color w:val="404040"/>
                <w:sz w:val="22"/>
                <w:szCs w:val="22"/>
              </w:rPr>
              <w:t xml:space="preserve">231 L2L tunnel groups  |  206 crypto map entries  |  158 IKEv1 tunnels (77%)  |  47 IKEv2 tunnels (23%)
31 tunnels using 3DES or DES-MD5  |  32 tunnels using MD5 HMAC  |  229 of 231 tunnel groups keyed by peer IP
12 NAT rules serving the entire estate  |  563 object-groups  |  231 access-lists  |  102 PSK tunnel configurations</w:t>
            </w:r>
          </w:p>
        </w:tc>
      </w:tr>
    </w:tbl>
    <w:p>
      <w:pPr>
        <w:spacing w:before="80" w:after="80"/>
      </w:pPr>
    </w:p>
    <w:p>
      <w:pPr>
        <w:spacing w:before="60" w:after="120"/>
      </w:pPr>
      <w:r>
        <w:rPr>
          <w:rFonts w:ascii="Arial" w:cs="Arial" w:eastAsia="Arial" w:hAnsi="Arial"/>
          <w:sz w:val="22"/>
          <w:szCs w:val="22"/>
        </w:rPr>
        <w:t xml:space="preserve">The ASA estate reflects the operational reality of over a decade of organic growth. Each of the 231 partner connections was provisioned to solve a real business problem. None of them was provisioned within a unified governance framework, and the configuration shows it: inconsistent crypto, peer-IP-keyed identity, flat NAT, and no service mediation. The 3PLZ migration program is the structured replacement of this estate with a governed, automated, and cryptographically sound architecture.</w:t>
      </w:r>
    </w:p>
    <w:p>
      <w:pPr>
        <w:spacing w:before="60" w:after="120"/>
      </w:pPr>
      <w:r>
        <w:rPr>
          <w:rFonts w:ascii="Arial" w:cs="Arial" w:eastAsia="Arial" w:hAnsi="Arial"/>
          <w:sz w:val="22"/>
          <w:szCs w:val="22"/>
        </w:rPr>
        <w:t xml:space="preserve">The migration plan is structured in five phases. It is not a lift-and-shift — no configuration can be translated automatically between these architectures. Each of the ~231 connections must be individually qualified, re-engineered to the PA-5400 standard, tested, and cut over. The plan sequences this work to maximise parallel execution, prioritise the highest-risk tunnels, and minimise disruption to active partner integrations.</w:t>
      </w:r>
    </w:p>
    <w:p>
      <w:r>
        <w:br w:type="page"/>
      </w:r>
    </w:p>
    <w:p>
      <w:pPr>
        <w:pStyle w:val="Heading1"/>
        <w:spacing w:before="360" w:after="120"/>
      </w:pPr>
      <w:r>
        <w:rPr>
          <w:rFonts w:ascii="Arial" w:cs="Arial" w:eastAsia="Arial" w:hAnsi="Arial"/>
          <w:b/>
          <w:bCs/>
          <w:color w:val="1F3864"/>
          <w:sz w:val="32"/>
          <w:szCs w:val="32"/>
        </w:rPr>
        <w:t xml:space="preserve">2. ASA Configuration Findings</w:t>
      </w:r>
    </w:p>
    <w:p>
      <w:pPr>
        <w:pStyle w:val="Heading2"/>
        <w:spacing w:before="280" w:after="80"/>
      </w:pPr>
      <w:r>
        <w:rPr>
          <w:rFonts w:ascii="Arial" w:cs="Arial" w:eastAsia="Arial" w:hAnsi="Arial"/>
          <w:b/>
          <w:bCs/>
          <w:color w:val="2E75B6"/>
          <w:sz w:val="26"/>
          <w:szCs w:val="26"/>
        </w:rPr>
        <w:t xml:space="preserve">2.1 Estate Scale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8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Count</w:t>
            </w:r>
          </w:p>
        </w:tc>
        <w:tc>
          <w:tcPr>
            <w:tcW w:type="dxa" w:w="28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L2L Tunnel Groups (ipsec-l2l type)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231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Active partner connections terminating on this device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Crypto Map Entries (Outside_map1)</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206</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Unique sequence numbers; some gaps indicate decommissioned tunnels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Crypto Map Total Lines (all stanzas)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1,449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Average ~7 lines per entry — no structured templating</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Access-Lists (crypto ACLs)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231</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One ACL per tunnel — manually maintained, no IPAM backing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Object-Groups (network)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563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Accumulated over many years; no evidence of lifecycle review</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Active Interfaces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 (Outside + dmz12-b2b)</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All 231 tunnels share a single Outside interface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NAT Rules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Twelve rules govern all 231 partner flows — flat model, no per-tenant masking</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HA Failover</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Active/Passive</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GigabitEthernet0/5 + TenGigabitEthernet0/6 — state sync configured</w:t>
            </w:r>
          </w:p>
        </w:tc>
      </w:tr>
    </w:tbl>
    <w:p>
      <w:pPr>
        <w:spacing w:before="120" w:after="120"/>
      </w:pPr>
    </w:p>
    <w:p>
      <w:pPr>
        <w:pStyle w:val="Heading2"/>
        <w:spacing w:before="280" w:after="80"/>
      </w:pPr>
      <w:r>
        <w:rPr>
          <w:rFonts w:ascii="Arial" w:cs="Arial" w:eastAsia="Arial" w:hAnsi="Arial"/>
          <w:b/>
          <w:bCs/>
          <w:color w:val="2E75B6"/>
          <w:sz w:val="26"/>
          <w:szCs w:val="26"/>
        </w:rPr>
        <w:t xml:space="preserve">2.2 IKE Version Distribution</w:t>
      </w:r>
    </w:p>
    <w:p>
      <w:pPr>
        <w:spacing w:before="60" w:after="120"/>
      </w:pPr>
      <w:r>
        <w:rPr>
          <w:rFonts w:ascii="Arial" w:cs="Arial" w:eastAsia="Arial" w:hAnsi="Arial"/>
          <w:sz w:val="22"/>
          <w:szCs w:val="22"/>
        </w:rPr>
        <w:t xml:space="preserve">The most significant structural finding is that 77% of the tunnel estate uses IKEv1 — a protocol deprecated by RFC 9395 (2023) and considered unsuitable for new deployments. IKEv1 lacks the negotiation security improvements of IKEv2 (deadpeer detection, MOBIKE, encrypted IKE_AUTH), does not support modern traffic selectors, and has no migration path to certificate-based authentication without re-keying.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IKE Version</w:t>
            </w:r>
          </w:p>
        </w:tc>
        <w:tc>
          <w:tcPr>
            <w:tcW w:type="dxa" w:w="17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Tunnel Count</w:t>
            </w:r>
          </w:p>
        </w:tc>
        <w:tc>
          <w:tcPr>
            <w:tcW w:type="dxa" w:w="4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IKEv1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158 (77%)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Deprecated protocol. No support for MOBIKE, ECDH, or RFC 8784. Carries forward cryptographic constraints from the 1990s. All 158 require IKEv2 migration.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375623"/>
                <w:sz w:val="20"/>
                <w:szCs w:val="20"/>
              </w:rPr>
              <w:t xml:space="preserve">IKEv2</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47 (23%)</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Modern protocol baseline. Eligible for crypto hardening to the 3PLZ standard — majority already use AES-256-SHA256.</w:t>
            </w:r>
          </w:p>
        </w:tc>
      </w:tr>
    </w:tbl>
    <w:p>
      <w:pPr>
        <w:spacing w:before="120" w:after="120"/>
      </w:pPr>
    </w:p>
    <w:p>
      <w:pPr>
        <w:pStyle w:val="Heading2"/>
        <w:spacing w:before="280" w:after="80"/>
      </w:pPr>
      <w:r>
        <w:rPr>
          <w:rFonts w:ascii="Arial" w:cs="Arial" w:eastAsia="Arial" w:hAnsi="Arial"/>
          <w:b/>
          <w:bCs/>
          <w:color w:val="2E75B6"/>
          <w:sz w:val="26"/>
          <w:szCs w:val="26"/>
        </w:rPr>
        <w:t xml:space="preserve">2.3 Cryptographic Posture</w:t>
      </w:r>
    </w:p>
    <w:p>
      <w:pPr>
        <w:spacing w:before="60" w:after="120"/>
      </w:pPr>
      <w:r>
        <w:rPr>
          <w:rFonts w:ascii="Arial" w:cs="Arial" w:eastAsia="Arial" w:hAnsi="Arial"/>
          <w:sz w:val="22"/>
          <w:szCs w:val="22"/>
        </w:rPr>
        <w:t xml:space="preserve">The transform set and IKE proposal configuration reveals a wide variance in cryptographic strength across the estate. The configuration defines 9 IKEv1 transform sets and 15 IKEv2 proposals, creating a negotiation surface that allows partners to select weak algorithms. The following table quantifies active usage across crypto map entries.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472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Cipher/HMAC Configuration</w:t>
            </w:r>
          </w:p>
        </w:tc>
        <w:tc>
          <w:tcPr>
            <w:tcW w:type="dxa" w:w="144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Tunnels Affected</w:t>
            </w:r>
          </w:p>
        </w:tc>
        <w:tc>
          <w:tcPr>
            <w:tcW w:type="dxa" w:w="472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Risk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ESP-DES-MD5 (DES + MD5)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22</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C00000"/>
                <w:sz w:val="20"/>
                <w:szCs w:val="20"/>
              </w:rPr>
              <w:t xml:space="preserve">CRITICAL — DES is broken (56-bit key). MD5 HMAC is collision-vulnerable. These tunnels provide negligible confidentiality.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ESP-3DES-MD5 (3DES + MD5)</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9</w:t>
            </w:r>
          </w:p>
        </w:tc>
        <w:tc>
          <w:tcPr>
            <w:tcW w:type="dxa" w:w="4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C00000"/>
                <w:sz w:val="20"/>
                <w:szCs w:val="20"/>
              </w:rPr>
              <w:t xml:space="preserve">CRITICAL — 3DES has SWEET32 birthday attack vulnerability (CVE-2016-2183). MD5 HMAC further weakens integrity.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55A11"/>
                <w:sz w:val="20"/>
                <w:szCs w:val="20"/>
              </w:rPr>
              <w:t xml:space="preserve">ESP-3DES-SHA (3DES + SHA-1)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12</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C55A11"/>
                <w:sz w:val="20"/>
                <w:szCs w:val="20"/>
              </w:rPr>
              <w:t xml:space="preserve">HIGH — 3DES SWEET32 vulnerability. SHA-1 is deprecated for HMAC use. Effective key strength significantly below claim.</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C55A11"/>
                <w:sz w:val="20"/>
                <w:szCs w:val="20"/>
              </w:rPr>
              <w:t xml:space="preserve">ESP-AES-128-MD5 / AES-128-SHA</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4</w:t>
            </w:r>
          </w:p>
        </w:tc>
        <w:tc>
          <w:tcPr>
            <w:tcW w:type="dxa" w:w="4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C55A11"/>
                <w:sz w:val="20"/>
                <w:szCs w:val="20"/>
              </w:rPr>
              <w:t xml:space="preserve">HIGH — AES-128 acceptable but MD5 HMAC is deprecated. SHA-1 variant is borderline for new deployments.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55A11"/>
                <w:sz w:val="20"/>
                <w:szCs w:val="20"/>
              </w:rPr>
              <w:t xml:space="preserve">IKEv2 "test" proposal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5</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C55A11"/>
                <w:sz w:val="20"/>
                <w:szCs w:val="20"/>
              </w:rPr>
              <w:t xml:space="preserve">HIGH — Proposal named "test" in production. Indicates ad-hoc configuration. AES-256 encryption is present but provenance is unknown.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7F6000"/>
                <w:sz w:val="20"/>
                <w:szCs w:val="20"/>
              </w:rPr>
              <w:t xml:space="preserve">ESP-AES-256-SHA (IKEv1)</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111</w:t>
            </w:r>
          </w:p>
        </w:tc>
        <w:tc>
          <w:tcPr>
            <w:tcW w:type="dxa" w:w="4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7F6000"/>
                <w:sz w:val="20"/>
                <w:szCs w:val="20"/>
              </w:rPr>
              <w:t xml:space="preserve">MEDIUM — Best available for IKEv1 but SHA-1 HMAC is deprecated. Protocol version (IKEv1) is the primary risk.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5623"/>
                <w:sz w:val="20"/>
                <w:szCs w:val="20"/>
              </w:rPr>
              <w:t xml:space="preserve">IKEv2 AES256-SHA256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40</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5623"/>
                <w:sz w:val="20"/>
                <w:szCs w:val="20"/>
              </w:rPr>
              <w:t xml:space="preserve">ACCEPTABLE — Meets minimum acceptable standard. Not yet at 3PLZ target (AES-256-GCM + SHA-384 + ECDH gr.20).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375623"/>
                <w:sz w:val="20"/>
                <w:szCs w:val="20"/>
              </w:rPr>
              <w:t xml:space="preserve">IKEv2 AES256-SHA512 (AES-GCM)</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w:t>
            </w:r>
          </w:p>
        </w:tc>
        <w:tc>
          <w:tcPr>
            <w:tcW w:type="dxa" w:w="4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375623"/>
                <w:sz w:val="20"/>
                <w:szCs w:val="20"/>
              </w:rPr>
              <w:t xml:space="preserve">STRONG — Only 2 tunnels at target cryptographic strength.</w:t>
            </w:r>
          </w:p>
        </w:tc>
      </w:tr>
    </w:tbl>
    <w:p>
      <w:pPr>
        <w:spacing w:before="120" w:after="120"/>
      </w:pPr>
    </w:p>
    <w:p>
      <w:pPr>
        <w:pStyle w:val="Heading2"/>
        <w:spacing w:before="280" w:after="80"/>
      </w:pPr>
      <w:r>
        <w:rPr>
          <w:rFonts w:ascii="Arial" w:cs="Arial" w:eastAsia="Arial" w:hAnsi="Arial"/>
          <w:b/>
          <w:bCs/>
          <w:color w:val="2E75B6"/>
          <w:sz w:val="26"/>
          <w:szCs w:val="26"/>
        </w:rPr>
        <w:t xml:space="preserve">2.4 IKE Policy Stack — Over-Permissive Negotiation Surface</w:t>
      </w:r>
    </w:p>
    <w:p>
      <w:pPr>
        <w:spacing w:before="60" w:after="120"/>
      </w:pPr>
      <w:r>
        <w:rPr>
          <w:rFonts w:ascii="Arial" w:cs="Arial" w:eastAsia="Arial" w:hAnsi="Arial"/>
          <w:sz w:val="22"/>
          <w:szCs w:val="22"/>
        </w:rPr>
        <w:t xml:space="preserve">The ASA is configured with 11 IKEv1 policies and 15 IKEv2 policies active simultaneously. During IKE negotiation, a connecting peer proposes its preferred algorithms and the ASA accepts the first matching policy in sequence number order. With this many policies active — including policies offering DES encryption and DH group 2 (1024-bit) — any partner can successfully negotiate weak parameters if their device proposes them.</w:t>
      </w:r>
    </w:p>
    <w:p>
      <w:pPr>
        <w:spacing w:before="60" w:after="120"/>
      </w:pPr>
      <w:r>
        <w:rPr>
          <w:rFonts w:ascii="Arial" w:cs="Arial" w:eastAsia="Arial" w:hAnsi="Arial"/>
          <w:sz w:val="22"/>
          <w:szCs w:val="22"/>
        </w:rPr>
        <w:t xml:space="preserve">Key weak policies in the active stack:</w:t>
      </w:r>
    </w:p>
    <w:p>
      <w:pPr>
        <w:pStyle w:val="ListParagraph"/>
        <w:numPr>
          <w:ilvl w:val="0"/>
          <w:numId w:val="2"/>
        </w:numPr>
        <w:spacing w:before="40" w:after="40"/>
      </w:pPr>
      <w:r>
        <w:rPr>
          <w:rFonts w:ascii="Arial" w:cs="Arial" w:eastAsia="Arial" w:hAnsi="Arial"/>
          <w:sz w:val="22"/>
          <w:szCs w:val="22"/>
        </w:rPr>
        <w:t xml:space="preserve">IKEv1 policy 1: 3DES + SHA + DH group 2 (1024-bit MODP) — DH group 2 has been prohibited by NIST since 2015</w:t>
      </w:r>
    </w:p>
    <w:p>
      <w:pPr>
        <w:pStyle w:val="ListParagraph"/>
        <w:numPr>
          <w:ilvl w:val="0"/>
          <w:numId w:val="2"/>
        </w:numPr>
        <w:spacing w:before="40" w:after="40"/>
      </w:pPr>
      <w:r>
        <w:rPr>
          <w:rFonts w:ascii="Arial" w:cs="Arial" w:eastAsia="Arial" w:hAnsi="Arial"/>
          <w:sz w:val="22"/>
          <w:szCs w:val="22"/>
        </w:rPr>
        <w:t xml:space="preserve">IKEv1 policy 45/50: 3DES + MD5 + DH group 2 — weak on all three parameters</w:t>
      </w:r>
    </w:p>
    <w:p>
      <w:pPr>
        <w:pStyle w:val="ListParagraph"/>
        <w:numPr>
          <w:ilvl w:val="0"/>
          <w:numId w:val="2"/>
        </w:numPr>
        <w:spacing w:before="40" w:after="40"/>
      </w:pPr>
      <w:r>
        <w:rPr>
          <w:rFonts w:ascii="Arial" w:cs="Arial" w:eastAsia="Arial" w:hAnsi="Arial"/>
          <w:sz w:val="22"/>
          <w:szCs w:val="22"/>
        </w:rPr>
        <w:t xml:space="preserve">IKEv2 policy 30: 3DES + SHA + DH groups 5/2 — 3DES in an IKEv2 policy reflects carry-forward from the IKEv1 era</w:t>
      </w:r>
    </w:p>
    <w:p>
      <w:pPr>
        <w:pStyle w:val="ListParagraph"/>
        <w:numPr>
          <w:ilvl w:val="0"/>
          <w:numId w:val="2"/>
        </w:numPr>
        <w:spacing w:before="40" w:after="40"/>
      </w:pPr>
      <w:r>
        <w:rPr>
          <w:rFonts w:ascii="Arial" w:cs="Arial" w:eastAsia="Arial" w:hAnsi="Arial"/>
          <w:sz w:val="22"/>
          <w:szCs w:val="22"/>
        </w:rPr>
        <w:t xml:space="preserve">IKEv2 policy 40: DES encryption — DES is unconditionally broken regardless of protocol version</w:t>
      </w:r>
    </w:p>
    <w:p>
      <w:pPr>
        <w:pStyle w:val="ListParagraph"/>
        <w:numPr>
          <w:ilvl w:val="0"/>
          <w:numId w:val="2"/>
        </w:numPr>
        <w:spacing w:before="40" w:after="40"/>
      </w:pPr>
      <w:r>
        <w:rPr>
          <w:rFonts w:ascii="Arial" w:cs="Arial" w:eastAsia="Arial" w:hAnsi="Arial"/>
          <w:sz w:val="22"/>
          <w:szCs w:val="22"/>
        </w:rPr>
        <w:t xml:space="preserve">IKEv2 policy 60: 3DES + SHA256 + DH group 5 — the SHA256 integrity does not compensate for 3DES cipher weakness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CE4D6" w:val="clear"/>
            <w:tcMar>
              <w:top w:type="dxa" w:w="140"/>
              <w:left w:type="dxa" w:w="200"/>
              <w:bottom w:type="dxa" w:w="140"/>
              <w:right w:type="dxa" w:w="200"/>
            </w:tcMar>
          </w:tcPr>
          <w:p>
            <w:pPr>
              <w:spacing w:before="0" w:after="40"/>
            </w:pPr>
            <w:r>
              <w:rPr>
                <w:rFonts w:ascii="Arial" w:cs="Arial" w:eastAsia="Arial" w:hAnsi="Arial"/>
                <w:b/>
                <w:bCs/>
                <w:color w:val="C55A11"/>
                <w:sz w:val="22"/>
                <w:szCs w:val="22"/>
              </w:rPr>
              <w:t xml:space="preserve">Configuration Risk</w:t>
            </w:r>
          </w:p>
          <w:p>
            <w:pPr>
              <w:spacing w:before="0" w:after="0"/>
            </w:pPr>
            <w:r>
              <w:rPr>
                <w:rFonts w:ascii="Arial" w:cs="Arial" w:eastAsia="Arial" w:hAnsi="Arial"/>
                <w:color w:val="404040"/>
                <w:sz w:val="22"/>
                <w:szCs w:val="22"/>
              </w:rPr>
              <w:t xml:space="preserve">The existence of these policies does not mean all partners use them — but it means any partner can. There is no mechanism in the current configuration that prevents a partner from successfully negotiating DES or DH group 2. The negotiation outcome depends entirely on what the remote peer proposes, not on an enforced enterprise minimum standard.</w:t>
            </w:r>
          </w:p>
        </w:tc>
      </w:tr>
    </w:tbl>
    <w:p>
      <w:pPr>
        <w:spacing w:before="80" w:after="80"/>
      </w:pPr>
    </w:p>
    <w:p>
      <w:pPr>
        <w:pStyle w:val="Heading2"/>
        <w:spacing w:before="280" w:after="80"/>
      </w:pPr>
      <w:r>
        <w:rPr>
          <w:rFonts w:ascii="Arial" w:cs="Arial" w:eastAsia="Arial" w:hAnsi="Arial"/>
          <w:b/>
          <w:bCs/>
          <w:color w:val="2E75B6"/>
          <w:sz w:val="26"/>
          <w:szCs w:val="26"/>
        </w:rPr>
        <w:t xml:space="preserve">2.5 Tunnel Group Identity Model — Peer IP Keying</w:t>
      </w:r>
    </w:p>
    <w:p>
      <w:pPr>
        <w:spacing w:before="60" w:after="120"/>
      </w:pPr>
      <w:r>
        <w:rPr>
          <w:rFonts w:ascii="Arial" w:cs="Arial" w:eastAsia="Arial" w:hAnsi="Arial"/>
          <w:sz w:val="22"/>
          <w:szCs w:val="22"/>
        </w:rPr>
        <w:t xml:space="preserve">229 of 231 tunnel groups are keyed by the remote peer's public IP address (tunnel-group x.x.x.x type ipsec-l2l). Only one tunnel group uses a named identifier (fis-vpn-peer). This has the following operational consequences:</w:t>
      </w:r>
    </w:p>
    <w:p>
      <w:pPr>
        <w:pStyle w:val="ListParagraph"/>
        <w:numPr>
          <w:ilvl w:val="0"/>
          <w:numId w:val="2"/>
        </w:numPr>
        <w:spacing w:before="40" w:after="40"/>
      </w:pPr>
      <w:r>
        <w:rPr>
          <w:rFonts w:ascii="Arial" w:cs="Arial" w:eastAsia="Arial" w:hAnsi="Arial"/>
          <w:sz w:val="22"/>
          <w:szCs w:val="22"/>
        </w:rPr>
        <w:t xml:space="preserve">Partner IP change = re-keying required: Any change to a partner's public IP address — ISP change, IP renumbering, cloud migration, DR failover to a different site — requires manual reconfiguration of the tunnel group and crypto map on the ASA.</w:t>
      </w:r>
    </w:p>
    <w:p>
      <w:pPr>
        <w:pStyle w:val="ListParagraph"/>
        <w:numPr>
          <w:ilvl w:val="0"/>
          <w:numId w:val="2"/>
        </w:numPr>
        <w:spacing w:before="40" w:after="40"/>
      </w:pPr>
      <w:r>
        <w:rPr>
          <w:rFonts w:ascii="Arial" w:cs="Arial" w:eastAsia="Arial" w:hAnsi="Arial"/>
          <w:sz w:val="22"/>
          <w:szCs w:val="22"/>
        </w:rPr>
        <w:t xml:space="preserve">No stable IKE identity: There is no loopback-anchored or FQDN-based identity that persists across partner network changes. IKE SA teardown and re-establishment is required for any partner infrastructure change.</w:t>
      </w:r>
    </w:p>
    <w:p>
      <w:pPr>
        <w:pStyle w:val="ListParagraph"/>
        <w:numPr>
          <w:ilvl w:val="0"/>
          <w:numId w:val="2"/>
        </w:numPr>
        <w:spacing w:before="40" w:after="40"/>
      </w:pPr>
      <w:r>
        <w:rPr>
          <w:rFonts w:ascii="Arial" w:cs="Arial" w:eastAsia="Arial" w:hAnsi="Arial"/>
          <w:sz w:val="22"/>
          <w:szCs w:val="22"/>
        </w:rPr>
        <w:t xml:space="preserve">Forensic attribution by IP: Log correlation requires mapping log entries back to IP addresses rather than named tenants. IP reuse by different partners over time creates forensic ambiguity.</w:t>
      </w:r>
    </w:p>
    <w:p>
      <w:pPr>
        <w:pStyle w:val="ListParagraph"/>
        <w:numPr>
          <w:ilvl w:val="0"/>
          <w:numId w:val="2"/>
        </w:numPr>
        <w:spacing w:before="40" w:after="40"/>
      </w:pPr>
      <w:r>
        <w:rPr>
          <w:rFonts w:ascii="Arial" w:cs="Arial" w:eastAsia="Arial" w:hAnsi="Arial"/>
          <w:sz w:val="22"/>
          <w:szCs w:val="22"/>
        </w:rPr>
        <w:t xml:space="preserve">Automation is structurally impeded: An automation pipeline cannot predict or manage IP-keyed tunnel groups because the identity is derived from an external variable (partner IP) rather than a stable enterprise-assigned identifier.</w:t>
      </w:r>
    </w:p>
    <w:p>
      <w:pPr>
        <w:pStyle w:val="Heading2"/>
        <w:spacing w:before="280" w:after="80"/>
      </w:pPr>
      <w:r>
        <w:rPr>
          <w:rFonts w:ascii="Arial" w:cs="Arial" w:eastAsia="Arial" w:hAnsi="Arial"/>
          <w:b/>
          <w:bCs/>
          <w:color w:val="2E75B6"/>
          <w:sz w:val="26"/>
          <w:szCs w:val="26"/>
        </w:rPr>
        <w:t xml:space="preserve">2.6 NAT Architecture — Flat, Subnet-Level Access</w:t>
      </w:r>
    </w:p>
    <w:p>
      <w:pPr>
        <w:spacing w:before="60" w:after="120"/>
      </w:pPr>
      <w:r>
        <w:rPr>
          <w:rFonts w:ascii="Arial" w:cs="Arial" w:eastAsia="Arial" w:hAnsi="Arial"/>
          <w:sz w:val="22"/>
          <w:szCs w:val="22"/>
        </w:rPr>
        <w:t xml:space="preserve">The 12 NAT rules currently serving all 231 partner tunnels fall into two categories: exemption rules (no-proxy-arp, route-lookup) that pass traffic without translation for specific named bidirectional flows, and a single PAT rule that translates one internal host to a DMZ address.</w:t>
      </w:r>
    </w:p>
    <w:p>
      <w:pPr>
        <w:spacing w:before="60" w:after="120"/>
      </w:pPr>
      <w:r>
        <w:rPr>
          <w:rFonts w:ascii="Arial" w:cs="Arial" w:eastAsia="Arial" w:hAnsi="Arial"/>
          <w:sz w:val="22"/>
          <w:szCs w:val="22"/>
        </w:rPr>
        <w:t xml:space="preserve">The absence of per-partner SNAT has the following consequences:</w:t>
      </w:r>
    </w:p>
    <w:p>
      <w:pPr>
        <w:pStyle w:val="ListParagraph"/>
        <w:numPr>
          <w:ilvl w:val="0"/>
          <w:numId w:val="2"/>
        </w:numPr>
        <w:spacing w:before="40" w:after="40"/>
      </w:pPr>
      <w:r>
        <w:rPr>
          <w:rFonts w:ascii="Arial" w:cs="Arial" w:eastAsia="Arial" w:hAnsi="Arial"/>
          <w:sz w:val="22"/>
          <w:szCs w:val="22"/>
        </w:rPr>
        <w:t xml:space="preserve">Partners see real internal IP addressing: No outbound SNAT means partner-side traffic analysis can reveal internal subnet topology.</w:t>
      </w:r>
    </w:p>
    <w:p>
      <w:pPr>
        <w:pStyle w:val="ListParagraph"/>
        <w:numPr>
          <w:ilvl w:val="0"/>
          <w:numId w:val="2"/>
        </w:numPr>
        <w:spacing w:before="40" w:after="40"/>
      </w:pPr>
      <w:r>
        <w:rPr>
          <w:rFonts w:ascii="Arial" w:cs="Arial" w:eastAsia="Arial" w:hAnsi="Arial"/>
          <w:sz w:val="22"/>
          <w:szCs w:val="22"/>
        </w:rPr>
        <w:t xml:space="preserve">Internal hosts see real partner addressing: Without inbound SNAT, the internal application receives the partner's actual source IP. There is no per-tenant identity masking — the application cannot distinguish which of 231 partners is connecting without application-layer logic.</w:t>
      </w:r>
    </w:p>
    <w:p>
      <w:pPr>
        <w:pStyle w:val="ListParagraph"/>
        <w:numPr>
          <w:ilvl w:val="0"/>
          <w:numId w:val="2"/>
        </w:numPr>
        <w:spacing w:before="40" w:after="40"/>
      </w:pPr>
      <w:r>
        <w:rPr>
          <w:rFonts w:ascii="Arial" w:cs="Arial" w:eastAsia="Arial" w:hAnsi="Arial"/>
          <w:sz w:val="22"/>
          <w:szCs w:val="22"/>
        </w:rPr>
        <w:t xml:space="preserve">Subnet-level reachability: Access is granted at the network subnet level through crypto ACLs, not to named services. A partner whose ACL includes 10.x.x.0/24 can attempt to reach any host in that subnet — not just the intended service.</w:t>
      </w:r>
    </w:p>
    <w:p>
      <w:pPr>
        <w:pStyle w:val="ListParagraph"/>
        <w:numPr>
          <w:ilvl w:val="0"/>
          <w:numId w:val="2"/>
        </w:numPr>
        <w:spacing w:before="40" w:after="40"/>
      </w:pPr>
      <w:r>
        <w:rPr>
          <w:rFonts w:ascii="Arial" w:cs="Arial" w:eastAsia="Arial" w:hAnsi="Arial"/>
          <w:sz w:val="22"/>
          <w:szCs w:val="22"/>
        </w:rPr>
        <w:t xml:space="preserve">No service abstraction: There are no DNS rewriting rules and no service proxy layer. Partners must know internal addressing directly, or resolve it via internal DNS responses that reveal real IP addresses.</w:t>
      </w:r>
    </w:p>
    <w:p>
      <w:pPr>
        <w:pStyle w:val="Heading2"/>
        <w:spacing w:before="280" w:after="80"/>
      </w:pPr>
      <w:r>
        <w:rPr>
          <w:rFonts w:ascii="Arial" w:cs="Arial" w:eastAsia="Arial" w:hAnsi="Arial"/>
          <w:b/>
          <w:bCs/>
          <w:color w:val="2E75B6"/>
          <w:sz w:val="26"/>
          <w:szCs w:val="26"/>
        </w:rPr>
        <w:t xml:space="preserve">2.7 Authentication Model</w:t>
      </w:r>
    </w:p>
    <w:p>
      <w:pPr>
        <w:spacing w:before="60" w:after="120"/>
      </w:pPr>
      <w:r>
        <w:rPr>
          <w:rFonts w:ascii="Arial" w:cs="Arial" w:eastAsia="Arial" w:hAnsi="Arial"/>
          <w:sz w:val="22"/>
          <w:szCs w:val="22"/>
        </w:rPr>
        <w:t xml:space="preserve">Pre-shared keys (PSKs) are the authentication mechanism for the entire estate. The configuration contains 340 PSK references across tunnel group and IKE profile configurations. Certificate-based IKE authentication is not present for any partner tunnel. PSK-based authentication carries the following risks at this scale:</w:t>
      </w:r>
    </w:p>
    <w:p>
      <w:pPr>
        <w:pStyle w:val="ListParagraph"/>
        <w:numPr>
          <w:ilvl w:val="0"/>
          <w:numId w:val="2"/>
        </w:numPr>
        <w:spacing w:before="40" w:after="40"/>
      </w:pPr>
      <w:r>
        <w:rPr>
          <w:rFonts w:ascii="Arial" w:cs="Arial" w:eastAsia="Arial" w:hAnsi="Arial"/>
          <w:sz w:val="22"/>
          <w:szCs w:val="22"/>
        </w:rPr>
        <w:t xml:space="preserve">No revocation mechanism: A compromised PSK can only be remediated by manually reconfiguring both endpoints. There is no certificate revocation equivalent.</w:t>
      </w:r>
    </w:p>
    <w:p>
      <w:pPr>
        <w:pStyle w:val="ListParagraph"/>
        <w:numPr>
          <w:ilvl w:val="0"/>
          <w:numId w:val="2"/>
        </w:numPr>
        <w:spacing w:before="40" w:after="40"/>
      </w:pPr>
      <w:r>
        <w:rPr>
          <w:rFonts w:ascii="Arial" w:cs="Arial" w:eastAsia="Arial" w:hAnsi="Arial"/>
          <w:sz w:val="22"/>
          <w:szCs w:val="22"/>
        </w:rPr>
        <w:t xml:space="preserve">Key rotation discipline unknown: No evidence in the configuration of scheduled PSK rotation or documented key management procedures.</w:t>
      </w:r>
    </w:p>
    <w:p>
      <w:pPr>
        <w:pStyle w:val="ListParagraph"/>
        <w:numPr>
          <w:ilvl w:val="0"/>
          <w:numId w:val="2"/>
        </w:numPr>
        <w:spacing w:before="40" w:after="40"/>
      </w:pPr>
      <w:r>
        <w:rPr>
          <w:rFonts w:ascii="Arial" w:cs="Arial" w:eastAsia="Arial" w:hAnsi="Arial"/>
          <w:sz w:val="22"/>
          <w:szCs w:val="22"/>
        </w:rPr>
        <w:t xml:space="preserve">Shared secret model: PSKs are symmetric secrets. The partner must be trusted to protect the same secret. Enterprise revocation is not unilateral.</w:t>
      </w:r>
    </w:p>
    <w:p>
      <w:pPr>
        <w:pStyle w:val="Heading2"/>
        <w:spacing w:before="280" w:after="80"/>
      </w:pPr>
      <w:r>
        <w:rPr>
          <w:rFonts w:ascii="Arial" w:cs="Arial" w:eastAsia="Arial" w:hAnsi="Arial"/>
          <w:b/>
          <w:bCs/>
          <w:color w:val="2E75B6"/>
          <w:sz w:val="26"/>
          <w:szCs w:val="26"/>
        </w:rPr>
        <w:t xml:space="preserve">2.8 Logging and Observability</w:t>
      </w:r>
    </w:p>
    <w:p>
      <w:pPr>
        <w:spacing w:before="60" w:after="120"/>
      </w:pPr>
      <w:r>
        <w:rPr>
          <w:rFonts w:ascii="Arial" w:cs="Arial" w:eastAsia="Arial" w:hAnsi="Arial"/>
          <w:sz w:val="22"/>
          <w:szCs w:val="22"/>
        </w:rPr>
        <w:t xml:space="preserve">The ASA is configured to forward logs to three syslog receivers (10.93.0.141 on UDP/4283, and 10.123.48.146 and 10.123.48.147 on default syslog). The logging level for trap output is set to debugging, which generates high volume but provides session-level visibility. Key gaps in the current observability posture:</w:t>
      </w:r>
    </w:p>
    <w:p>
      <w:pPr>
        <w:pStyle w:val="ListParagraph"/>
        <w:numPr>
          <w:ilvl w:val="0"/>
          <w:numId w:val="2"/>
        </w:numPr>
        <w:spacing w:before="40" w:after="40"/>
      </w:pPr>
      <w:r>
        <w:rPr>
          <w:rFonts w:ascii="Arial" w:cs="Arial" w:eastAsia="Arial" w:hAnsi="Arial"/>
          <w:sz w:val="22"/>
          <w:szCs w:val="22"/>
        </w:rPr>
        <w:t xml:space="preserve">No per-tenant log structure: Log events carry the peer IP address as the primary identifier. There is no tenant_id, partner_name, or structured attribution field. Post-hoc enrichment is required for any per-tenant analysis.</w:t>
      </w:r>
    </w:p>
    <w:p>
      <w:pPr>
        <w:pStyle w:val="ListParagraph"/>
        <w:numPr>
          <w:ilvl w:val="0"/>
          <w:numId w:val="2"/>
        </w:numPr>
        <w:spacing w:before="40" w:after="40"/>
      </w:pPr>
      <w:r>
        <w:rPr>
          <w:rFonts w:ascii="Arial" w:cs="Arial" w:eastAsia="Arial" w:hAnsi="Arial"/>
          <w:sz w:val="22"/>
          <w:szCs w:val="22"/>
        </w:rPr>
        <w:t xml:space="preserve">No application-layer telemetry: As a transport-layer device, the ASA has no visibility into what is carried inside the tunnels. No protocol-level inspection, no payload logging, no service-level transaction records.</w:t>
      </w:r>
    </w:p>
    <w:p>
      <w:pPr>
        <w:pStyle w:val="ListParagraph"/>
        <w:numPr>
          <w:ilvl w:val="0"/>
          <w:numId w:val="2"/>
        </w:numPr>
        <w:spacing w:before="40" w:after="40"/>
      </w:pPr>
      <w:r>
        <w:rPr>
          <w:rFonts w:ascii="Arial" w:cs="Arial" w:eastAsia="Arial" w:hAnsi="Arial"/>
          <w:sz w:val="22"/>
          <w:szCs w:val="22"/>
        </w:rPr>
        <w:t xml:space="preserve">No DNS query logging: There is no DNS proxy function on the ASA. Partner DNS queries are not visible at the transport layer.</w:t>
      </w:r>
    </w:p>
    <w:p>
      <w:r>
        <w:br w:type="page"/>
      </w:r>
    </w:p>
    <w:p>
      <w:pPr>
        <w:pStyle w:val="Heading1"/>
        <w:spacing w:before="360" w:after="120"/>
      </w:pPr>
      <w:r>
        <w:rPr>
          <w:rFonts w:ascii="Arial" w:cs="Arial" w:eastAsia="Arial" w:hAnsi="Arial"/>
          <w:b/>
          <w:bCs/>
          <w:color w:val="1F3864"/>
          <w:sz w:val="32"/>
          <w:szCs w:val="32"/>
        </w:rPr>
        <w:t xml:space="preserve">3. Risk Summary</w:t>
      </w:r>
    </w:p>
    <w:p>
      <w:pPr>
        <w:spacing w:before="60" w:after="120"/>
      </w:pPr>
      <w:r>
        <w:rPr>
          <w:rFonts w:ascii="Arial" w:cs="Arial" w:eastAsia="Arial" w:hAnsi="Arial"/>
          <w:sz w:val="22"/>
          <w:szCs w:val="22"/>
        </w:rPr>
        <w:t xml:space="preserve">The following table consolidates the configuration findings into a risk register. Each finding maps to the configuration evidence and carries a risk rating against the 3PLZ program's security and governance requirements.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Finding</w:t>
            </w:r>
          </w:p>
        </w:tc>
        <w:tc>
          <w:tcPr>
            <w:tcW w:type="dxa" w:w="4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Risk Rating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DES / 3DES-MD5 Tunnels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 tunnels using cryptographically broken ciphers (DES) or vulnerable combinations (3DES-MD5). DES provides negligible confidentiality at 56-bit key length.</w:t>
            </w:r>
          </w:p>
        </w:tc>
        <w:tc>
          <w:tcPr>
            <w:tcW w:type="dxa" w:w="2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IKEv1 — 77% of Estate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158 of 231 tunnels use IKEv1, a deprecated protocol with no path to modern DH groups, ECDH, or MOBIKE without full re-keying.</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DH Group 2 in IKE Policies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active IKE policies allow DH group 2 (1024-bit MODP). NIST prohibited DH-1024 for key exchange in 2015 (SP 800-131A).</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Over-permissive Negotiation Surface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IKEv1 + 15 IKEv2 policies active simultaneously. Partners can negotiate to the weakest available policy. No enforced minimum standard.</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"test" Proposal in Production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tunnels use an IKEv2 proposal named "test". Ad-hoc naming in production indicates uncontrolled manual provisioning.</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Peer-IP Tunnel Identity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229 of 231 tunnel groups keyed by peer IP. No stable enterprise-assigned identity. Partner IP changes require manual reconfiguration.</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Universal PSK Authentication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340 PSK references; no certificate-based IKE authentication. No revocation mechanism. Key rotation policy unknown.</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Flat NAT — No Per-Tenant SNAT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NAT rules for 231 tunnels. No per-partner SNAT identity masking. Internal addressing visible to partners. No service abstraction.</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MD5 HMAC in Active Tunnels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tunnels use MD5 for IPsec integrity. MD5 is deprecated for HMAC use and vulnerable to length-extension attacks.</w:t>
            </w:r>
          </w:p>
        </w:tc>
        <w:tc>
          <w:tcPr>
            <w:tcW w:type="dxa" w:w="26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r>
              <w:rPr>
                <w:rFonts w:ascii="Arial" w:cs="Arial" w:eastAsia="Arial" w:hAnsi="Arial"/>
                <w:b/>
                <w:bCs/>
                <w:color w:val="7F60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No Per-Tenant Log Attribution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events identified by peer IP only. No structured tenant_id field. Per-tenant forensic analysis requires manual IP-to-partner mapping.</w:t>
            </w:r>
          </w:p>
        </w:tc>
        <w:tc>
          <w:tcPr>
            <w:tcW w:type="dxa" w:w="26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r>
              <w:rPr>
                <w:rFonts w:ascii="Arial" w:cs="Arial" w:eastAsia="Arial" w:hAnsi="Arial"/>
                <w:b/>
                <w:bCs/>
                <w:color w:val="7F60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Subnet-Level ACL Access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 ACLs grant access to network subnets. Partners can attempt to reach any host in the permitted subnet, not only the intended service.</w:t>
            </w:r>
          </w:p>
        </w:tc>
        <w:tc>
          <w:tcPr>
            <w:tcW w:type="dxa" w:w="26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r>
              <w:rPr>
                <w:rFonts w:ascii="Arial" w:cs="Arial" w:eastAsia="Arial" w:hAnsi="Arial"/>
                <w:b/>
                <w:bCs/>
                <w:color w:val="7F60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No Service Mediation Layer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Applications receive partner connections directly at the network layer. No proxy, no mTLS termination, no application-level policy enforcement.</w:t>
            </w:r>
          </w:p>
        </w:tc>
        <w:tc>
          <w:tcPr>
            <w:tcW w:type="dxa" w:w="26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r>
              <w:rPr>
                <w:rFonts w:ascii="Arial" w:cs="Arial" w:eastAsia="Arial" w:hAnsi="Arial"/>
                <w:b/>
                <w:bCs/>
                <w:color w:val="7F60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Object-Group Lifecycle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563 object-groups accumulated over time. No evidence of systematic review or decommissioning aligned to tunnel lifecycle.</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4. Target Architecture: PA-5400 Single-VSYS</w:t>
      </w:r>
    </w:p>
    <w:p>
      <w:pPr>
        <w:spacing w:before="60" w:after="120"/>
      </w:pPr>
      <w:r>
        <w:rPr>
          <w:rFonts w:ascii="Arial" w:cs="Arial" w:eastAsia="Arial" w:hAnsi="Arial"/>
          <w:sz w:val="22"/>
          <w:szCs w:val="22"/>
        </w:rPr>
        <w:t xml:space="preserve">The PA-5400 Single-VSYS, Per-Tenant Virtual Router architecture directly addresses every critical and high finding identified in the ASA assessment. This section maps each risk to its architectural resolution in the target platform.</w:t>
      </w:r>
    </w:p>
    <w:p>
      <w:pPr>
        <w:pStyle w:val="Heading2"/>
        <w:spacing w:before="280" w:after="80"/>
      </w:pPr>
      <w:r>
        <w:rPr>
          <w:rFonts w:ascii="Arial" w:cs="Arial" w:eastAsia="Arial" w:hAnsi="Arial"/>
          <w:b/>
          <w:bCs/>
          <w:color w:val="2E75B6"/>
          <w:sz w:val="26"/>
          <w:szCs w:val="26"/>
        </w:rPr>
        <w:t xml:space="preserve">4.1 Architecture Principles</w:t>
      </w:r>
    </w:p>
    <w:p>
      <w:pPr>
        <w:pStyle w:val="ListParagraph"/>
        <w:numPr>
          <w:ilvl w:val="0"/>
          <w:numId w:val="2"/>
        </w:numPr>
        <w:spacing w:before="40" w:after="40"/>
      </w:pPr>
      <w:r>
        <w:rPr>
          <w:rFonts w:ascii="Arial" w:cs="Arial" w:eastAsia="Arial" w:hAnsi="Arial"/>
          <w:sz w:val="22"/>
          <w:szCs w:val="22"/>
        </w:rPr>
        <w:t xml:space="preserve">Automation-first: All tenant configuration is delivered exclusively through a validated automation pipeline. The firewall is a rendering target — it is never modified directly. This eliminates the ad-hoc provisioning that produced the current state.</w:t>
      </w:r>
    </w:p>
    <w:p>
      <w:pPr>
        <w:pStyle w:val="ListParagraph"/>
        <w:numPr>
          <w:ilvl w:val="0"/>
          <w:numId w:val="2"/>
        </w:numPr>
        <w:spacing w:before="40" w:after="40"/>
      </w:pPr>
      <w:r>
        <w:rPr>
          <w:rFonts w:ascii="Arial" w:cs="Arial" w:eastAsia="Arial" w:hAnsi="Arial"/>
          <w:sz w:val="22"/>
          <w:szCs w:val="22"/>
        </w:rPr>
        <w:t xml:space="preserve">Per-tenant virtual router (VR) isolation: Each tenant receives a dedicated VR that provides cryptographic routing separation. A routing error in one tenant's VR cannot leak into another tenant's forwarding table.</w:t>
      </w:r>
    </w:p>
    <w:p>
      <w:pPr>
        <w:pStyle w:val="ListParagraph"/>
        <w:numPr>
          <w:ilvl w:val="0"/>
          <w:numId w:val="2"/>
        </w:numPr>
        <w:spacing w:before="40" w:after="40"/>
      </w:pPr>
      <w:r>
        <w:rPr>
          <w:rFonts w:ascii="Arial" w:cs="Arial" w:eastAsia="Arial" w:hAnsi="Arial"/>
          <w:sz w:val="22"/>
          <w:szCs w:val="22"/>
        </w:rPr>
        <w:t xml:space="preserve">Per-tenant zone boundaries: Each tenant ingress and egress is bounded by a dedicated security zone (tz-{TID}-ipsec). Zone boundaries are platform-enforced audit points that cannot be bypassed by configuration error.</w:t>
      </w:r>
    </w:p>
    <w:p>
      <w:pPr>
        <w:pStyle w:val="ListParagraph"/>
        <w:numPr>
          <w:ilvl w:val="0"/>
          <w:numId w:val="2"/>
        </w:numPr>
        <w:spacing w:before="40" w:after="40"/>
      </w:pPr>
      <w:r>
        <w:rPr>
          <w:rFonts w:ascii="Arial" w:cs="Arial" w:eastAsia="Arial" w:hAnsi="Arial"/>
          <w:sz w:val="22"/>
          <w:szCs w:val="22"/>
        </w:rPr>
        <w:t xml:space="preserve">Bidirectional SNAT identity masking: Inbound SNAT translates the partner's real source address to a tenant-exclusive /32 identity. Outbound SNAT translates internal source addresses to a second tenant-exclusive /32. Neither party can observe the real addressing of the other.</w:t>
      </w:r>
    </w:p>
    <w:p>
      <w:pPr>
        <w:pStyle w:val="ListParagraph"/>
        <w:numPr>
          <w:ilvl w:val="0"/>
          <w:numId w:val="2"/>
        </w:numPr>
        <w:spacing w:before="40" w:after="40"/>
      </w:pPr>
      <w:r>
        <w:rPr>
          <w:rFonts w:ascii="Arial" w:cs="Arial" w:eastAsia="Arial" w:hAnsi="Arial"/>
          <w:sz w:val="22"/>
          <w:szCs w:val="22"/>
        </w:rPr>
        <w:t xml:space="preserve">Loopback-anchored IKE identity: IKE negotiation is anchored to a per-tenant loopback interface (loopback.{TID}). The IKE identity is independent of physical interfaces — partner IP changes and HA failover do not require re-keying.</w:t>
      </w:r>
    </w:p>
    <w:p>
      <w:pPr>
        <w:pStyle w:val="ListParagraph"/>
        <w:numPr>
          <w:ilvl w:val="0"/>
          <w:numId w:val="2"/>
        </w:numPr>
        <w:spacing w:before="40" w:after="40"/>
      </w:pPr>
      <w:r>
        <w:rPr>
          <w:rFonts w:ascii="Arial" w:cs="Arial" w:eastAsia="Arial" w:hAnsi="Arial"/>
          <w:sz w:val="22"/>
          <w:szCs w:val="22"/>
        </w:rPr>
        <w:t xml:space="preserve">IKEv2-only: The PA-5400 architecture mandates IKEv2 for all new tenant connections. IKEv1 is not supported. All 158 IKEv1 tunnels must be re-keyed during migration.</w:t>
      </w:r>
    </w:p>
    <w:p>
      <w:pPr>
        <w:pStyle w:val="Heading2"/>
        <w:spacing w:before="280" w:after="80"/>
      </w:pPr>
      <w:r>
        <w:rPr>
          <w:rFonts w:ascii="Arial" w:cs="Arial" w:eastAsia="Arial" w:hAnsi="Arial"/>
          <w:b/>
          <w:bCs/>
          <w:color w:val="2E75B6"/>
          <w:sz w:val="26"/>
          <w:szCs w:val="26"/>
        </w:rPr>
        <w:t xml:space="preserve">4.2 Risk Resolution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ASA Risk</w:t>
            </w:r>
          </w:p>
        </w:tc>
        <w:tc>
          <w:tcPr>
            <w:tcW w:type="dxa" w:w="3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ASA Finding</w:t>
            </w:r>
          </w:p>
        </w:tc>
        <w:tc>
          <w:tcPr>
            <w:tcW w:type="dxa" w:w="3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PA-5400 Resolution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DES/3DES-MD5 Ciphers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31 tunnels with broken/weak crypto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IKEv2 mandatory. Golden IKE profile enforces AES-256-GCM + SHA-384 + ECDH group 20 as minimum. Partners that cannot meet this standard must upgrade before migration.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IKEv1 — 77% of Estate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158 tunnels on deprecated protocol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IKEv2-only architecture. Migration is a hard protocol upgrade for every IKEv1 tunnel — no IKEv1 compatibility mode in target design.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DH Group 2 in Policies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1024-bit MODP allowed by active policies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Single enforced IKE profile. Group 20 (ECDH P-384) mandatory. No policy stack — no negotiation to weaker parameters.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Over-Permissive Negotiation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15 IKEv2 + 11 IKEv1 policies active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Single IKE profile per tenant, rendered by automation pipeline from a versioned template. No manual policy variants.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Peer-IP Tunnel Identity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229 of 231 keyed by partner 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Loopback-anchored IKE identity (192.168.0.{TID}/32). Identity is stable across partner IP changes, ISP migrations, and HA failover.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Universal PSK</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340 PSK refs, no cert auth</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PSKs generated by Secrets Manager (HashiCorp Vault). Unique per tenant. Stored at psk/{tenant_id}. Rotatable and revocable independently per tenant.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Flat NAT — No SNAT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12 rules for 231 tunnels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Per-tenant bidirectional SNAT. nat-{TID}-inbound and nat-{TID}-outbound rules provisioned per tenant. Partner and internal addressing mutually opaque.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Subnet-Level ACL Access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Network-level reachability</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Per-tenant security policy (pol-{TID}-inbound) enforces application and port-level access to named service entries only. No subnet-wide reachability.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No Per-Tenant Log Attribution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Peer-IP-based log correlation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Every log event carries tenant_id, tenant_name, zone name (tz-{TID}-ipsec), SNAT identity, and rule name. Three independent attribution paths — no enrichment required.</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5. Migration Plan</w:t>
      </w:r>
    </w:p>
    <w:p>
      <w:pPr>
        <w:spacing w:before="60" w:after="120"/>
      </w:pPr>
      <w:r>
        <w:rPr>
          <w:rFonts w:ascii="Arial" w:cs="Arial" w:eastAsia="Arial" w:hAnsi="Arial"/>
          <w:sz w:val="22"/>
          <w:szCs w:val="22"/>
        </w:rPr>
        <w:t xml:space="preserve">The migration from the ASA to the PA-5400 architecture is not a configuration translation. No configuration element can be automatically ported between these platforms — the architectural models are fundamentally different. Every one of the 231 partner connections must be individually qualified, re-engineered to the PA-5400 standard, tested in parallel with the existing tunnel, and cut over with the partner's participation.</w:t>
      </w:r>
    </w:p>
    <w:p>
      <w:pPr>
        <w:spacing w:before="60" w:after="120"/>
      </w:pPr>
      <w:r>
        <w:rPr>
          <w:rFonts w:ascii="Arial" w:cs="Arial" w:eastAsia="Arial" w:hAnsi="Arial"/>
          <w:sz w:val="22"/>
          <w:szCs w:val="22"/>
        </w:rPr>
        <w:t xml:space="preserve">The migration is structured in five phases. Phases 1 and 2 are preparatory work that does not touch any live partner connection. Phases 3 through 5 execute the partner migration in three priority tiers. The ASA remains fully operational throughout and is decommissioned only after the final tunnel cut-over is verified in Phase 5.</w:t>
      </w:r>
    </w:p>
    <w:p>
      <w:pPr>
        <w:spacing w:before="40" w:after="40"/>
      </w:pPr>
    </w:p>
    <w:p>
      <w:pPr>
        <w:pStyle w:val="Heading2"/>
        <w:spacing w:before="280" w:after="80"/>
      </w:pPr>
      <w:r>
        <w:rPr>
          <w:rFonts w:ascii="Arial" w:cs="Arial" w:eastAsia="Arial" w:hAnsi="Arial"/>
          <w:b/>
          <w:bCs/>
          <w:color w:val="2E75B6"/>
          <w:sz w:val="26"/>
          <w:szCs w:val="26"/>
        </w:rPr>
        <w:t xml:space="preserve">5.1 Migration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rPr>
          <w:tblHeader/>
        </w:trPr>
        <w:tc>
          <w:tcPr>
            <w:tcW w:type="dxa" w:w="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0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Title</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5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 Activities</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Platform Build &amp; Baseline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Weeks 1–6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PA-5400 HA pair deployed and connected. Panorama provisioned and pipeline integrated. IPAM, Secrets Manager, and logging stack commissioned. Golden IKE profile and automation templates built and validated. Acceptance test suite developed. Zero partner tunnels migrated.</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P2</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Discovery &amp; Partner Qualification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Weeks 4–10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audit of all 231 ASA tunnel groups: map peer IP to named partner, identify current cipher, confirm business owner, classify connection type (SFTP/HTTPS/SSH). Crypto capability survey sent to all partners — identify those requiring IKEv2 upgrade support. Prioritisation matrix built. Partner contact list confirmed.</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P3</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Tier 1 Migration — Critical Risk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Weeks 8–16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Migrate the 31 DES/3DES-MD5 tunnels and all 47 IKEv2 tunnels. Highest-risk tunnels migrated first. IKEv2 tunnels have lowest friction (no protocol upgrade). For DES/3DES tunnels: partner notified, crypto upgrade confirmed, parallel tunnel built on PA-5400, tested, cut over, ASA entry decommissioned. Target: ~78 tunnels complete.</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P4</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Tier 2 Migration — IKEv1 AES-256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Weeks 14–28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Migrate the 111 IKEv1 ESP-AES-256-SHA tunnels. These require IKEv2 protocol upgrade from the partner side. Batch by partner organisation where multiple tunnels exist (e.g. multiple Cognizant or IBM tunnels migrated in single partner engagement). Parallel operation on PA-5400 mandatory before ASA decommission. Target: ~111 tunnels complete.</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Tier 3 Migration &amp; ASA Decommission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Weeks 24–36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Migrate remaining tunnels (AES-128, residual IKEv1). Final validation that all tunnels are active on PA-5400 and zero tunnels remain on ASA. Object-group and ACL cleanup — audit all 563 object-groups against active tunnel inventory and remove orphans. ASA placed in monitoring-only state. Formal decommission sign-off after 30-day clean observation period.</w:t>
            </w:r>
          </w:p>
        </w:tc>
      </w:tr>
    </w:tbl>
    <w:p>
      <w:pPr>
        <w:spacing w:before="120" w:after="120"/>
      </w:pPr>
    </w:p>
    <w:p>
      <w:pPr>
        <w:pStyle w:val="Heading2"/>
        <w:spacing w:before="280" w:after="80"/>
      </w:pPr>
      <w:r>
        <w:rPr>
          <w:rFonts w:ascii="Arial" w:cs="Arial" w:eastAsia="Arial" w:hAnsi="Arial"/>
          <w:b/>
          <w:bCs/>
          <w:color w:val="2E75B6"/>
          <w:sz w:val="26"/>
          <w:szCs w:val="26"/>
        </w:rPr>
        <w:t xml:space="preserve">5.2 Per-Tunnel Migration Procedure</w:t>
      </w:r>
    </w:p>
    <w:p>
      <w:pPr>
        <w:spacing w:before="60" w:after="120"/>
      </w:pPr>
      <w:r>
        <w:rPr>
          <w:rFonts w:ascii="Arial" w:cs="Arial" w:eastAsia="Arial" w:hAnsi="Arial"/>
          <w:sz w:val="22"/>
          <w:szCs w:val="22"/>
        </w:rPr>
        <w:t xml:space="preserve">Every tunnel migration follows a consistent eight-step procedure regardless of tier. No exceptions to this procedure are permitted — the parallel operation period in step 4 is mandatory.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87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QUALIFY: Confirm named partner identity for the ASA tunnel group. Identify current cipher suite, DH group, and IKE version. Confirm business owner and primary technical contact. Record in migration tracker.</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w:t>
            </w:r>
          </w:p>
        </w:tc>
        <w:tc>
          <w:tcPr>
            <w:tcW w:type="dxa" w:w="8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NOTIFY: Issue partner migration notice. Minimum 10 business days notice. Include: new PA-5400 IKE endpoint IP (loopback /32), required IKEv2 parameters (AES-256-GCM / SHA-384 / ECDH gr.20), new PSK (delivered via secure channel), target cutover window.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BUILD: Automation pipeline provisions tenant on PA-5400. IPAM allocates loopback, VTI, SNAT inbound, SNAT outbound, DMZ addresses. Secrets Manager generates PSK. Pipeline renders and commits configuration bundle. Acceptance tests validate IKE readiness (tunnel group configured, loopback assigned, zone policy active).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4</w:t>
            </w:r>
          </w:p>
        </w:tc>
        <w:tc>
          <w:tcPr>
            <w:tcW w:type="dxa" w:w="8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PARALLEL TEST: Partner configures their end to the new PA-5400 IKE endpoint as a secondary tunnel. Both the existing ASA tunnel and the new PA-5400 tunnel operate simultaneously. Traffic flows on the ASA tunnel. PA-5400 tunnel is brought up and validated (IKE established, data plane reachable, SNAT active, DNS proxy responding, logs confirmed in SIEM).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CUTOVER: In agreed maintenance window, partner shifts primary traffic to PA-5400 tunnel. Monitoring confirms traffic flowing on PA-5400. ASA tunnel remains in standby for 72 hours. No ASA-side changes made during standby period.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6</w:t>
            </w:r>
          </w:p>
        </w:tc>
        <w:tc>
          <w:tcPr>
            <w:tcW w:type="dxa" w:w="8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VERIFY: 72-hour post-cutover observation. Confirm zero tunnel flaps on PA-5400, traffic volumes consistent with pre-migration baseline, no partner-reported connectivity issues, log attribution correct in SIEM (tenant_id present, no orphan events).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DECOMMISSION ASA ENTRY: After 72-hour verification, remove crypto map entry, ACL, tunnel group, and associated object-groups from ASA. Confirm removal does not impact partner traffic. Update migration tracker to COMPLETE.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8</w:t>
            </w:r>
          </w:p>
        </w:tc>
        <w:tc>
          <w:tcPr>
            <w:tcW w:type="dxa" w:w="8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CLOSE: Update IPAM to retire old ASA peer IP record. Archive migration ticket with before/after cipher configuration, cutover timestamp, and approver sign-off.</w:t>
            </w:r>
          </w:p>
        </w:tc>
      </w:tr>
    </w:tbl>
    <w:p>
      <w:pPr>
        <w:spacing w:before="120" w:after="120"/>
      </w:pPr>
    </w:p>
    <w:p>
      <w:pPr>
        <w:pStyle w:val="Heading2"/>
        <w:spacing w:before="280" w:after="80"/>
      </w:pPr>
      <w:r>
        <w:rPr>
          <w:rFonts w:ascii="Arial" w:cs="Arial" w:eastAsia="Arial" w:hAnsi="Arial"/>
          <w:b/>
          <w:bCs/>
          <w:color w:val="2E75B6"/>
          <w:sz w:val="26"/>
          <w:szCs w:val="26"/>
        </w:rPr>
        <w:t xml:space="preserve">5.3 Partner Crypto Upgrade Requirements</w:t>
      </w:r>
    </w:p>
    <w:p>
      <w:pPr>
        <w:spacing w:before="60" w:after="120"/>
      </w:pPr>
      <w:r>
        <w:rPr>
          <w:rFonts w:ascii="Arial" w:cs="Arial" w:eastAsia="Arial" w:hAnsi="Arial"/>
          <w:sz w:val="22"/>
          <w:szCs w:val="22"/>
        </w:rPr>
        <w:t xml:space="preserve">Partners whose current tunnel uses IKEv1 or a weak cipher must upgrade their own infrastructure before migration. The following table defines the requirement tiers and the communication approach for each.</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1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Current Cipher</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Tunnels</w:t>
            </w:r>
          </w:p>
        </w:tc>
        <w:tc>
          <w:tcPr>
            <w:tcW w:type="dxa" w:w="2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Upgrade Required</w:t>
            </w:r>
          </w:p>
        </w:tc>
        <w:tc>
          <w:tcPr>
            <w:tcW w:type="dxa" w:w="31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Engagement Approach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DES / 3DES-MD5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Cipher + protocol (IKEv2) upgrade mandatory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Priority outreach. Frame as security obligation. Offer technical guidance on IKEv2 configuration. Escalate to business owner if partner does not respond within 15 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C55A11"/>
                <w:sz w:val="20"/>
                <w:szCs w:val="20"/>
              </w:rPr>
              <w:t xml:space="preserve">IKEv1 AES-256-SHA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111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Protocol (IKEv2) upgrade only — cipher already adequate for IKEv2 equivalent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Standard notification. Majority of partners will have IKEv2 capable equipment. Batch by vendor/organisation where possible to reduce engagement overhead.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7F6000"/>
                <w:sz w:val="20"/>
                <w:szCs w:val="20"/>
              </w:rPr>
              <w:t xml:space="preserve">IKEv2 AES256-SHA256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Cipher hardening only — AES-256-GCM + SHA-384 + ECDH gr.20 preferred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Lower priority. Existing cipher is acceptable minimum. Upgrade to full 3PLZ target cipher during migration engagement.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375623"/>
                <w:sz w:val="20"/>
                <w:szCs w:val="20"/>
              </w:rPr>
              <w:t xml:space="preserve">IKEv2 AES-GCM-256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No upgrade required — already at target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Standard migration only. No crypto negotiation needed.</w:t>
            </w:r>
          </w:p>
        </w:tc>
      </w:tr>
    </w:tbl>
    <w:p>
      <w:pPr>
        <w:spacing w:before="120" w:after="120"/>
      </w:pPr>
    </w:p>
    <w:p>
      <w:pPr>
        <w:pStyle w:val="Heading2"/>
        <w:spacing w:before="280" w:after="80"/>
      </w:pPr>
      <w:r>
        <w:rPr>
          <w:rFonts w:ascii="Arial" w:cs="Arial" w:eastAsia="Arial" w:hAnsi="Arial"/>
          <w:b/>
          <w:bCs/>
          <w:color w:val="2E75B6"/>
          <w:sz w:val="26"/>
          <w:szCs w:val="26"/>
        </w:rPr>
        <w:t xml:space="preserve">5.4 Dependencies and Blockers</w:t>
      </w:r>
    </w:p>
    <w:p>
      <w:pPr>
        <w:spacing w:before="60" w:after="120"/>
      </w:pPr>
      <w:r>
        <w:rPr>
          <w:rFonts w:ascii="Arial" w:cs="Arial" w:eastAsia="Arial" w:hAnsi="Arial"/>
          <w:sz w:val="22"/>
          <w:szCs w:val="22"/>
        </w:rPr>
        <w:t xml:space="preserve">The following items are hard blockers for specific phases. They must be resolved before the phase they gate can begin.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400"/>
        <w:gridCol w:w="2200"/>
      </w:tblGrid>
      <w:tr>
        <w:trPr>
          <w:tblHeader/>
        </w:trPr>
        <w:tc>
          <w:tcPr>
            <w:tcW w:type="dxa" w:w="1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Gates Phase</w:t>
            </w:r>
          </w:p>
        </w:tc>
        <w:tc>
          <w:tcPr>
            <w:tcW w:type="dxa" w:w="4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Dependency</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2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PA-5400 hardware and Panorama provisioned and cabled in data centre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Pre-work</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P1</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HashiCorp Vault (or equivalent) deployed and accessible to automation pipeline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Platform Eng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Pre-work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IPAM service deployed with address pools defined for loopback, VTI, SNAT, DMZ ranges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Network Eng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Pre-work</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P1</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Automation pipeline developed, tested in lab, peer-reviewed, and change-controlled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Platform Eng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Pre-work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Complete partner-to-tunnel-group mapping (named partner for each of 231 ASA tunnel groups)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Network 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Discovery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P2</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Confirmed business owner for each active partner connection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Business Relationship</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Discovery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Partner crypto capability confirmed for all Tier 1 (DES/3DES) tunnels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Partner Eng Teams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P2 output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P3–5</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SIEM integration validated — PA-5400 log events with tenant_id visible in SIEM before first production cutover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Security Ops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P1 output</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6. Summary</w:t>
      </w:r>
    </w:p>
    <w:p>
      <w:pPr>
        <w:pStyle w:val="Heading2"/>
        <w:spacing w:before="280" w:after="80"/>
      </w:pPr>
      <w:r>
        <w:rPr>
          <w:rFonts w:ascii="Arial" w:cs="Arial" w:eastAsia="Arial" w:hAnsi="Arial"/>
          <w:b/>
          <w:bCs/>
          <w:color w:val="2E75B6"/>
          <w:sz w:val="26"/>
          <w:szCs w:val="26"/>
        </w:rPr>
        <w:t xml:space="preserve">6.1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4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Total L2L tunnel groups to migrate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231</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Tunnels with critical/high crypto risk (DES, 3DES-MD5, 3DES-SHA)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43 (19%)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Tunnels requiring IKEv2 protocol upgrade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158 (68%)</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Tunnels requiring IKEv2 + cipher upgrade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31 (13%)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Tunnels at or near acceptable crypto baseline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42 (18%)</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Partner connections keyed by peer IP (requiring loopback identity migration)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229 (99%)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PSK authentication references (all require Vault migration)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340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Object-groups requiring lifecycle audit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563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Estimated migration duration (Phase 1 start to ASA decommission)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36 weeks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Parallel operation requirement per tunnel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72 hours minimum</w:t>
            </w:r>
          </w:p>
        </w:tc>
      </w:tr>
    </w:tbl>
    <w:p>
      <w:pPr>
        <w:spacing w:before="120" w:after="120"/>
      </w:pPr>
    </w:p>
    <w:p>
      <w:pPr>
        <w:pStyle w:val="Heading2"/>
        <w:spacing w:before="280" w:after="80"/>
      </w:pPr>
      <w:r>
        <w:rPr>
          <w:rFonts w:ascii="Arial" w:cs="Arial" w:eastAsia="Arial" w:hAnsi="Arial"/>
          <w:b/>
          <w:bCs/>
          <w:color w:val="2E75B6"/>
          <w:sz w:val="26"/>
          <w:szCs w:val="26"/>
        </w:rPr>
        <w:t xml:space="preserve">6.2 Critical Path</w:t>
      </w:r>
    </w:p>
    <w:p>
      <w:pPr>
        <w:spacing w:before="60" w:after="120"/>
      </w:pPr>
      <w:r>
        <w:rPr>
          <w:rFonts w:ascii="Arial" w:cs="Arial" w:eastAsia="Arial" w:hAnsi="Arial"/>
          <w:sz w:val="22"/>
          <w:szCs w:val="22"/>
        </w:rPr>
        <w:t xml:space="preserve">The migration critical path runs through the following sequence. Slippage at any point propagates forward.</w:t>
      </w:r>
    </w:p>
    <w:p>
      <w:pPr>
        <w:pStyle w:val="ListParagraph"/>
        <w:numPr>
          <w:ilvl w:val="0"/>
          <w:numId w:val="3"/>
        </w:numPr>
        <w:spacing w:before="40" w:after="40"/>
      </w:pPr>
      <w:r>
        <w:rPr>
          <w:rFonts w:ascii="Arial" w:cs="Arial" w:eastAsia="Arial" w:hAnsi="Arial"/>
          <w:sz w:val="22"/>
          <w:szCs w:val="22"/>
        </w:rPr>
        <w:t xml:space="preserve">Platform Build (P1): PA-5400, Panorama, pipeline, Vault, IPAM operational. No partner migrations can begin until this is complete.</w:t>
      </w:r>
    </w:p>
    <w:p>
      <w:pPr>
        <w:pStyle w:val="ListParagraph"/>
        <w:numPr>
          <w:ilvl w:val="0"/>
          <w:numId w:val="3"/>
        </w:numPr>
        <w:spacing w:before="40" w:after="40"/>
      </w:pPr>
      <w:r>
        <w:rPr>
          <w:rFonts w:ascii="Arial" w:cs="Arial" w:eastAsia="Arial" w:hAnsi="Arial"/>
          <w:sz w:val="22"/>
          <w:szCs w:val="22"/>
        </w:rPr>
        <w:t xml:space="preserve">Discovery Completion (P2): All 231 tunnels mapped to named partners with confirmed business owners. Partner crypto capability survey complete. This is the most time-consuming non-technical step — partner responsiveness is the primary risk.</w:t>
      </w:r>
    </w:p>
    <w:p>
      <w:pPr>
        <w:pStyle w:val="ListParagraph"/>
        <w:numPr>
          <w:ilvl w:val="0"/>
          <w:numId w:val="3"/>
        </w:numPr>
        <w:spacing w:before="40" w:after="40"/>
      </w:pPr>
      <w:r>
        <w:rPr>
          <w:rFonts w:ascii="Arial" w:cs="Arial" w:eastAsia="Arial" w:hAnsi="Arial"/>
          <w:sz w:val="22"/>
          <w:szCs w:val="22"/>
        </w:rPr>
        <w:t xml:space="preserve">Tier 1 Crypto-Critical Tunnels (P3 start): The 31 DES/3DES-MD5 tunnels are the highest regulatory and security risk. These must be migrated before any programme go-live can be claimed.</w:t>
      </w:r>
    </w:p>
    <w:p>
      <w:pPr>
        <w:pStyle w:val="ListParagraph"/>
        <w:numPr>
          <w:ilvl w:val="0"/>
          <w:numId w:val="3"/>
        </w:numPr>
        <w:spacing w:before="40" w:after="40"/>
      </w:pPr>
      <w:r>
        <w:rPr>
          <w:rFonts w:ascii="Arial" w:cs="Arial" w:eastAsia="Arial" w:hAnsi="Arial"/>
          <w:sz w:val="22"/>
          <w:szCs w:val="22"/>
        </w:rPr>
        <w:t xml:space="preserve">SIEM Validation: Log attribution must be validated before the first production cutover. This is a non-negotiable compliance gate.</w:t>
      </w:r>
    </w:p>
    <w:p>
      <w:pPr>
        <w:pStyle w:val="ListParagraph"/>
        <w:numPr>
          <w:ilvl w:val="0"/>
          <w:numId w:val="3"/>
        </w:numPr>
        <w:spacing w:before="40" w:after="40"/>
      </w:pPr>
      <w:r>
        <w:rPr>
          <w:rFonts w:ascii="Arial" w:cs="Arial" w:eastAsia="Arial" w:hAnsi="Arial"/>
          <w:sz w:val="22"/>
          <w:szCs w:val="22"/>
        </w:rPr>
        <w:t xml:space="preserve">ASA Decommission (P5 end): The ASA is not decommissioned until the 30-day clean observation period is complete and every tunnel has been verified on the PA-5400.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E2EFDA" w:val="clear"/>
            <w:tcMar>
              <w:top w:type="dxa" w:w="140"/>
              <w:left w:type="dxa" w:w="200"/>
              <w:bottom w:type="dxa" w:w="140"/>
              <w:right w:type="dxa" w:w="200"/>
            </w:tcMar>
          </w:tcPr>
          <w:p>
            <w:pPr>
              <w:spacing w:before="0" w:after="40"/>
            </w:pPr>
            <w:r>
              <w:rPr>
                <w:rFonts w:ascii="Arial" w:cs="Arial" w:eastAsia="Arial" w:hAnsi="Arial"/>
                <w:b/>
                <w:bCs/>
                <w:color w:val="375623"/>
                <w:sz w:val="22"/>
                <w:szCs w:val="22"/>
              </w:rPr>
              <w:t xml:space="preserve">Programme Commitment</w:t>
            </w:r>
          </w:p>
          <w:p>
            <w:pPr>
              <w:spacing w:before="0" w:after="0"/>
            </w:pPr>
            <w:r>
              <w:rPr>
                <w:rFonts w:ascii="Arial" w:cs="Arial" w:eastAsia="Arial" w:hAnsi="Arial"/>
                <w:color w:val="404040"/>
                <w:sz w:val="22"/>
                <w:szCs w:val="22"/>
              </w:rPr>
              <w:t xml:space="preserve">The ASA estate will be fully migrated to the PA-5400 Single-VSYS architecture within 36 weeks of Phase 1 start, subject to partner engagement timelines. The 31 critical-risk tunnels (DES/3DES-MD5) will be migrated within 16 weeks of Phase 1 start. The ASA will remain in parallel operation throughout and will not be decommissioned until every tunnel is verified and the 30-day observation period is complete.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404040"/>
        <w:sz w:val="18"/>
        <w:szCs w:val="18"/>
      </w:rPr>
      <w:t xml:space="preserve">CVS Health — Third-Party Landing Zone Program</w:t>
    </w:r>
    <w:r>
      <w:rPr>
        <w:rFonts w:ascii="Arial" w:cs="Arial" w:eastAsia="Arial" w:hAnsi="Arial"/>
        <w:color w:val="40404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404040"/>
        <w:sz w:val="18"/>
        <w:szCs w:val="18"/>
      </w:rPr>
      <w:t xml:space="preserve">3PLZ — ASA Configuration Findings &amp; PA-5400 Migration Plan</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F49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2026-03-06T17:20:58.072Z</dcterms:created>
  <dcterms:modified xsi:type="dcterms:W3CDTF">2026-03-06T17:20:58.073Z</dcterms:modified>
</cp:coreProperties>
</file>

<file path=docProps/custom.xml><?xml version="1.0" encoding="utf-8"?>
<Properties xmlns="http://schemas.openxmlformats.org/officeDocument/2006/custom-properties" xmlns:vt="http://schemas.openxmlformats.org/officeDocument/2006/docPropsVTypes"/>
</file>