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60"/>
        <w:jc w:val="center"/>
      </w:pPr>
      <w:r>
        <w:rPr>
          <w:rFonts w:ascii="Arial" w:cs="Arial" w:eastAsia="Arial" w:hAnsi="Arial"/>
          <w:b/>
          <w:bCs/>
          <w:color w:val="1F3864"/>
          <w:sz w:val="44"/>
          <w:szCs w:val="44"/>
        </w:rPr>
        <w:t xml:space="preserve">CVS HEALTH — THIRD-PARTY LANDING ZONE (3PLZ)</w:t>
      </w:r>
    </w:p>
    <w:p>
      <w:pPr>
        <w:pBdr>
          <w:bottom w:val="single" w:color="2E75B6" w:sz="6" w:space="1"/>
        </w:pBdr>
        <w:spacing w:before="120" w:after="120"/>
      </w:pPr>
    </w:p>
    <w:p>
      <w:pPr>
        <w:spacing w:before="80" w:after="40"/>
        <w:jc w:val="center"/>
      </w:pPr>
      <w:r>
        <w:rPr>
          <w:rFonts w:ascii="Arial" w:cs="Arial" w:eastAsia="Arial" w:hAnsi="Arial"/>
          <w:b/>
          <w:bCs/>
          <w:color w:val="2E75B6"/>
          <w:sz w:val="32"/>
          <w:szCs w:val="32"/>
        </w:rPr>
        <w:t xml:space="preserve">ASA Estate: Configuration Findings &amp; Risk Assessment</w:t>
      </w:r>
    </w:p>
    <w:p>
      <w:pPr>
        <w:spacing w:before="0" w:after="40"/>
        <w:jc w:val="center"/>
      </w:pPr>
      <w:r>
        <w:rPr>
          <w:rFonts w:ascii="Arial" w:cs="Arial" w:eastAsia="Arial" w:hAnsi="Arial"/>
          <w:b/>
          <w:bCs/>
          <w:color w:val="2E75B6"/>
          <w:sz w:val="32"/>
          <w:szCs w:val="32"/>
        </w:rPr>
        <w:t xml:space="preserve">Migration Process &amp; Illustrative Programme Plan</w:t>
      </w:r>
    </w:p>
    <w:p>
      <w:pPr>
        <w:spacing w:before="4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PAZSHDC-SEC-EXT-VPN-01 — ASA 5585-SSP-40</w:t>
            </w:r>
          </w:p>
        </w:tc>
      </w:tr>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ASA Version 9.12(3)9</w:t>
            </w:r>
          </w:p>
        </w:tc>
      </w:tr>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Platform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PA-5400 Series — Single-VSYS, Per-Tenant VR Architecture</w:t>
            </w:r>
          </w:p>
        </w:tc>
      </w:tr>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 Scope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ASA configuration analysis, risk findings, per-tunnel migration process, illustrative programme plan, and resourcing requirements</w:t>
            </w:r>
          </w:p>
        </w:tc>
      </w:tr>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Plan Status</w:t>
            </w:r>
          </w:p>
        </w:tc>
        <w:tc>
          <w:tcPr>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B45309"/>
                <w:sz w:val="20"/>
                <w:szCs w:val="20"/>
              </w:rPr>
              <w:t xml:space="preserve">ILLUSTRATIVE — Timetables and phases are hypothetical pending resource confirmation</w:t>
            </w:r>
          </w:p>
        </w:tc>
      </w:tr>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Confidential — Restricted Distribution</w:t>
            </w:r>
          </w:p>
        </w:tc>
      </w:tr>
    </w:tbl>
    <w:p>
      <w:r>
        <w:br w:type="page"/>
      </w:r>
    </w:p>
    <w:p>
      <w:pPr>
        <w:pStyle w:val="Heading1"/>
        <w:spacing w:before="360" w:after="120"/>
      </w:pPr>
      <w:r>
        <w:rPr>
          <w:rFonts w:ascii="Arial" w:cs="Arial" w:eastAsia="Arial" w:hAnsi="Arial"/>
          <w:b/>
          <w:bCs/>
          <w:color w:val="1F3864"/>
          <w:sz w:val="32"/>
          <w:szCs w:val="32"/>
        </w:rPr>
        <w:t xml:space="preserve">1. Executive Summary</w:t>
      </w:r>
    </w:p>
    <w:p>
      <w:pPr>
        <w:spacing w:before="60" w:after="120"/>
      </w:pPr>
      <w:r>
        <w:rPr>
          <w:rFonts w:ascii="Arial" w:cs="Arial" w:eastAsia="Arial" w:hAnsi="Arial"/>
          <w:sz w:val="22"/>
          <w:szCs w:val="22"/>
        </w:rPr>
        <w:t xml:space="preserve">This document presents the findings of a configuration analysis performed against the active running configuration of PAZSHDC-SEC-EXT-VPN-01, the Cisco ASA 5585-SSP-40 that currently terminates the CVS Health third-party partner VPN estate. It identifies specific technical risks present in the configuration today, quantifies their scope, and describes the migration path to the PA-5400 Single-VSYS, Per-Tenant Virtual Router architecture that is the selected transport platform for the 3PLZ programme.</w:t>
      </w:r>
    </w:p>
    <w:p>
      <w:pPr>
        <w:spacing w:before="60" w:after="120"/>
      </w:pPr>
      <w:r>
        <w:rPr>
          <w:rFonts w:ascii="Arial" w:cs="Arial" w:eastAsia="Arial" w:hAnsi="Arial"/>
          <w:sz w:val="22"/>
          <w:szCs w:val="22"/>
        </w:rPr>
        <w:t xml:space="preserve">The analysis is based on the actual running configuration — not assumptions or estimates. Every finding in Sections 2 and 3 is tied to a specific configuration construct with a measured count. The risk register in Section 3 and the target architecture description in Section 4 are factual.</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D6E4F0" w:val="clear"/>
            <w:tcMar>
              <w:top w:type="dxa" w:w="140"/>
              <w:left w:type="dxa" w:w="200"/>
              <w:bottom w:type="dxa" w:w="140"/>
              <w:right w:type="dxa" w:w="200"/>
            </w:tcMar>
          </w:tcPr>
          <w:p>
            <w:pPr>
              <w:spacing w:before="0" w:after="40"/>
            </w:pPr>
            <w:r>
              <w:rPr>
                <w:rFonts w:ascii="Arial" w:cs="Arial" w:eastAsia="Arial" w:hAnsi="Arial"/>
                <w:b/>
                <w:bCs/>
                <w:color w:val="1F3864"/>
                <w:sz w:val="22"/>
                <w:szCs w:val="22"/>
              </w:rPr>
              <w:t xml:space="preserve">Estate at a Glance</w:t>
            </w:r>
          </w:p>
          <w:p>
            <w:pPr>
              <w:spacing w:before="0" w:after="0"/>
            </w:pPr>
            <w:r>
              <w:rPr>
                <w:rFonts w:ascii="Arial" w:cs="Arial" w:eastAsia="Arial" w:hAnsi="Arial"/>
                <w:color w:val="404040"/>
                <w:sz w:val="22"/>
                <w:szCs w:val="22"/>
              </w:rPr>
              <w:t xml:space="preserve">231 L2L tunnel groups  |  206 crypto map entries  |  158 IKEv1 tunnels (77%)  |  47 IKEv2 tunnels (23%)
31 tunnels using 3DES or DES-MD5  |  32 tunnels using MD5 HMAC  |  229 of 231 tunnel groups keyed by peer IP
12 NAT rules serving the entire estate  |  563 object-groups  |  231 access-lists  |  340 PSK references</w:t>
            </w:r>
          </w:p>
        </w:tc>
      </w:tr>
    </w:tbl>
    <w:p>
      <w:pPr>
        <w:spacing w:before="80" w:after="80"/>
      </w:pPr>
    </w:p>
    <w:p>
      <w:pPr>
        <w:spacing w:before="60" w:after="120"/>
      </w:pPr>
      <w:r>
        <w:rPr>
          <w:rFonts w:ascii="Arial" w:cs="Arial" w:eastAsia="Arial" w:hAnsi="Arial"/>
          <w:sz w:val="22"/>
          <w:szCs w:val="22"/>
        </w:rPr>
        <w:t xml:space="preserve">Sections 5 and 6 of this document address the migration programme. The per-tunnel migration process in Section 5 describes how every individual tunnel must be handled — this process is not hypothetical and does not depend on resourcing decisions; it is the mandatory technical procedure for each migration event, regardless of how the programme is resourced or sequenced.</w:t>
      </w:r>
    </w:p>
    <w:p>
      <w:pPr>
        <w:spacing w:before="60" w:after="120"/>
      </w:pPr>
      <w:r>
        <w:rPr>
          <w:rFonts w:ascii="Arial" w:cs="Arial" w:eastAsia="Arial" w:hAnsi="Arial"/>
          <w:sz w:val="22"/>
          <w:szCs w:val="22"/>
        </w:rPr>
        <w:t xml:space="preserve">The programme plan in Section 6 is illustrative. The phase structure, tunnel sequencing, and timetable it contains are based on assumptions about resource availability that have not yet been confirmed. The timetables in Section 6 are not commitments — they are a model that demonstrates what the programme could look like under a specific resourcing scenario. Section 7 makes the resourcing requirements explicit, identifies where the timetable is sensitive to resource decisions, and defines what decisions need to be made before the plan can become a commitment.</w:t>
      </w:r>
    </w:p>
    <w:p>
      <w:r>
        <w:br w:type="page"/>
      </w:r>
    </w:p>
    <w:p>
      <w:pPr>
        <w:pStyle w:val="Heading1"/>
        <w:spacing w:before="360" w:after="120"/>
      </w:pPr>
      <w:r>
        <w:rPr>
          <w:rFonts w:ascii="Arial" w:cs="Arial" w:eastAsia="Arial" w:hAnsi="Arial"/>
          <w:b/>
          <w:bCs/>
          <w:color w:val="1F3864"/>
          <w:sz w:val="32"/>
          <w:szCs w:val="32"/>
        </w:rPr>
        <w:t xml:space="preserve">2. ASA Configuration Findings</w:t>
      </w:r>
    </w:p>
    <w:p>
      <w:pPr>
        <w:pStyle w:val="Heading2"/>
        <w:spacing w:before="280" w:after="80"/>
      </w:pPr>
      <w:r>
        <w:rPr>
          <w:rFonts w:ascii="Arial" w:cs="Arial" w:eastAsia="Arial" w:hAnsi="Arial"/>
          <w:b/>
          <w:bCs/>
          <w:color w:val="2E75B6"/>
          <w:sz w:val="26"/>
          <w:szCs w:val="26"/>
        </w:rPr>
        <w:t xml:space="preserve">2.1 Estate Scale and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88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Count</w:t>
            </w:r>
          </w:p>
        </w:tc>
        <w:tc>
          <w:tcPr>
            <w:tcW w:type="dxa" w:w="288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L2L Tunnel Groups (ipsec-l2l type)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231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Active partner connections terminating on this device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Crypto Map Entries (Outside_map1)</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206</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Unique sequence numbers; some gaps indicate decommissioned tunnels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Crypto Map Total Lines (all stanzas)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1,449</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Average ~7 lines per entry — no structured templating</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Access-Lists (crypto ACLs)</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231</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One ACL per tunnel — manually maintained, no IPAM backing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Object-Groups (network)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563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Accumulated over many years; no evidence of lifecycle review</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Active Interfaces</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2 (Outside + dmz12-b2b)</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All 231 tunnels share a single Outside interface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NAT Rules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12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Twelve rules govern all 231 partner flows — flat model, no per-tenant masking</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HA Failover</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Active/Passive</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GigabitEthernet0/5 + TenGigabitEthernet0/6 — state sync configured</w:t>
            </w:r>
          </w:p>
        </w:tc>
      </w:tr>
    </w:tbl>
    <w:p>
      <w:pPr>
        <w:spacing w:before="120" w:after="120"/>
      </w:pPr>
    </w:p>
    <w:p>
      <w:pPr>
        <w:pStyle w:val="Heading2"/>
        <w:spacing w:before="280" w:after="80"/>
      </w:pPr>
      <w:r>
        <w:rPr>
          <w:rFonts w:ascii="Arial" w:cs="Arial" w:eastAsia="Arial" w:hAnsi="Arial"/>
          <w:b/>
          <w:bCs/>
          <w:color w:val="2E75B6"/>
          <w:sz w:val="26"/>
          <w:szCs w:val="26"/>
        </w:rPr>
        <w:t xml:space="preserve">2.2 IKE Version Distribution</w:t>
      </w:r>
    </w:p>
    <w:p>
      <w:pPr>
        <w:spacing w:before="60" w:after="120"/>
      </w:pPr>
      <w:r>
        <w:rPr>
          <w:rFonts w:ascii="Arial" w:cs="Arial" w:eastAsia="Arial" w:hAnsi="Arial"/>
          <w:sz w:val="22"/>
          <w:szCs w:val="22"/>
        </w:rPr>
        <w:t xml:space="preserve">The most significant structural finding is that 77% of the tunnel estate uses IKEv1 — a protocol deprecated by RFC 9395 (2023) and considered unsuitable for new deployments. IKEv1 lacks the negotiation security improvements of IKEv2 (dead peer detection, MOBIKE, encrypted IKE_AUTH), does not support modern traffic selectors, and has no migration path to certificate-based authentication without re-keying.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480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IKE Version</w:t>
            </w:r>
          </w:p>
        </w:tc>
        <w:tc>
          <w:tcPr>
            <w:tcW w:type="dxa" w:w="17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Tunnel Count</w:t>
            </w:r>
          </w:p>
        </w:tc>
        <w:tc>
          <w:tcPr>
            <w:tcW w:type="dxa" w:w="4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Implication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C00000"/>
                <w:sz w:val="20"/>
                <w:szCs w:val="20"/>
              </w:rPr>
              <w:t xml:space="preserve">IKEv1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158 (77%)</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Deprecated protocol. No support for MOBIKE, ECDH, or RFC 8784. Carries forward cryptographic constraints from the 1990s. All 158 require IKEv2 migration.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375623"/>
                <w:sz w:val="20"/>
                <w:szCs w:val="20"/>
              </w:rPr>
              <w:t xml:space="preserve">IKEv2</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47 (23%)</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Modern protocol baseline. Eligible for crypto hardening to the 3PLZ standard — majority already use AES-256-SHA256.</w:t>
            </w:r>
          </w:p>
        </w:tc>
      </w:tr>
    </w:tbl>
    <w:p>
      <w:pPr>
        <w:spacing w:before="120" w:after="120"/>
      </w:pPr>
    </w:p>
    <w:p>
      <w:pPr>
        <w:pStyle w:val="Heading2"/>
        <w:spacing w:before="280" w:after="80"/>
      </w:pPr>
      <w:r>
        <w:rPr>
          <w:rFonts w:ascii="Arial" w:cs="Arial" w:eastAsia="Arial" w:hAnsi="Arial"/>
          <w:b/>
          <w:bCs/>
          <w:color w:val="2E75B6"/>
          <w:sz w:val="26"/>
          <w:szCs w:val="26"/>
        </w:rPr>
        <w:t xml:space="preserve">2.3 Cryptographic Posture</w:t>
      </w:r>
    </w:p>
    <w:p>
      <w:pPr>
        <w:spacing w:before="60" w:after="120"/>
      </w:pPr>
      <w:r>
        <w:rPr>
          <w:rFonts w:ascii="Arial" w:cs="Arial" w:eastAsia="Arial" w:hAnsi="Arial"/>
          <w:sz w:val="22"/>
          <w:szCs w:val="22"/>
        </w:rPr>
        <w:t xml:space="preserve">The transform set and IKE proposal configuration reveals a wide variance in cryptographic strength across the estate. The following table quantifies active usage across crypto map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40"/>
        <w:gridCol w:w="4720"/>
      </w:tblGrid>
      <w:tr>
        <w:trPr>
          <w:tblHeader/>
        </w:trPr>
        <w:tc>
          <w:tcPr>
            <w:tcW w:type="dxa" w:w="3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Cipher / HMAC Configuration</w:t>
            </w:r>
          </w:p>
        </w:tc>
        <w:tc>
          <w:tcPr>
            <w:tcW w:type="dxa" w:w="144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Tunnels</w:t>
            </w:r>
          </w:p>
        </w:tc>
        <w:tc>
          <w:tcPr>
            <w:tcW w:type="dxa" w:w="472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Risk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C00000"/>
                <w:sz w:val="20"/>
                <w:szCs w:val="20"/>
              </w:rPr>
              <w:t xml:space="preserve">ESP-DES-MD5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22</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C00000"/>
                <w:sz w:val="20"/>
                <w:szCs w:val="20"/>
              </w:rPr>
              <w:t xml:space="preserve">CRITICAL — DES is broken (56-bit key). MD5 HMAC is collision-vulnerable.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C00000"/>
                <w:sz w:val="20"/>
                <w:szCs w:val="20"/>
              </w:rPr>
              <w:t xml:space="preserve">ESP-3DES-MD5</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9</w:t>
            </w:r>
          </w:p>
        </w:tc>
        <w:tc>
          <w:tcPr>
            <w:tcW w:type="dxa" w:w="4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C00000"/>
                <w:sz w:val="20"/>
                <w:szCs w:val="20"/>
              </w:rPr>
              <w:t xml:space="preserve">CRITICAL — 3DES has SWEET32 birthday attack vulnerability (CVE-2016-2183). MD5 HMAC further weakens integrity.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C55A11"/>
                <w:sz w:val="20"/>
                <w:szCs w:val="20"/>
              </w:rPr>
              <w:t xml:space="preserve">ESP-3DES-SHA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12</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C55A11"/>
                <w:sz w:val="20"/>
                <w:szCs w:val="20"/>
              </w:rPr>
              <w:t xml:space="preserve">HIGH — 3DES SWEET32 vulnerability. SHA-1 is deprecated for HMAC use.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C55A11"/>
                <w:sz w:val="20"/>
                <w:szCs w:val="20"/>
              </w:rPr>
              <w:t xml:space="preserve">ESP-AES-128-MD5 / AES-128-SHA</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4</w:t>
            </w:r>
          </w:p>
        </w:tc>
        <w:tc>
          <w:tcPr>
            <w:tcW w:type="dxa" w:w="4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C55A11"/>
                <w:sz w:val="20"/>
                <w:szCs w:val="20"/>
              </w:rPr>
              <w:t xml:space="preserve">HIGH — MD5 HMAC deprecated. SHA-1 borderline for new deployments.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C55A11"/>
                <w:sz w:val="20"/>
                <w:szCs w:val="20"/>
              </w:rPr>
              <w:t xml:space="preserve">IKEv2 "test" proposal (5 tunnels)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5</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C55A11"/>
                <w:sz w:val="20"/>
                <w:szCs w:val="20"/>
              </w:rPr>
              <w:t xml:space="preserve">HIGH — Proposal named "test" in production. Ad-hoc configuration; provenance unknown.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7F6000"/>
                <w:sz w:val="20"/>
                <w:szCs w:val="20"/>
              </w:rPr>
              <w:t xml:space="preserve">ESP-AES-256-SHA (IKEv1)</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111</w:t>
            </w:r>
          </w:p>
        </w:tc>
        <w:tc>
          <w:tcPr>
            <w:tcW w:type="dxa" w:w="4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7F6000"/>
                <w:sz w:val="20"/>
                <w:szCs w:val="20"/>
              </w:rPr>
              <w:t xml:space="preserve">MEDIUM — Best available for IKEv1. SHA-1 HMAC deprecated. Protocol version is the primary risk.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5623"/>
                <w:sz w:val="20"/>
                <w:szCs w:val="20"/>
              </w:rPr>
              <w:t xml:space="preserve">IKEv2 AES256-SHA256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40</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5623"/>
                <w:sz w:val="20"/>
                <w:szCs w:val="20"/>
              </w:rPr>
              <w:t xml:space="preserve">ACCEPTABLE — Meets minimum baseline. Not yet at 3PLZ target cipher.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375623"/>
                <w:sz w:val="20"/>
                <w:szCs w:val="20"/>
              </w:rPr>
              <w:t xml:space="preserve">IKEv2 AES-GCM-256</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2</w:t>
            </w:r>
          </w:p>
        </w:tc>
        <w:tc>
          <w:tcPr>
            <w:tcW w:type="dxa" w:w="4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375623"/>
                <w:sz w:val="20"/>
                <w:szCs w:val="20"/>
              </w:rPr>
              <w:t xml:space="preserve">STRONG — Only 2 tunnels at target cryptographic strength.</w:t>
            </w:r>
          </w:p>
        </w:tc>
      </w:tr>
    </w:tbl>
    <w:p>
      <w:pPr>
        <w:spacing w:before="120" w:after="120"/>
      </w:pPr>
    </w:p>
    <w:p>
      <w:pPr>
        <w:pStyle w:val="Heading2"/>
        <w:spacing w:before="280" w:after="80"/>
      </w:pPr>
      <w:r>
        <w:rPr>
          <w:rFonts w:ascii="Arial" w:cs="Arial" w:eastAsia="Arial" w:hAnsi="Arial"/>
          <w:b/>
          <w:bCs/>
          <w:color w:val="2E75B6"/>
          <w:sz w:val="26"/>
          <w:szCs w:val="26"/>
        </w:rPr>
        <w:t xml:space="preserve">2.4 IKE Policy Stack — Over-Permissive Negotiation Surface</w:t>
      </w:r>
    </w:p>
    <w:p>
      <w:pPr>
        <w:spacing w:before="60" w:after="120"/>
      </w:pPr>
      <w:r>
        <w:rPr>
          <w:rFonts w:ascii="Arial" w:cs="Arial" w:eastAsia="Arial" w:hAnsi="Arial"/>
          <w:sz w:val="22"/>
          <w:szCs w:val="22"/>
        </w:rPr>
        <w:t xml:space="preserve">The ASA is configured with 11 IKEv1 policies and 15 IKEv2 policies active simultaneously. With this many policies active — including policies offering DES encryption and DH group 2 (1024-bit) — any partner can successfully negotiate weak parameters if their device proposes them. There is no enforced minimum standard.</w:t>
      </w:r>
    </w:p>
    <w:p>
      <w:pPr>
        <w:pStyle w:val="ListParagraph"/>
        <w:numPr>
          <w:ilvl w:val="0"/>
          <w:numId w:val="2"/>
        </w:numPr>
        <w:spacing w:before="40" w:after="40"/>
      </w:pPr>
      <w:r>
        <w:rPr>
          <w:rFonts w:ascii="Arial" w:cs="Arial" w:eastAsia="Arial" w:hAnsi="Arial"/>
          <w:sz w:val="22"/>
          <w:szCs w:val="22"/>
        </w:rPr>
        <w:t xml:space="preserve">IKEv1 policy 1: 3DES + SHA + DH group 2 (1024-bit MODP) — DH group 2 prohibited by NIST since 2015</w:t>
      </w:r>
    </w:p>
    <w:p>
      <w:pPr>
        <w:pStyle w:val="ListParagraph"/>
        <w:numPr>
          <w:ilvl w:val="0"/>
          <w:numId w:val="2"/>
        </w:numPr>
        <w:spacing w:before="40" w:after="40"/>
      </w:pPr>
      <w:r>
        <w:rPr>
          <w:rFonts w:ascii="Arial" w:cs="Arial" w:eastAsia="Arial" w:hAnsi="Arial"/>
          <w:sz w:val="22"/>
          <w:szCs w:val="22"/>
        </w:rPr>
        <w:t xml:space="preserve">IKEv1 policy 45/50: 3DES + MD5 + DH group 2 — weak on all three parameters</w:t>
      </w:r>
    </w:p>
    <w:p>
      <w:pPr>
        <w:pStyle w:val="ListParagraph"/>
        <w:numPr>
          <w:ilvl w:val="0"/>
          <w:numId w:val="2"/>
        </w:numPr>
        <w:spacing w:before="40" w:after="40"/>
      </w:pPr>
      <w:r>
        <w:rPr>
          <w:rFonts w:ascii="Arial" w:cs="Arial" w:eastAsia="Arial" w:hAnsi="Arial"/>
          <w:sz w:val="22"/>
          <w:szCs w:val="22"/>
        </w:rPr>
        <w:t xml:space="preserve">IKEv2 policy 30: 3DES + SHA + DH groups 5/2 — 3DES in an IKEv2 policy reflects carry-forward from the IKEv1 era</w:t>
      </w:r>
    </w:p>
    <w:p>
      <w:pPr>
        <w:pStyle w:val="ListParagraph"/>
        <w:numPr>
          <w:ilvl w:val="0"/>
          <w:numId w:val="2"/>
        </w:numPr>
        <w:spacing w:before="40" w:after="40"/>
      </w:pPr>
      <w:r>
        <w:rPr>
          <w:rFonts w:ascii="Arial" w:cs="Arial" w:eastAsia="Arial" w:hAnsi="Arial"/>
          <w:sz w:val="22"/>
          <w:szCs w:val="22"/>
        </w:rPr>
        <w:t xml:space="preserve">IKEv2 policy 40: DES encryption — DES is unconditionally broken regardless of protocol version</w:t>
      </w:r>
    </w:p>
    <w:p>
      <w:pPr>
        <w:pStyle w:val="ListParagraph"/>
        <w:numPr>
          <w:ilvl w:val="0"/>
          <w:numId w:val="2"/>
        </w:numPr>
        <w:spacing w:before="40" w:after="40"/>
      </w:pPr>
      <w:r>
        <w:rPr>
          <w:rFonts w:ascii="Arial" w:cs="Arial" w:eastAsia="Arial" w:hAnsi="Arial"/>
          <w:sz w:val="22"/>
          <w:szCs w:val="22"/>
        </w:rPr>
        <w:t xml:space="preserve">IKEv2 policy 60: 3DES + SHA256 + DH group 5 — SHA256 integrity does not compensate for 3DES cipher weakness</w:t>
      </w:r>
    </w:p>
    <w:p>
      <w:pPr>
        <w:pStyle w:val="Heading2"/>
        <w:spacing w:before="280" w:after="80"/>
      </w:pPr>
      <w:r>
        <w:rPr>
          <w:rFonts w:ascii="Arial" w:cs="Arial" w:eastAsia="Arial" w:hAnsi="Arial"/>
          <w:b/>
          <w:bCs/>
          <w:color w:val="2E75B6"/>
          <w:sz w:val="26"/>
          <w:szCs w:val="26"/>
        </w:rPr>
        <w:t xml:space="preserve">2.5 Tunnel Group Identity Model — Peer IP Keying</w:t>
      </w:r>
    </w:p>
    <w:p>
      <w:pPr>
        <w:spacing w:before="60" w:after="120"/>
      </w:pPr>
      <w:r>
        <w:rPr>
          <w:rFonts w:ascii="Arial" w:cs="Arial" w:eastAsia="Arial" w:hAnsi="Arial"/>
          <w:sz w:val="22"/>
          <w:szCs w:val="22"/>
        </w:rPr>
        <w:t xml:space="preserve">229 of 231 tunnel groups are keyed by the remote peer's public IP address. Only one tunnel group uses a named identifier (fis-vpn-peer). Any partner IP change requires manual ASA reconfiguration. There is no stable enterprise-assigned identity, no loopback-anchored IKE anchor, and no automation-compatible identity model.</w:t>
      </w:r>
    </w:p>
    <w:p>
      <w:pPr>
        <w:pStyle w:val="Heading2"/>
        <w:spacing w:before="280" w:after="80"/>
      </w:pPr>
      <w:r>
        <w:rPr>
          <w:rFonts w:ascii="Arial" w:cs="Arial" w:eastAsia="Arial" w:hAnsi="Arial"/>
          <w:b/>
          <w:bCs/>
          <w:color w:val="2E75B6"/>
          <w:sz w:val="26"/>
          <w:szCs w:val="26"/>
        </w:rPr>
        <w:t xml:space="preserve">2.6 NAT Architecture — Flat, Subnet-Level Access</w:t>
      </w:r>
    </w:p>
    <w:p>
      <w:pPr>
        <w:spacing w:before="60" w:after="120"/>
      </w:pPr>
      <w:r>
        <w:rPr>
          <w:rFonts w:ascii="Arial" w:cs="Arial" w:eastAsia="Arial" w:hAnsi="Arial"/>
          <w:sz w:val="22"/>
          <w:szCs w:val="22"/>
        </w:rPr>
        <w:t xml:space="preserve">12 NAT rules govern 231 partner tunnels. The absence of per-partner SNAT means partners can observe real internal addressing, internal applications receive real partner source IPs, and access is granted at network subnet level rather than to named services. There is no DNS rewriting layer.</w:t>
      </w:r>
    </w:p>
    <w:p>
      <w:pPr>
        <w:pStyle w:val="Heading2"/>
        <w:spacing w:before="280" w:after="80"/>
      </w:pPr>
      <w:r>
        <w:rPr>
          <w:rFonts w:ascii="Arial" w:cs="Arial" w:eastAsia="Arial" w:hAnsi="Arial"/>
          <w:b/>
          <w:bCs/>
          <w:color w:val="2E75B6"/>
          <w:sz w:val="26"/>
          <w:szCs w:val="26"/>
        </w:rPr>
        <w:t xml:space="preserve">2.7 Authentication Model</w:t>
      </w:r>
    </w:p>
    <w:p>
      <w:pPr>
        <w:spacing w:before="60" w:after="120"/>
      </w:pPr>
      <w:r>
        <w:rPr>
          <w:rFonts w:ascii="Arial" w:cs="Arial" w:eastAsia="Arial" w:hAnsi="Arial"/>
          <w:sz w:val="22"/>
          <w:szCs w:val="22"/>
        </w:rPr>
        <w:t xml:space="preserve">Pre-shared keys are the authentication mechanism for the entire estate. 340 PSK references appear in the configuration. No certificate-based IKE authentication is present. There is no revocation mechanism, no evidence of scheduled key rotation, and the PSK model does not support unilateral enterprise revocation.</w:t>
      </w:r>
    </w:p>
    <w:p>
      <w:pPr>
        <w:pStyle w:val="Heading2"/>
        <w:spacing w:before="280" w:after="80"/>
      </w:pPr>
      <w:r>
        <w:rPr>
          <w:rFonts w:ascii="Arial" w:cs="Arial" w:eastAsia="Arial" w:hAnsi="Arial"/>
          <w:b/>
          <w:bCs/>
          <w:color w:val="2E75B6"/>
          <w:sz w:val="26"/>
          <w:szCs w:val="26"/>
        </w:rPr>
        <w:t xml:space="preserve">2.8 Logging and Observability</w:t>
      </w:r>
    </w:p>
    <w:p>
      <w:pPr>
        <w:spacing w:before="60" w:after="120"/>
      </w:pPr>
      <w:r>
        <w:rPr>
          <w:rFonts w:ascii="Arial" w:cs="Arial" w:eastAsia="Arial" w:hAnsi="Arial"/>
          <w:sz w:val="22"/>
          <w:szCs w:val="22"/>
        </w:rPr>
        <w:t xml:space="preserve">The ASA forwards logs to three syslog receivers. Log events carry peer IP as the primary identifier — there is no tenant_id, partner_name, or structured attribution field. No DNS proxy, no application-layer telemetry, and no service-level transaction records.</w:t>
      </w:r>
    </w:p>
    <w:p>
      <w:r>
        <w:br w:type="page"/>
      </w:r>
    </w:p>
    <w:p>
      <w:pPr>
        <w:pStyle w:val="Heading1"/>
        <w:spacing w:before="360" w:after="120"/>
      </w:pPr>
      <w:r>
        <w:rPr>
          <w:rFonts w:ascii="Arial" w:cs="Arial" w:eastAsia="Arial" w:hAnsi="Arial"/>
          <w:b/>
          <w:bCs/>
          <w:color w:val="1F3864"/>
          <w:sz w:val="32"/>
          <w:szCs w:val="32"/>
        </w:rPr>
        <w:t xml:space="preserve">3.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Finding</w:t>
            </w:r>
          </w:p>
        </w:tc>
        <w:tc>
          <w:tcPr>
            <w:tcW w:type="dxa" w:w="45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Detail</w:t>
            </w:r>
          </w:p>
        </w:tc>
        <w:tc>
          <w:tcPr>
            <w:tcW w:type="dxa" w:w="26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Risk Rating</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DES / 3DES-MD5 Tunnels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 tunnels using cryptographically broken ciphers. DES provides negligible confidentiality at 56-bit key length.</w:t>
            </w:r>
          </w:p>
        </w:tc>
        <w:tc>
          <w:tcPr>
            <w:tcW w:type="dxa" w:w="2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0000"/>
                <w:sz w:val="20"/>
                <w:szCs w:val="20"/>
              </w:rPr>
              <w:t xml:space="preserve">CRITICAL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IKEv1 — 77% of Estate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158 of 231 tunnels use IKEv1, a deprecated protocol with no path to modern DH groups, ECDH, or MOBIKE.</w:t>
            </w:r>
          </w:p>
        </w:tc>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HIGH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DH Group 2 in IKE Policies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active IKE policies allow DH group 2 (1024-bit MODP). NIST prohibited DH-1024 in 2015 (SP 800-131A).</w:t>
            </w:r>
          </w:p>
        </w:tc>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HIGH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Over-Permissive Negotiation Surface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 IKE policies active simultaneously. Partners can negotiate to the weakest available. No enforced minimum standard.</w:t>
            </w:r>
          </w:p>
        </w:tc>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HIGH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"test" Proposal in Production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tunnels use an IKEv2 proposal named "test". Ad-hoc naming in production indicates uncontrolled provisioning.</w:t>
            </w:r>
          </w:p>
        </w:tc>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HIGH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Peer-IP Tunnel Identity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229 of 231 tunnel groups keyed by peer IP. Partner IP changes require manual reconfiguration. No stable identity.</w:t>
            </w:r>
          </w:p>
        </w:tc>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HIGH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Universal PSK Authentication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340 PSK references; no certificate-based IKE authentication. No revocation mechanism.</w:t>
            </w:r>
          </w:p>
        </w:tc>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HIGH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Flat NAT — No Per-Tenant SNAT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NAT rules for 231 tunnels. No per-partner SNAT identity masking. Internal addressing visible to partners.</w:t>
            </w:r>
          </w:p>
        </w:tc>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HIGH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MD5 HMAC in Active Tunnels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 tunnels use MD5 for IPsec integrity. MD5 is deprecated for HMAC use.</w:t>
            </w:r>
          </w:p>
        </w:tc>
        <w:tc>
          <w:tcPr>
            <w:tcW w:type="dxa" w:w="2600"/>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tcPr>
          <w:p>
            <w:r>
              <w:rPr>
                <w:rFonts w:ascii="Arial" w:cs="Arial" w:eastAsia="Arial" w:hAnsi="Arial"/>
                <w:b/>
                <w:bCs/>
                <w:color w:val="7F6000"/>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No Per-Tenant Log Attribution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events identified by peer IP only. Per-tenant forensic analysis requires manual IP-to-partner mapping.</w:t>
            </w:r>
          </w:p>
        </w:tc>
        <w:tc>
          <w:tcPr>
            <w:tcW w:type="dxa" w:w="2600"/>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tcPr>
          <w:p>
            <w:r>
              <w:rPr>
                <w:rFonts w:ascii="Arial" w:cs="Arial" w:eastAsia="Arial" w:hAnsi="Arial"/>
                <w:b/>
                <w:bCs/>
                <w:color w:val="7F6000"/>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Subnet-Level ACL Access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Crypto ACLs grant access to network subnets. Partners can attempt to reach any host in a permitted subnet.</w:t>
            </w:r>
          </w:p>
        </w:tc>
        <w:tc>
          <w:tcPr>
            <w:tcW w:type="dxa" w:w="2600"/>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tcPr>
          <w:p>
            <w:r>
              <w:rPr>
                <w:rFonts w:ascii="Arial" w:cs="Arial" w:eastAsia="Arial" w:hAnsi="Arial"/>
                <w:b/>
                <w:bCs/>
                <w:color w:val="7F6000"/>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No Service Mediation Layer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Applications receive partner connections directly. No proxy, no mTLS termination, no application-level policy.</w:t>
            </w:r>
          </w:p>
        </w:tc>
        <w:tc>
          <w:tcPr>
            <w:tcW w:type="dxa" w:w="2600"/>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tcPr>
          <w:p>
            <w:r>
              <w:rPr>
                <w:rFonts w:ascii="Arial" w:cs="Arial" w:eastAsia="Arial" w:hAnsi="Arial"/>
                <w:b/>
                <w:bCs/>
                <w:color w:val="7F6000"/>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Object-Group Lifecycle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563 object-groups accumulated over time. No evidence of systematic lifecycle review.</w:t>
            </w:r>
          </w:p>
        </w:tc>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LOW</w:t>
            </w:r>
          </w:p>
        </w:tc>
      </w:tr>
    </w:tbl>
    <w:p>
      <w:pPr>
        <w:spacing w:before="120" w:after="120"/>
      </w:pPr>
    </w:p>
    <w:p>
      <w:r>
        <w:br w:type="page"/>
      </w:r>
    </w:p>
    <w:p>
      <w:pPr>
        <w:pStyle w:val="Heading1"/>
        <w:spacing w:before="360" w:after="120"/>
      </w:pPr>
      <w:r>
        <w:rPr>
          <w:rFonts w:ascii="Arial" w:cs="Arial" w:eastAsia="Arial" w:hAnsi="Arial"/>
          <w:b/>
          <w:bCs/>
          <w:color w:val="1F3864"/>
          <w:sz w:val="32"/>
          <w:szCs w:val="32"/>
        </w:rPr>
        <w:t xml:space="preserve">4. Target Architecture: PA-5400 Single-VSYS</w:t>
      </w:r>
    </w:p>
    <w:p>
      <w:pPr>
        <w:spacing w:before="60" w:after="120"/>
      </w:pPr>
      <w:r>
        <w:rPr>
          <w:rFonts w:ascii="Arial" w:cs="Arial" w:eastAsia="Arial" w:hAnsi="Arial"/>
          <w:sz w:val="22"/>
          <w:szCs w:val="22"/>
        </w:rPr>
        <w:t xml:space="preserve">The PA-5400 Single-VSYS, Per-Tenant Virtual Router architecture directly addresses every critical and high finding identified in the ASA assessment. The following maps each ASA risk to its architectural resolution.</w:t>
      </w:r>
    </w:p>
    <w:p>
      <w:pPr>
        <w:pStyle w:val="Heading2"/>
        <w:spacing w:before="280" w:after="80"/>
      </w:pPr>
      <w:r>
        <w:rPr>
          <w:rFonts w:ascii="Arial" w:cs="Arial" w:eastAsia="Arial" w:hAnsi="Arial"/>
          <w:b/>
          <w:bCs/>
          <w:color w:val="2E75B6"/>
          <w:sz w:val="26"/>
          <w:szCs w:val="26"/>
        </w:rPr>
        <w:t xml:space="preserve">4.1 Architecture Principles</w:t>
      </w:r>
    </w:p>
    <w:p>
      <w:pPr>
        <w:pStyle w:val="ListParagraph"/>
        <w:numPr>
          <w:ilvl w:val="0"/>
          <w:numId w:val="2"/>
        </w:numPr>
        <w:spacing w:before="40" w:after="40"/>
      </w:pPr>
      <w:r>
        <w:rPr>
          <w:rFonts w:ascii="Arial" w:cs="Arial" w:eastAsia="Arial" w:hAnsi="Arial"/>
          <w:sz w:val="22"/>
          <w:szCs w:val="22"/>
        </w:rPr>
        <w:t xml:space="preserve">Automation-first: All tenant configuration is delivered exclusively through a validated automation pipeline. The firewall is a rendering target — never modified directly. This eliminates the ad-hoc provisioning that produced the current state.</w:t>
      </w:r>
    </w:p>
    <w:p>
      <w:pPr>
        <w:pStyle w:val="ListParagraph"/>
        <w:numPr>
          <w:ilvl w:val="0"/>
          <w:numId w:val="2"/>
        </w:numPr>
        <w:spacing w:before="40" w:after="40"/>
      </w:pPr>
      <w:r>
        <w:rPr>
          <w:rFonts w:ascii="Arial" w:cs="Arial" w:eastAsia="Arial" w:hAnsi="Arial"/>
          <w:sz w:val="22"/>
          <w:szCs w:val="22"/>
        </w:rPr>
        <w:t xml:space="preserve">Per-tenant virtual router (VR) isolation: Each tenant receives a dedicated VR. A routing error in one tenant's VR cannot leak into another tenant's forwarding table.</w:t>
      </w:r>
    </w:p>
    <w:p>
      <w:pPr>
        <w:pStyle w:val="ListParagraph"/>
        <w:numPr>
          <w:ilvl w:val="0"/>
          <w:numId w:val="2"/>
        </w:numPr>
        <w:spacing w:before="40" w:after="40"/>
      </w:pPr>
      <w:r>
        <w:rPr>
          <w:rFonts w:ascii="Arial" w:cs="Arial" w:eastAsia="Arial" w:hAnsi="Arial"/>
          <w:sz w:val="22"/>
          <w:szCs w:val="22"/>
        </w:rPr>
        <w:t xml:space="preserve">Per-tenant zone boundaries: Each tenant ingress and egress is bounded by a dedicated security zone (tz-{TID}-ipsec). Zone boundaries are platform-enforced audit points.</w:t>
      </w:r>
    </w:p>
    <w:p>
      <w:pPr>
        <w:pStyle w:val="ListParagraph"/>
        <w:numPr>
          <w:ilvl w:val="0"/>
          <w:numId w:val="2"/>
        </w:numPr>
        <w:spacing w:before="40" w:after="40"/>
      </w:pPr>
      <w:r>
        <w:rPr>
          <w:rFonts w:ascii="Arial" w:cs="Arial" w:eastAsia="Arial" w:hAnsi="Arial"/>
          <w:sz w:val="22"/>
          <w:szCs w:val="22"/>
        </w:rPr>
        <w:t xml:space="preserve">Bidirectional SNAT identity masking: Inbound SNAT translates the partner's source address to a tenant-exclusive /32. Outbound SNAT translates internal source addresses to a second tenant-exclusive /32. Neither party observes the real addressing of the other.</w:t>
      </w:r>
    </w:p>
    <w:p>
      <w:pPr>
        <w:pStyle w:val="ListParagraph"/>
        <w:numPr>
          <w:ilvl w:val="0"/>
          <w:numId w:val="2"/>
        </w:numPr>
        <w:spacing w:before="40" w:after="40"/>
      </w:pPr>
      <w:r>
        <w:rPr>
          <w:rFonts w:ascii="Arial" w:cs="Arial" w:eastAsia="Arial" w:hAnsi="Arial"/>
          <w:sz w:val="22"/>
          <w:szCs w:val="22"/>
        </w:rPr>
        <w:t xml:space="preserve">Loopback-anchored IKE identity: IKE negotiation is anchored to a per-tenant loopback interface. The identity is independent of physical interfaces — partner IP changes and HA failover do not require re-keying.</w:t>
      </w:r>
    </w:p>
    <w:p>
      <w:pPr>
        <w:pStyle w:val="ListParagraph"/>
        <w:numPr>
          <w:ilvl w:val="0"/>
          <w:numId w:val="2"/>
        </w:numPr>
        <w:spacing w:before="40" w:after="40"/>
      </w:pPr>
      <w:r>
        <w:rPr>
          <w:rFonts w:ascii="Arial" w:cs="Arial" w:eastAsia="Arial" w:hAnsi="Arial"/>
          <w:sz w:val="22"/>
          <w:szCs w:val="22"/>
        </w:rPr>
        <w:t xml:space="preserve">IKEv2-only: The PA-5400 architecture mandates IKEv2 for all tenant connections. All 158 IKEv1 tunnels must be re-keyed during migration.</w:t>
      </w:r>
    </w:p>
    <w:p>
      <w:pPr>
        <w:pStyle w:val="Heading2"/>
        <w:spacing w:before="280" w:after="80"/>
      </w:pPr>
      <w:r>
        <w:rPr>
          <w:rFonts w:ascii="Arial" w:cs="Arial" w:eastAsia="Arial" w:hAnsi="Arial"/>
          <w:b/>
          <w:bCs/>
          <w:color w:val="2E75B6"/>
          <w:sz w:val="26"/>
          <w:szCs w:val="26"/>
        </w:rPr>
        <w:t xml:space="preserve">4.2 Risk Resolution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ASA Risk</w:t>
            </w:r>
          </w:p>
        </w:tc>
        <w:tc>
          <w:tcPr>
            <w:tcW w:type="dxa" w:w="3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ASA Finding</w:t>
            </w:r>
          </w:p>
        </w:tc>
        <w:tc>
          <w:tcPr>
            <w:tcW w:type="dxa" w:w="35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PA-5400 Resolution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DES/3DES-MD5 Ciphers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31 tunnels with broken/weak crypto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IKEv2 mandatory. Single enforced IKE profile: AES-256-GCM + SHA-384 + ECDH group 20. No negotiation to weaker parameters.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IKEv1 — 77% of Estate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158 tunnels on deprecated protocol</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IKEv2-only architecture. Migration is a hard protocol upgrade for every IKEv1 tunnel.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DH Group 2 in Policies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1024-bit MODP allowed by active policies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Single enforced IKE profile. Group 20 (ECDH P-384) mandatory. No policy stack.</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Over-Permissive Negotiation</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26 IKE policies active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Single IKE profile per tenant rendered by pipeline from a versioned template. No manual policy variants.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Peer-IP Tunnel Identity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229 of 231 keyed by partner IP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Loopback-anchored IKE identity. Stable across partner IP changes, ISP migrations, and HA failover.</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Universal PSK</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340 PSK refs, no cert auth</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PSKs generated by Secrets Manager (Vault). Unique per tenant. Stored at psk/{tenant_id}. Rotatable and revocable per tenant independently.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Flat NAT — No SNAT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12 rules for 231 tunnels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Per-tenant bidirectional SNAT. nat-{TID}-inbound and nat-{TID}-outbound provisioned per tenant.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Subnet-Level ACL Access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Network-level reachability</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Per-tenant security policy enforces application and port-level access to named service entries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No Per-Tenant Log Attribution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Peer-IP-based log correlation only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Every log event carries tenant_id, zone name (tz-{TID}-ipsec), SNAT identity, and rule name. Three independent attribution paths — no enrichment required.</w:t>
            </w:r>
          </w:p>
        </w:tc>
      </w:tr>
    </w:tbl>
    <w:p>
      <w:pPr>
        <w:spacing w:before="120" w:after="120"/>
      </w:pPr>
    </w:p>
    <w:p>
      <w:r>
        <w:br w:type="page"/>
      </w:r>
    </w:p>
    <w:p>
      <w:pPr>
        <w:pStyle w:val="Heading1"/>
        <w:spacing w:before="360" w:after="120"/>
      </w:pPr>
      <w:r>
        <w:rPr>
          <w:rFonts w:ascii="Arial" w:cs="Arial" w:eastAsia="Arial" w:hAnsi="Arial"/>
          <w:b/>
          <w:bCs/>
          <w:color w:val="1F3864"/>
          <w:sz w:val="32"/>
          <w:szCs w:val="32"/>
        </w:rPr>
        <w:t xml:space="preserve">5. Per-Tunnel Migration Process</w:t>
      </w:r>
    </w:p>
    <w:p>
      <w:pPr>
        <w:spacing w:before="60" w:after="120"/>
      </w:pPr>
      <w:r>
        <w:rPr>
          <w:rFonts w:ascii="Arial" w:cs="Arial" w:eastAsia="Arial" w:hAnsi="Arial"/>
          <w:sz w:val="22"/>
          <w:szCs w:val="22"/>
        </w:rPr>
        <w:t xml:space="preserve">This section defines the </w:t>
      </w:r>
      <w:r>
        <w:rPr>
          <w:rFonts w:ascii="Arial" w:cs="Arial" w:eastAsia="Arial" w:hAnsi="Arial"/>
          <w:b/>
          <w:bCs/>
          <w:sz w:val="22"/>
          <w:szCs w:val="22"/>
        </w:rPr>
        <w:t xml:space="preserve">mandatory technical procedure</w:t>
      </w:r>
      <w:r>
        <w:rPr>
          <w:rFonts w:ascii="Arial" w:cs="Arial" w:eastAsia="Arial" w:hAnsi="Arial"/>
          <w:sz w:val="22"/>
          <w:szCs w:val="22"/>
        </w:rPr>
        <w:t xml:space="preserve"> for migrating a single ASA static crypto-map policy to a PA-5400 route-based VTI tunnel. This process is not hypothetical and does not depend on programme resourcing decisions. It applies to every one of the 231 migrations, regardless of when each is scheduled or who executes it. The six-phase, 22-step sequence below must be followed in order for each tunnel. The full transaction-level checklist for each step, including workbook field references, is in the Tenant Onboarding Workbook (IPsec-to-VTI Migration sheet).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D6E4F0" w:val="clear"/>
            <w:tcMar>
              <w:top w:type="dxa" w:w="140"/>
              <w:left w:type="dxa" w:w="200"/>
              <w:bottom w:type="dxa" w:w="140"/>
              <w:right w:type="dxa" w:w="200"/>
            </w:tcMar>
          </w:tcPr>
          <w:p>
            <w:pPr>
              <w:spacing w:before="0" w:after="40"/>
            </w:pPr>
            <w:r>
              <w:rPr>
                <w:rFonts w:ascii="Arial" w:cs="Arial" w:eastAsia="Arial" w:hAnsi="Arial"/>
                <w:b/>
                <w:bCs/>
                <w:color w:val="1F3864"/>
                <w:sz w:val="22"/>
                <w:szCs w:val="22"/>
              </w:rPr>
              <w:t xml:space="preserve">Important</w:t>
            </w:r>
          </w:p>
          <w:p>
            <w:pPr>
              <w:spacing w:before="0" w:after="0"/>
            </w:pPr>
            <w:r>
              <w:rPr>
                <w:rFonts w:ascii="Arial" w:cs="Arial" w:eastAsia="Arial" w:hAnsi="Arial"/>
                <w:color w:val="404040"/>
                <w:sz w:val="22"/>
                <w:szCs w:val="22"/>
              </w:rPr>
              <w:t xml:space="preserve">No ASA configuration is removed until Phase 6 of the per-tunnel process is complete. Every migration runs a mandatory 72-hour parallel operation period (Phase 5) before the ASA entry is decommissioned. Shortcuts to this procedure are not permitted — the parallel period is a technical requirement, not a scheduling preference.</w:t>
            </w:r>
          </w:p>
        </w:tc>
      </w:tr>
    </w:tbl>
    <w:p>
      <w:pPr>
        <w:spacing w:before="80" w:after="80"/>
      </w:pPr>
    </w:p>
    <w:p>
      <w:pPr>
        <w:pStyle w:val="Heading2"/>
        <w:spacing w:before="280" w:after="80"/>
      </w:pPr>
      <w:r>
        <w:rPr>
          <w:rFonts w:ascii="Arial" w:cs="Arial" w:eastAsia="Arial" w:hAnsi="Arial"/>
          <w:b/>
          <w:bCs/>
          <w:color w:val="2E75B6"/>
          <w:sz w:val="26"/>
          <w:szCs w:val="26"/>
        </w:rPr>
        <w:t xml:space="preserve">5.1 Process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4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Title</w:t>
            </w:r>
          </w:p>
        </w:tc>
        <w:tc>
          <w:tcPr>
            <w:tcW w:type="dxa" w:w="61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Summary</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P1</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Qualification &amp; Data Collection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Identify the ASA tunnel group. Name the partner. Enumerate remote prefixes (IPAM conflict check). Enumerate application services. Confirm IKEv2 capability. Gate: IKEv2 confirmed, no prefix conflict, Sheets 2/3/4/5 complete.</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P2</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Engineer Completion &amp; Resource Allocation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platform IKE parameters. Confirm PNAT port mapping. Define SNAT directions. Define DNS forwarding and rewrite rules. Run gwreg alloc — loopback, VTI, SNAT IPs assigned. Run pki-bootstrap.sh, PSK written to Vault. Gate: all fields complete, gwreg run, PSK in Vault.</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P3</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Approval &amp; ServiceNow Submission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Sheet 11 Submission Checklist. Engineer sign-off. Raise ServiceNow request, attach workbook. Await SNOW approval — record reference and date. Gate: SNOW approval reference recorded. Provisioning pipeline must not run before this gate.</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P4</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Platform Provisioning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gwctl render → validate → commit. Pipeline provisions: IKE gateway, VTI tunnel, per-tenant VR, loopback, SNAT rules, security policy, DNS proxy, QoS binding, log profile. Acceptance test suite runs automatically post-commit. Gate: all acceptance tests PASS.</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P5</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Parallel Operation &amp; Cutover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Partner brings up new IKEv2 tunnel to PA-5400 loopback IP. Both tunnels operate in parallel. Validate all app services, SNAT, DNS rewrite, SSH proxy, SIEM attribution. Cutover in agreed window. 72-hour monitoring hold before ASA decommission.</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P6</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ASA Decommission &amp; Closure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Partner sign-off obtained. Remove crypto map entry, ACL, tunnel group, orphaned object-groups from ASA. Retire peer IP in IPAM. Complete Sheet 11 closure record. Archive workbook against SNOW ticket. Mark migration tracker COMPLETE.</w:t>
            </w:r>
          </w:p>
        </w:tc>
      </w:tr>
    </w:tbl>
    <w:p>
      <w:pPr>
        <w:spacing w:before="120" w:after="120"/>
      </w:pPr>
    </w:p>
    <w:p>
      <w:pPr>
        <w:pStyle w:val="Heading2"/>
        <w:spacing w:before="280" w:after="80"/>
      </w:pPr>
      <w:r>
        <w:rPr>
          <w:rFonts w:ascii="Arial" w:cs="Arial" w:eastAsia="Arial" w:hAnsi="Arial"/>
          <w:b/>
          <w:bCs/>
          <w:color w:val="2E75B6"/>
          <w:sz w:val="26"/>
          <w:szCs w:val="26"/>
        </w:rPr>
        <w:t xml:space="preserve">5.2 Step-by-Step Checklist</w:t>
      </w:r>
    </w:p>
    <w:p>
      <w:pPr>
        <w:spacing w:before="60" w:after="120"/>
      </w:pPr>
      <w:r>
        <w:rPr>
          <w:rFonts w:ascii="Arial" w:cs="Arial" w:eastAsia="Arial" w:hAnsi="Arial"/>
          <w:sz w:val="22"/>
          <w:szCs w:val="22"/>
        </w:rPr>
        <w:t xml:space="preserve">The following table expands each phase into its individual steps. Column D references the specific sheet and section of the Tenant Onboarding Workbook where data is consumed or produced at each step.</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800"/>
        <w:gridCol w:w="2360"/>
        <w:gridCol w:w="1200"/>
      </w:tblGrid>
      <w:tr>
        <w:trPr>
          <w:tblHeader/>
        </w:trPr>
        <w:tc>
          <w:tcPr>
            <w:tcW w:type="dxa" w:w="6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14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3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3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Workbook Reference</w:t>
            </w:r>
          </w:p>
        </w:tc>
        <w:tc>
          <w:tcPr>
            <w:tcW w:type="dxa" w:w="1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Owner</w:t>
            </w:r>
          </w:p>
        </w:tc>
      </w:tr>
      <w:tr>
        <w:tc>
          <w:tcPr>
            <w:tcW w:type="dxa" w:w="9360"/>
            <w:gridSpan w:val="5"/>
            <w:tcBorders>
              <w:top w:val="single" w:color="CCCCCC" w:sz="1"/>
              <w:left w:val="single" w:color="CCCCCC" w:sz="1"/>
              <w:bottom w:val="single" w:color="CCCCCC" w:sz="1"/>
              <w:right w:val="single" w:color="CCCCCC" w:sz="1"/>
            </w:tcBorders>
            <w:shd w:fill="1F6B75" w:val="clear"/>
            <w:tcMar>
              <w:top w:type="dxa" w:w="60"/>
              <w:left w:type="dxa" w:w="120"/>
              <w:bottom w:type="dxa" w:w="60"/>
              <w:right w:type="dxa" w:w="120"/>
            </w:tcMar>
          </w:tcPr>
          <w:p>
            <w:r>
              <w:rPr>
                <w:rFonts w:ascii="Arial" w:cs="Arial" w:eastAsia="Arial" w:hAnsi="Arial"/>
                <w:b/>
                <w:bCs/>
                <w:color w:val="FFFFFF"/>
                <w:sz w:val="20"/>
                <w:szCs w:val="20"/>
              </w:rPr>
              <w:t xml:space="preserve">PHASE 1 — Qualification &amp; Data Collection</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1.1</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Identify Tunnel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tunnel group name, peer IP, transform set, crypto ACL. Compare current cipher against PA-5400 target (AES-256-GCM / SHA-384 / ECDH gr.20).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2E75B6"/>
                <w:sz w:val="20"/>
                <w:szCs w:val="20"/>
              </w:rPr>
              <w:t xml:space="preserve">Sheet 3 — Section A: capture ASA baseline before completing workbook.</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0"/>
                <w:szCs w:val="20"/>
              </w:rPr>
              <w:t xml:space="preserve">Engineer</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1.2</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Name Partner</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Confirm organisation legal name, technical contact, business owner. Verify IKE peer IP is internet-routable.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2E75B6"/>
                <w:sz w:val="20"/>
                <w:szCs w:val="20"/>
              </w:rPr>
              <w:t xml:space="preserve">Sheet 2 — Section A: organisation name, contact, peer IP.</w:t>
            </w:r>
          </w:p>
        </w:tc>
        <w:tc>
          <w:tcPr>
            <w:tcW w:type="dxa" w:w="12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tcPr>
          <w:p>
            <w:pPr>
              <w:jc w:val="center"/>
            </w:pPr>
            <w:r>
              <w:rPr>
                <w:rFonts w:ascii="Arial" w:cs="Arial" w:eastAsia="Arial" w:hAnsi="Arial"/>
                <w:sz w:val="20"/>
                <w:szCs w:val="20"/>
              </w:rPr>
              <w:t xml:space="preserve">Eng / Partner</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1.3</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Enumerate Prefixes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source networks from the crypto ACL. Run IPAM conflict check — migration is blocked if any prefix overlaps an existing tenant.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2E75B6"/>
                <w:sz w:val="20"/>
                <w:szCs w:val="20"/>
              </w:rPr>
              <w:t xml:space="preserve">Sheet 4 — Section A: all prefixes in CIDR. Engineer runs IPAM check.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0"/>
                <w:szCs w:val="20"/>
              </w:rPr>
              <w:t xml:space="preserve">Engineer</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1.4</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Enumerate Services</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Record each application service: name, FQDN, protocol, port. Do not record internal host IPs at this stage.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2E75B6"/>
                <w:sz w:val="20"/>
                <w:szCs w:val="20"/>
              </w:rPr>
              <w:t xml:space="preserve">Sheet 5 — Section A: app name, FQDN, protocol, port.</w:t>
            </w:r>
          </w:p>
        </w:tc>
        <w:tc>
          <w:tcPr>
            <w:tcW w:type="dxa" w:w="12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tcPr>
          <w:p>
            <w:pPr>
              <w:jc w:val="center"/>
            </w:pPr>
            <w:r>
              <w:rPr>
                <w:rFonts w:ascii="Arial" w:cs="Arial" w:eastAsia="Arial" w:hAnsi="Arial"/>
                <w:sz w:val="20"/>
                <w:szCs w:val="20"/>
              </w:rPr>
              <w:t xml:space="preserve">Partner / Eng</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1.5</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SSH / SFTP</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Determine if SSH proxy is required. If yes, identify target hosts and confirm partner SSH public key available.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2E75B6"/>
                <w:sz w:val="20"/>
                <w:szCs w:val="20"/>
              </w:rPr>
              <w:t xml:space="preserve">Sheet 6 — Section A: SSH proxy required, target host details.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0"/>
                <w:szCs w:val="20"/>
              </w:rPr>
              <w:t xml:space="preserve">Partner</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1.6</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IKEv2 Capability</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Confirm IKEv2 support at partner gateway. IKEv1-only = migration blocked. Escalate to project lead.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2E75B6"/>
                <w:sz w:val="20"/>
                <w:szCs w:val="20"/>
              </w:rPr>
              <w:t xml:space="preserve">Sheet 3 — Section A: IKE version field. Must be IKEv2.</w:t>
            </w:r>
          </w:p>
        </w:tc>
        <w:tc>
          <w:tcPr>
            <w:tcW w:type="dxa" w:w="12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tcPr>
          <w:p>
            <w:pPr>
              <w:jc w:val="center"/>
            </w:pPr>
            <w:r>
              <w:rPr>
                <w:rFonts w:ascii="Arial" w:cs="Arial" w:eastAsia="Arial" w:hAnsi="Arial"/>
                <w:sz w:val="20"/>
                <w:szCs w:val="20"/>
              </w:rPr>
              <w:t xml:space="preserve">Partner / Eng</w:t>
            </w:r>
          </w:p>
        </w:tc>
      </w:tr>
      <w:tr>
        <w:tc>
          <w:tcPr>
            <w:tcW w:type="dxa" w:w="9360"/>
            <w:gridSpan w:val="5"/>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bCs/>
                <w:color w:val="B45309"/>
                <w:sz w:val="20"/>
                <w:szCs w:val="20"/>
              </w:rPr>
              <w:t xml:space="preserve">⚑  GATE 1 — </w:t>
            </w:r>
            <w:r>
              <w:rPr>
                <w:rFonts w:ascii="Arial" w:cs="Arial" w:eastAsia="Arial" w:hAnsi="Arial"/>
                <w:color w:val="5C3A00"/>
                <w:sz w:val="20"/>
                <w:szCs w:val="20"/>
              </w:rPr>
              <w:t xml:space="preserve">IKEv2 confirmed, no IPAM prefix conflict, Sheets 2/3/4/5 tenant fields complete.</w:t>
            </w:r>
          </w:p>
        </w:tc>
      </w:tr>
      <w:tr>
        <w:tc>
          <w:tcPr>
            <w:tcW w:type="dxa" w:w="9360"/>
            <w:gridSpan w:val="5"/>
            <w:tcBorders>
              <w:top w:val="single" w:color="CCCCCC" w:sz="1"/>
              <w:left w:val="single" w:color="CCCCCC" w:sz="1"/>
              <w:bottom w:val="single" w:color="CCCCCC" w:sz="1"/>
              <w:right w:val="single" w:color="CCCCCC" w:sz="1"/>
            </w:tcBorders>
            <w:shd w:fill="1F497D" w:val="clear"/>
            <w:tcMar>
              <w:top w:type="dxa" w:w="60"/>
              <w:left w:type="dxa" w:w="120"/>
              <w:bottom w:type="dxa" w:w="60"/>
              <w:right w:type="dxa" w:w="120"/>
            </w:tcMar>
          </w:tcPr>
          <w:p>
            <w:r>
              <w:rPr>
                <w:rFonts w:ascii="Arial" w:cs="Arial" w:eastAsia="Arial" w:hAnsi="Arial"/>
                <w:b/>
                <w:bCs/>
                <w:color w:val="FFFFFF"/>
                <w:sz w:val="20"/>
                <w:szCs w:val="20"/>
              </w:rPr>
              <w:t xml:space="preserve">PHASE 2 — Engineer Completion &amp; Resource Allocation</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2.1</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IKE Parameters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Sheet 3 Section B. Confirm peer IP. Set encryption AES-256-GCM, DH group 19/20, DPD enabled. IKE loopback and VTI = SYSTEM ASSIGNED — do not pre-populate.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2E75B6"/>
                <w:sz w:val="20"/>
                <w:szCs w:val="20"/>
              </w:rPr>
              <w:t xml:space="preserve">Sheet 3 — Section B: engineer fields. Loopback, VTI, PSK = SYSTEM ASSIGNED.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0"/>
                <w:szCs w:val="20"/>
              </w:rPr>
              <w:t xml:space="preserve">Engineer</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2.2</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PNAT Mapping</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Complete internal host IP and port for each service on Sheet 5. Verify external port uniqueness within this tenant — no two services may share an external port on the same SNAT inbound IP.</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2E75B6"/>
                <w:sz w:val="20"/>
                <w:szCs w:val="20"/>
              </w:rPr>
              <w:t xml:space="preserve">Sheet 5 — Section B: Internal Host IP, Internal Port, PNAT External Port.</w:t>
            </w:r>
          </w:p>
        </w:tc>
        <w:tc>
          <w:tcPr>
            <w:tcW w:type="dxa" w:w="12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tcPr>
          <w:p>
            <w:pPr>
              <w:jc w:val="center"/>
            </w:pPr>
            <w:r>
              <w:rPr>
                <w:rFonts w:ascii="Arial" w:cs="Arial" w:eastAsia="Arial" w:hAnsi="Arial"/>
                <w:sz w:val="20"/>
                <w:szCs w:val="20"/>
              </w:rPr>
              <w:t xml:space="preserve">Engineer</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2.3</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SNAT Directions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inbound SNAT (remote→internal), outbound SNAT (internal→remote), or both. Policy directions must be explicitly confirmed before provisioning.</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2E75B6"/>
                <w:sz w:val="20"/>
                <w:szCs w:val="20"/>
              </w:rPr>
              <w:t xml:space="preserve">Sheet 8 — SNAT Policies: set direction flags. SNAT IPs = SYSTEM ASSIGNED.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0"/>
                <w:szCs w:val="20"/>
              </w:rPr>
              <w:t xml:space="preserve">Engineer</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2.4</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DNS Forwarding</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Define forwarding rules for all internal domain suffixes. Each internal suffix in Sheet 5 FQDNs must have a forwarding rule pointing to the internal DNS resolver.</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2E75B6"/>
                <w:sz w:val="20"/>
                <w:szCs w:val="20"/>
              </w:rPr>
              <w:t xml:space="preserve">Sheet 9 — Part 1: one forwarding rule per internal domain suffix.</w:t>
            </w:r>
          </w:p>
        </w:tc>
        <w:tc>
          <w:tcPr>
            <w:tcW w:type="dxa" w:w="12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tcPr>
          <w:p>
            <w:pPr>
              <w:jc w:val="center"/>
            </w:pPr>
            <w:r>
              <w:rPr>
                <w:rFonts w:ascii="Arial" w:cs="Arial" w:eastAsia="Arial" w:hAnsi="Arial"/>
                <w:sz w:val="20"/>
                <w:szCs w:val="20"/>
              </w:rPr>
              <w:t xml:space="preserve">Engineer</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2.5</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DNS Rewrite Rules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rewrite rule per service. Rewrite target must be the SNAT inbound IP — never the real internal host IP. Verify no real IPs in rewrite targets.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2E75B6"/>
                <w:sz w:val="20"/>
                <w:szCs w:val="20"/>
              </w:rPr>
              <w:t xml:space="preserve">Sheet 9 — Part 2: one rewrite rule per service. Target = SNAT inbound IP.</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0"/>
                <w:szCs w:val="20"/>
              </w:rPr>
              <w:t xml:space="preserve">Engineer</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2.6</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mTLS Certs</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If mTLS required, complete Sheet 7 certificate request fields. Do not issue certificate before SNOW approval.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2E75B6"/>
                <w:sz w:val="20"/>
                <w:szCs w:val="20"/>
              </w:rPr>
              <w:t xml:space="preserve">Sheet 7 — certificate request fields if mTLS required.</w:t>
            </w:r>
          </w:p>
        </w:tc>
        <w:tc>
          <w:tcPr>
            <w:tcW w:type="dxa" w:w="12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tcPr>
          <w:p>
            <w:pPr>
              <w:jc w:val="center"/>
            </w:pPr>
            <w:r>
              <w:rPr>
                <w:rFonts w:ascii="Arial" w:cs="Arial" w:eastAsia="Arial" w:hAnsi="Arial"/>
                <w:sz w:val="20"/>
                <w:szCs w:val="20"/>
              </w:rPr>
              <w:t xml:space="preserve">Engineer</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2.7</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gwreg alloc</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gwreg tenant alloc &lt;tenant_id&gt; --placement balanced. Allocates loopback, VTI, SNAT inbound/outbound, DMZ, VLAN. Sheet 10 written automatically — do not edit manually.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2E75B6"/>
                <w:sz w:val="20"/>
                <w:szCs w:val="20"/>
              </w:rPr>
              <w:t xml:space="preserve">Sheet 10 — written by gwreg. Sheet 3 VTI/loopback: update from gwreg output.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0"/>
                <w:szCs w:val="20"/>
              </w:rPr>
              <w:t xml:space="preserve">Engineer</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2.8</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PKI Bootstrap</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Run pki-bootstrap.sh init-tenant &lt;tenant_id&gt;. PSK written to Vault at psk/&lt;tenant_id&gt;. Run gw-pki-backup.sh backup-tenant &lt;tenant_id&gt; immediately after.</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2E75B6"/>
                <w:sz w:val="20"/>
                <w:szCs w:val="20"/>
              </w:rPr>
              <w:t xml:space="preserve">Sheet 3 — PSK reference field: update with Vault path. Approval Record: confirm backup run.</w:t>
            </w:r>
          </w:p>
        </w:tc>
        <w:tc>
          <w:tcPr>
            <w:tcW w:type="dxa" w:w="12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tcPr>
          <w:p>
            <w:pPr>
              <w:jc w:val="center"/>
            </w:pPr>
            <w:r>
              <w:rPr>
                <w:rFonts w:ascii="Arial" w:cs="Arial" w:eastAsia="Arial" w:hAnsi="Arial"/>
                <w:sz w:val="20"/>
                <w:szCs w:val="20"/>
              </w:rPr>
              <w:t xml:space="preserve">Engineer</w:t>
            </w:r>
          </w:p>
        </w:tc>
      </w:tr>
      <w:tr>
        <w:tc>
          <w:tcPr>
            <w:tcW w:type="dxa" w:w="9360"/>
            <w:gridSpan w:val="5"/>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bCs/>
                <w:color w:val="B45309"/>
                <w:sz w:val="20"/>
                <w:szCs w:val="20"/>
              </w:rPr>
              <w:t xml:space="preserve">⚑  GATE 2 — </w:t>
            </w:r>
            <w:r>
              <w:rPr>
                <w:rFonts w:ascii="Arial" w:cs="Arial" w:eastAsia="Arial" w:hAnsi="Arial"/>
                <w:color w:val="5C3A00"/>
                <w:sz w:val="20"/>
                <w:szCs w:val="20"/>
              </w:rPr>
              <w:t xml:space="preserve">All engineer fields complete; gwreg alloc run; Sheet 10 populated; PSK in Vault; gw-pki-backup confirmed.</w:t>
            </w:r>
          </w:p>
        </w:tc>
      </w:tr>
      <w:tr>
        <w:tc>
          <w:tcPr>
            <w:tcW w:type="dxa" w:w="9360"/>
            <w:gridSpan w:val="5"/>
            <w:tcBorders>
              <w:top w:val="single" w:color="CCCCCC" w:sz="1"/>
              <w:left w:val="single" w:color="CCCCCC" w:sz="1"/>
              <w:bottom w:val="single" w:color="CCCCCC" w:sz="1"/>
              <w:right w:val="single" w:color="CCCCCC" w:sz="1"/>
            </w:tcBorders>
            <w:shd w:fill="1F497D" w:val="clear"/>
            <w:tcMar>
              <w:top w:type="dxa" w:w="60"/>
              <w:left w:type="dxa" w:w="120"/>
              <w:bottom w:type="dxa" w:w="60"/>
              <w:right w:type="dxa" w:w="120"/>
            </w:tcMar>
          </w:tcPr>
          <w:p>
            <w:r>
              <w:rPr>
                <w:rFonts w:ascii="Arial" w:cs="Arial" w:eastAsia="Arial" w:hAnsi="Arial"/>
                <w:b/>
                <w:bCs/>
                <w:color w:val="FFFFFF"/>
                <w:sz w:val="20"/>
                <w:szCs w:val="20"/>
              </w:rPr>
              <w:t xml:space="preserve">PHASE 3 — Approval &amp; ServiceNow Submission</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3.1</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Submission Checklist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Walk every item on the Sheet 11 Submission Checklist. All items must be marked complete. Key checks: SNAT rewrite targets (Sheet 9) must be SNAT inbound IPs; port uniqueness (Sheet 5); prefix uniqueness (Sheet 4).</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2E75B6"/>
                <w:sz w:val="20"/>
                <w:szCs w:val="20"/>
              </w:rPr>
              <w:t xml:space="preserve">Sheet 11 — Submission Checklist: all ⚠ Pending → ✓ Complete.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0"/>
                <w:szCs w:val="20"/>
              </w:rPr>
              <w:t xml:space="preserve">Engineer</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3.2</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SNOW Request</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Complete Engineer Sign-Off on Sheet 11. Raise ServiceNow request, attach completed workbook, record SNOW request number. Do not proceed to provisioning until approval confirmed.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2E75B6"/>
                <w:sz w:val="20"/>
                <w:szCs w:val="20"/>
              </w:rPr>
              <w:t xml:space="preserve">Sheet 11 — Engineer Sign-Off: name, email, date, SNOW request number.</w:t>
            </w:r>
          </w:p>
        </w:tc>
        <w:tc>
          <w:tcPr>
            <w:tcW w:type="dxa" w:w="12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tcPr>
          <w:p>
            <w:pPr>
              <w:jc w:val="center"/>
            </w:pPr>
            <w:r>
              <w:rPr>
                <w:rFonts w:ascii="Arial" w:cs="Arial" w:eastAsia="Arial" w:hAnsi="Arial"/>
                <w:sz w:val="20"/>
                <w:szCs w:val="20"/>
              </w:rPr>
              <w:t xml:space="preserve">Engineer</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3.3</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Await Approval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SNOW approval reference, approval date, approving manager, and outcome on Sheet 11 when approval is received.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2E75B6"/>
                <w:sz w:val="20"/>
                <w:szCs w:val="20"/>
              </w:rPr>
              <w:t xml:space="preserve">Sheet 11 — SNOW approval reference, approval date, approved by, outcome.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0"/>
                <w:szCs w:val="20"/>
              </w:rPr>
              <w:t xml:space="preserve">Manager / Eng</w:t>
            </w:r>
          </w:p>
        </w:tc>
      </w:tr>
      <w:tr>
        <w:tc>
          <w:tcPr>
            <w:tcW w:type="dxa" w:w="9360"/>
            <w:gridSpan w:val="5"/>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bCs/>
                <w:color w:val="B45309"/>
                <w:sz w:val="20"/>
                <w:szCs w:val="20"/>
              </w:rPr>
              <w:t xml:space="preserve">⚑  GATE 3 — </w:t>
            </w:r>
            <w:r>
              <w:rPr>
                <w:rFonts w:ascii="Arial" w:cs="Arial" w:eastAsia="Arial" w:hAnsi="Arial"/>
                <w:color w:val="5C3A00"/>
                <w:sz w:val="20"/>
                <w:szCs w:val="20"/>
              </w:rPr>
              <w:t xml:space="preserve">SNOW approval reference and approval date recorded on Sheet 11. Provisioning pipeline must not run before this gate.</w:t>
            </w:r>
          </w:p>
        </w:tc>
      </w:tr>
      <w:tr>
        <w:tc>
          <w:tcPr>
            <w:tcW w:type="dxa" w:w="9360"/>
            <w:gridSpan w:val="5"/>
            <w:tcBorders>
              <w:top w:val="single" w:color="CCCCCC" w:sz="1"/>
              <w:left w:val="single" w:color="CCCCCC" w:sz="1"/>
              <w:bottom w:val="single" w:color="CCCCCC" w:sz="1"/>
              <w:right w:val="single" w:color="CCCCCC" w:sz="1"/>
            </w:tcBorders>
            <w:shd w:fill="375623" w:val="clear"/>
            <w:tcMar>
              <w:top w:type="dxa" w:w="60"/>
              <w:left w:type="dxa" w:w="120"/>
              <w:bottom w:type="dxa" w:w="60"/>
              <w:right w:type="dxa" w:w="120"/>
            </w:tcMar>
          </w:tcPr>
          <w:p>
            <w:r>
              <w:rPr>
                <w:rFonts w:ascii="Arial" w:cs="Arial" w:eastAsia="Arial" w:hAnsi="Arial"/>
                <w:b/>
                <w:bCs/>
                <w:color w:val="FFFFFF"/>
                <w:sz w:val="20"/>
                <w:szCs w:val="20"/>
              </w:rPr>
              <w:t xml:space="preserve">PHASE 4 — Platform Provisioning</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4.1</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Render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gwctl provisioning render &lt;tenant_id&gt;. Pipeline reads Sheet 10 allocations and Vault PSK, generates full Panorama configuration bundle.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2E75B6"/>
                <w:sz w:val="20"/>
                <w:szCs w:val="20"/>
              </w:rPr>
              <w:t xml:space="preserve">Sheet 10 — pipeline reads loopback, VTI, SNAT IPs. Verify rendered output matches Sheet 10 allocations.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0"/>
                <w:szCs w:val="20"/>
              </w:rPr>
              <w:t xml:space="preserve">Engineer</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4.2</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Validate</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Run gwctl provisioning validate &lt;tenant_id&gt;. Checks: schema compliance, port uniqueness, prefix uniqueness, rewrite target integrity, Panorama connectivity. Fix and re-render on any failure.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2E75B6"/>
                <w:sz w:val="20"/>
                <w:szCs w:val="20"/>
              </w:rPr>
              <w:t xml:space="preserve">Validation failures map to specific sheets. Port conflict → Sheet 5. Rewrite error → Sheet 9. Prefix overlap → Sheet 4.</w:t>
            </w:r>
          </w:p>
        </w:tc>
        <w:tc>
          <w:tcPr>
            <w:tcW w:type="dxa" w:w="12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tcPr>
          <w:p>
            <w:pPr>
              <w:jc w:val="center"/>
            </w:pPr>
            <w:r>
              <w:rPr>
                <w:rFonts w:ascii="Arial" w:cs="Arial" w:eastAsia="Arial" w:hAnsi="Arial"/>
                <w:sz w:val="20"/>
                <w:szCs w:val="20"/>
              </w:rPr>
              <w:t xml:space="preserve">Engineer</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4.3</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Commit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gwctl provisioning commit &lt;tenant_id&gt;. Scoped commit to tenant device group. Record Workflow Run ID on Sheet 11. On failure: initiate rollback — do not attempt manual fix.</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2E75B6"/>
                <w:sz w:val="20"/>
                <w:szCs w:val="20"/>
              </w:rPr>
              <w:t xml:space="preserve">Sheet 11 — Post-Provisioning Record: Workflow Run ID, provisioning date, provisioned by.</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0"/>
                <w:szCs w:val="20"/>
              </w:rPr>
              <w:t xml:space="preserve">Engineer</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4.4</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Acceptance Tests</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Pipeline runs acceptance test suite automatically post-commit. Verify: IKE established, tunnel UP, VTI route active, direct IP reachable, SNAT active, DNS proxy correct, QoS binding confirmed, SIEM log events carry tenant_id.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2E75B6"/>
                <w:sz w:val="20"/>
                <w:szCs w:val="20"/>
              </w:rPr>
              <w:t xml:space="preserve">Sheet 11 — Acceptance test result field. All tests must pass before parallel operation.</w:t>
            </w:r>
          </w:p>
        </w:tc>
        <w:tc>
          <w:tcPr>
            <w:tcW w:type="dxa" w:w="12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tcPr>
          <w:p>
            <w:pPr>
              <w:jc w:val="center"/>
            </w:pPr>
            <w:r>
              <w:rPr>
                <w:rFonts w:ascii="Arial" w:cs="Arial" w:eastAsia="Arial" w:hAnsi="Arial"/>
                <w:sz w:val="20"/>
                <w:szCs w:val="20"/>
              </w:rPr>
              <w:t xml:space="preserve">Engineer</w:t>
            </w:r>
          </w:p>
        </w:tc>
      </w:tr>
      <w:tr>
        <w:tc>
          <w:tcPr>
            <w:tcW w:type="dxa" w:w="9360"/>
            <w:gridSpan w:val="5"/>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bCs/>
                <w:color w:val="B45309"/>
                <w:sz w:val="20"/>
                <w:szCs w:val="20"/>
              </w:rPr>
              <w:t xml:space="preserve">⚑  GATE 4 — </w:t>
            </w:r>
            <w:r>
              <w:rPr>
                <w:rFonts w:ascii="Arial" w:cs="Arial" w:eastAsia="Arial" w:hAnsi="Arial"/>
                <w:color w:val="5C3A00"/>
                <w:sz w:val="20"/>
                <w:szCs w:val="20"/>
              </w:rPr>
              <w:t xml:space="preserve">gwctl commit succeeded; all acceptance tests PASS; Sheet 11 post-provisioning record complete; SIEM log attribution verified.</w:t>
            </w:r>
          </w:p>
        </w:tc>
      </w:tr>
      <w:tr>
        <w:tc>
          <w:tcPr>
            <w:tcW w:type="dxa" w:w="9360"/>
            <w:gridSpan w:val="5"/>
            <w:tcBorders>
              <w:top w:val="single" w:color="CCCCCC" w:sz="1"/>
              <w:left w:val="single" w:color="CCCCCC" w:sz="1"/>
              <w:bottom w:val="single" w:color="CCCCCC" w:sz="1"/>
              <w:right w:val="single" w:color="CCCCCC" w:sz="1"/>
            </w:tcBorders>
            <w:shd w:fill="2E6B8A" w:val="clear"/>
            <w:tcMar>
              <w:top w:type="dxa" w:w="60"/>
              <w:left w:type="dxa" w:w="120"/>
              <w:bottom w:type="dxa" w:w="60"/>
              <w:right w:type="dxa" w:w="120"/>
            </w:tcMar>
          </w:tcPr>
          <w:p>
            <w:r>
              <w:rPr>
                <w:rFonts w:ascii="Arial" w:cs="Arial" w:eastAsia="Arial" w:hAnsi="Arial"/>
                <w:b/>
                <w:bCs/>
                <w:color w:val="FFFFFF"/>
                <w:sz w:val="20"/>
                <w:szCs w:val="20"/>
              </w:rPr>
              <w:t xml:space="preserve">PHASE 5 — Parallel Operation &amp; Cutover</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5.1</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Notify Partner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 partner: PA-5400 loopback IP, new PSK (secure channel only — not email), IKEv2 cipher parameters, agreed cutover window. Do not disclose internal IPs, SNAT allocations, or VTI addressing.</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2E75B6"/>
                <w:sz w:val="20"/>
                <w:szCs w:val="20"/>
              </w:rPr>
              <w:t xml:space="preserve">Sheet 3 — IKE loopback IP: provide as new IKE endpoint. Sheet 10 — VTI values: engineer reference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0"/>
                <w:szCs w:val="20"/>
              </w:rPr>
              <w:t xml:space="preserve">Engineer</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5.2</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Parallel Tunnel</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Partner configures new IKEv2 tunnel to PA-5400 loopback as secondary. Both tunnels active. Partner confirms IKE SA, IPsec SA, and test traffic on new tunnel before cutover proceeds.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2E75B6"/>
                <w:sz w:val="20"/>
                <w:szCs w:val="20"/>
              </w:rPr>
              <w:t xml:space="preserve">No workbook action — operational. Engineer verifies IKE/IPsec SA state via Panorama.</w:t>
            </w:r>
          </w:p>
        </w:tc>
        <w:tc>
          <w:tcPr>
            <w:tcW w:type="dxa" w:w="12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tcPr>
          <w:p>
            <w:pPr>
              <w:jc w:val="center"/>
            </w:pPr>
            <w:r>
              <w:rPr>
                <w:rFonts w:ascii="Arial" w:cs="Arial" w:eastAsia="Arial" w:hAnsi="Arial"/>
                <w:sz w:val="20"/>
                <w:szCs w:val="20"/>
              </w:rPr>
              <w:t xml:space="preserve">Partner / Eng</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5.3</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End-to-End Validation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each Sheet 5 service reachable via PA-5400 tunnel; SNAT firing (inbound and outbound); DNS rewrite returning SNAT inbound IP for each Sheet 5 FQDN; SSH proxy functional if Sheet 6 required; SIEM events carry correct tenant_id and zone name.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2E75B6"/>
                <w:sz w:val="20"/>
                <w:szCs w:val="20"/>
              </w:rPr>
              <w:t xml:space="preserve">Sheets 5, 6, 8, 9: validate each data field against live tunnel behaviour.</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0"/>
                <w:szCs w:val="20"/>
              </w:rPr>
              <w:t xml:space="preserve">Engineer</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5.4</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Cutover + 72hr Hold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Cutover in agreed window. Monitor 72 hours: zero tunnel flaps, traffic volumes match baseline, no partner issues. ASA tunnel stays in standby. Do not remove ASA config during hold.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2E75B6"/>
                <w:sz w:val="20"/>
                <w:szCs w:val="20"/>
              </w:rPr>
              <w:t xml:space="preserve">Sheet 11 — Notes: record cutover timestamp, monitoring window start, anomalies.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tcPr>
          <w:p>
            <w:pPr>
              <w:jc w:val="center"/>
            </w:pPr>
            <w:r>
              <w:rPr>
                <w:rFonts w:ascii="Arial" w:cs="Arial" w:eastAsia="Arial" w:hAnsi="Arial"/>
                <w:sz w:val="20"/>
                <w:szCs w:val="20"/>
              </w:rPr>
              <w:t xml:space="preserve">Eng / Partner</w:t>
            </w:r>
          </w:p>
        </w:tc>
      </w:tr>
      <w:tr>
        <w:tc>
          <w:tcPr>
            <w:tcW w:type="dxa" w:w="9360"/>
            <w:gridSpan w:val="5"/>
            <w:tcBorders>
              <w:top w:val="single" w:color="CCCCCC" w:sz="1"/>
              <w:left w:val="single" w:color="CCCCCC" w:sz="1"/>
              <w:bottom w:val="single" w:color="CCCCCC" w:sz="1"/>
              <w:right w:val="single" w:color="CCCCCC" w:sz="1"/>
            </w:tcBorders>
            <w:shd w:fill="FEF3C7" w:val="clear"/>
            <w:tcMar>
              <w:top w:type="dxa" w:w="60"/>
              <w:left w:type="dxa" w:w="120"/>
              <w:bottom w:type="dxa" w:w="60"/>
              <w:right w:type="dxa" w:w="120"/>
            </w:tcMar>
          </w:tcPr>
          <w:p>
            <w:r>
              <w:rPr>
                <w:rFonts w:ascii="Arial" w:cs="Arial" w:eastAsia="Arial" w:hAnsi="Arial"/>
                <w:b/>
                <w:bCs/>
                <w:color w:val="B45309"/>
                <w:sz w:val="20"/>
                <w:szCs w:val="20"/>
              </w:rPr>
              <w:t xml:space="preserve">⚑  GATE 5 — </w:t>
            </w:r>
            <w:r>
              <w:rPr>
                <w:rFonts w:ascii="Arial" w:cs="Arial" w:eastAsia="Arial" w:hAnsi="Arial"/>
                <w:color w:val="5C3A00"/>
                <w:sz w:val="20"/>
                <w:szCs w:val="20"/>
              </w:rPr>
              <w:t xml:space="preserve">72-hour clean monitoring hold complete. Partner has confirmed all services operating correctly on PA-5400. ASA tunnel traffic confirmed zero.</w:t>
            </w:r>
          </w:p>
        </w:tc>
      </w:tr>
      <w:tr>
        <w:tc>
          <w:tcPr>
            <w:tcW w:type="dxa" w:w="9360"/>
            <w:gridSpan w:val="5"/>
            <w:tcBorders>
              <w:top w:val="single" w:color="CCCCCC" w:sz="1"/>
              <w:left w:val="single" w:color="CCCCCC" w:sz="1"/>
              <w:bottom w:val="single" w:color="CCCCCC" w:sz="1"/>
              <w:right w:val="single" w:color="CCCCCC" w:sz="1"/>
            </w:tcBorders>
            <w:shd w:fill="375623" w:val="clear"/>
            <w:tcMar>
              <w:top w:type="dxa" w:w="60"/>
              <w:left w:type="dxa" w:w="120"/>
              <w:bottom w:type="dxa" w:w="60"/>
              <w:right w:type="dxa" w:w="120"/>
            </w:tcMar>
          </w:tcPr>
          <w:p>
            <w:r>
              <w:rPr>
                <w:rFonts w:ascii="Arial" w:cs="Arial" w:eastAsia="Arial" w:hAnsi="Arial"/>
                <w:b/>
                <w:bCs/>
                <w:color w:val="FFFFFF"/>
                <w:sz w:val="20"/>
                <w:szCs w:val="20"/>
              </w:rPr>
              <w:t xml:space="preserve">PHASE 6 — ASA Decommission &amp; Closure</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6.1</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Partner Sign-Off</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Obtain explicit partner confirmation that all services operate correctly on PA-5400 and the ASA tunnel is no longer required. Record confirmation and date on Sheet 11.</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2E75B6"/>
                <w:sz w:val="20"/>
                <w:szCs w:val="20"/>
              </w:rPr>
              <w:t xml:space="preserve">Sheet 11 — Tenant notified: record partner confirmation and 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0"/>
                <w:szCs w:val="20"/>
              </w:rPr>
              <w:t xml:space="preserve">Eng / Partner</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6.2</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Remove ASA Config</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Delete: crypto map entry (Outside_map1 sequence number), associated ACL, tunnel group, and object-groups exclusively used by this tunnel. Verify each removal does not affect any other active tunnel before committing.</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2E75B6"/>
                <w:sz w:val="20"/>
                <w:szCs w:val="20"/>
              </w:rPr>
              <w:t xml:space="preserve">Sheet 4 — Remote Networks: reference prefix list to confirm removal scope.</w:t>
            </w:r>
          </w:p>
        </w:tc>
        <w:tc>
          <w:tcPr>
            <w:tcW w:type="dxa" w:w="12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tcPr>
          <w:p>
            <w:pPr>
              <w:jc w:val="center"/>
            </w:pPr>
            <w:r>
              <w:rPr>
                <w:rFonts w:ascii="Arial" w:cs="Arial" w:eastAsia="Arial" w:hAnsi="Arial"/>
                <w:sz w:val="20"/>
                <w:szCs w:val="20"/>
              </w:rPr>
              <w:t xml:space="preserve">Engineer</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6.3</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IPAM Retirement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IPAM to retire the ASA peer IP record and remove static host entries from the deprecated crypto ACL.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2E75B6"/>
                <w:sz w:val="20"/>
                <w:szCs w:val="20"/>
              </w:rPr>
              <w:t xml:space="preserve">Sheet 10 — PA-5400 allocations remain as the active record. ASA peer IP = IPAM system action.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0"/>
                <w:szCs w:val="20"/>
              </w:rPr>
              <w:t xml:space="preserve">Engineer</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6.4</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Closure Record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Complete Sheet 11: Provisioning outcome = ACTIVE, Acceptance test result = PASS, Tenant notified = Yes + date. Archive workbook against SNOW ticket. Mark migration tracker COMPLETE.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2E75B6"/>
                <w:sz w:val="20"/>
                <w:szCs w:val="20"/>
              </w:rPr>
              <w:t xml:space="preserve">Sheet 11 — Post-Provisioning Record: all fields complete. Archive against SNOW number.</w:t>
            </w:r>
          </w:p>
        </w:tc>
        <w:tc>
          <w:tcPr>
            <w:tcW w:type="dxa" w:w="12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tcPr>
          <w:p>
            <w:pPr>
              <w:jc w:val="center"/>
            </w:pPr>
            <w:r>
              <w:rPr>
                <w:rFonts w:ascii="Arial" w:cs="Arial" w:eastAsia="Arial" w:hAnsi="Arial"/>
                <w:sz w:val="20"/>
                <w:szCs w:val="20"/>
              </w:rPr>
              <w:t xml:space="preserve">Engineer</w:t>
            </w:r>
          </w:p>
        </w:tc>
      </w:tr>
    </w:tbl>
    <w:p>
      <w:pPr>
        <w:spacing w:before="120" w:after="120"/>
      </w:pPr>
    </w:p>
    <w:p>
      <w:r>
        <w:br w:type="page"/>
      </w:r>
    </w:p>
    <w:p>
      <w:pPr>
        <w:pStyle w:val="Heading1"/>
        <w:spacing w:before="360" w:after="120"/>
      </w:pPr>
      <w:r>
        <w:rPr>
          <w:rFonts w:ascii="Arial" w:cs="Arial" w:eastAsia="Arial" w:hAnsi="Arial"/>
          <w:b/>
          <w:bCs/>
          <w:color w:val="1F3864"/>
          <w:sz w:val="32"/>
          <w:szCs w:val="32"/>
        </w:rPr>
        <w:t xml:space="preserve">6. Illustrative Programme Plan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6"/>
              <w:left w:val="single" w:color="B45309" w:sz="6"/>
              <w:bottom w:val="single" w:color="B45309" w:sz="6"/>
              <w:right w:val="single" w:color="B45309" w:sz="6"/>
            </w:tcBorders>
            <w:shd w:fill="FEF3C7" w:val="clear"/>
            <w:tcMar>
              <w:top w:type="dxa" w:w="140"/>
              <w:left w:type="dxa" w:w="200"/>
              <w:bottom w:type="dxa" w:w="140"/>
              <w:right w:type="dxa" w:w="200"/>
            </w:tcMar>
          </w:tcPr>
          <w:p>
            <w:pPr>
              <w:spacing w:before="0" w:after="40"/>
            </w:pPr>
            <w:r>
              <w:rPr>
                <w:rFonts w:ascii="Arial" w:cs="Arial" w:eastAsia="Arial" w:hAnsi="Arial"/>
                <w:b/>
                <w:bCs/>
                <w:color w:val="B45309"/>
                <w:sz w:val="22"/>
                <w:szCs w:val="22"/>
              </w:rPr>
              <w:t xml:space="preserve">Important — Illustrative Status</w:t>
            </w:r>
          </w:p>
          <w:p>
            <w:pPr>
              <w:spacing w:before="0" w:after="0"/>
            </w:pPr>
            <w:r>
              <w:rPr>
                <w:rFonts w:ascii="Arial" w:cs="Arial" w:eastAsia="Arial" w:hAnsi="Arial"/>
                <w:color w:val="404040"/>
                <w:sz w:val="22"/>
                <w:szCs w:val="22"/>
              </w:rPr>
              <w:t xml:space="preserve">The programme plan in this section is illustrative. The phase structure, tunnel sequencing, and timetable are based on resource assumptions that have not yet been confirmed. The week numbers and durations shown are a planning model — they demonstrate what the programme could look like under a specific resourcing scenario. They are not commitments and should not be treated as commitments until the resourcing decisions described in Section 7 have been made and documented.</w:t>
            </w:r>
          </w:p>
        </w:tc>
      </w:tr>
    </w:tbl>
    <w:p>
      <w:pPr>
        <w:spacing w:before="80" w:after="80"/>
      </w:pPr>
    </w:p>
    <w:p>
      <w:pPr>
        <w:spacing w:before="60" w:after="120"/>
      </w:pPr>
      <w:r>
        <w:rPr>
          <w:rFonts w:ascii="Arial" w:cs="Arial" w:eastAsia="Arial" w:hAnsi="Arial"/>
          <w:sz w:val="22"/>
          <w:szCs w:val="22"/>
        </w:rPr>
        <w:t xml:space="preserve">With that caveat stated: the phase structure and tunnel tier sequencing are not hypothetical. The order in which work must happen is determined by technical dependencies and risk priority, not by resource preference. Any credible plan will sequence phases in this order and will prioritise the 31 DES/3DES-MD5 tunnels first. What the plan in Section 7 depends on is how many engineers are executing in parallel, how quickly the partner population responds, and whether the platform build dependencies are resolved on time.</w:t>
      </w:r>
    </w:p>
    <w:p>
      <w:pPr>
        <w:pStyle w:val="Heading2"/>
        <w:spacing w:before="280" w:after="80"/>
      </w:pPr>
      <w:r>
        <w:rPr>
          <w:rFonts w:ascii="Arial" w:cs="Arial" w:eastAsia="Arial" w:hAnsi="Arial"/>
          <w:b/>
          <w:bCs/>
          <w:color w:val="2E75B6"/>
          <w:sz w:val="26"/>
          <w:szCs w:val="26"/>
        </w:rPr>
        <w:t xml:space="preserve">6.1 Illustrative Phase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160"/>
        <w:gridCol w:w="1200"/>
        <w:gridCol w:w="5360"/>
      </w:tblGrid>
      <w:tr>
        <w:trPr>
          <w:tblHeader/>
        </w:trPr>
        <w:tc>
          <w:tcPr>
            <w:tcW w:type="dxa" w:w="64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1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Title</w:t>
            </w:r>
          </w:p>
        </w:tc>
        <w:tc>
          <w:tcPr>
            <w:tcW w:type="dxa" w:w="1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Indicative Window</w:t>
            </w:r>
          </w:p>
        </w:tc>
        <w:tc>
          <w:tcPr>
            <w:tcW w:type="dxa" w:w="53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Key Activities and Outputs</w:t>
            </w:r>
          </w:p>
        </w:tc>
      </w:tr>
      <w:tr>
        <w:tc>
          <w:tcPr>
            <w:tcW w:type="dxa" w:w="0P"/>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P1</w:t>
            </w:r>
          </w:p>
        </w:tc>
        <w:tc>
          <w:tcPr>
            <w:tcW w:type="dxa" w:w="0A"/>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Platform Build &amp; Baseline</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Wks 1–6 (indicative)</w:t>
            </w:r>
          </w:p>
        </w:tc>
      </w:tr>
      <w:tr>
        <w:tc>
          <w:tcPr>
            <w:tcW w:type="dxa" w:w="0F"/>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P2</w:t>
            </w:r>
          </w:p>
        </w:tc>
        <w:tc>
          <w:tcPr>
            <w:tcW w:type="dxa" w:w="0u"/>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Discovery &amp; Partner Qualification</w:t>
            </w:r>
          </w:p>
        </w:tc>
        <w:tc>
          <w:tcPr>
            <w:tcW w:type="dxa" w:w="0l"/>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Wks 4–10 (indicative)</w:t>
            </w:r>
          </w:p>
        </w:tc>
      </w:tr>
      <w:tr>
        <w:tc>
          <w:tcPr>
            <w:tcW w:type="dxa" w:w="0M"/>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P3</w:t>
            </w:r>
          </w:p>
        </w:tc>
        <w:tc>
          <w:tcPr>
            <w:tcW w:type="dxa" w:w="0i"/>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Tier 1 — Critical Crypto Tunnels</w:t>
            </w:r>
          </w:p>
        </w:tc>
        <w:tc>
          <w:tcPr>
            <w:tcW w:type="dxa" w:w="0g"/>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Wks 8–16 (indicative)</w:t>
            </w:r>
          </w:p>
        </w:tc>
      </w:tr>
      <w:tr>
        <w:tc>
          <w:tcPr>
            <w:tcW w:type="dxa" w:w="0M"/>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P4</w:t>
            </w:r>
          </w:p>
        </w:tc>
        <w:tc>
          <w:tcPr>
            <w:tcW w:type="dxa" w:w="0i"/>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Tier 2 — IKEv1 AES-256 Tunnels</w:t>
            </w:r>
          </w:p>
        </w:tc>
        <w:tc>
          <w:tcPr>
            <w:tcW w:type="dxa" w:w="0g"/>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Wks 14–28 (indicative)</w:t>
            </w:r>
          </w:p>
        </w:tc>
      </w:tr>
      <w:tr>
        <w:tc>
          <w:tcPr>
            <w:tcW w:type="dxa" w:w="0M"/>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P5</w:t>
            </w:r>
          </w:p>
        </w:tc>
        <w:tc>
          <w:tcPr>
            <w:tcW w:type="dxa" w:w="0i"/>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Tier 3, Residuals &amp; Decommission</w:t>
            </w:r>
          </w:p>
        </w:tc>
        <w:tc>
          <w:tcPr>
            <w:tcW w:type="dxa" w:w="0g"/>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Wks 24–36 (indicative)</w:t>
            </w:r>
          </w:p>
        </w:tc>
      </w:tr>
    </w:tbl>
    <w:p>
      <w:pPr>
        <w:spacing w:before="120" w:after="120"/>
      </w:pPr>
    </w:p>
    <w:p>
      <w:pPr>
        <w:pStyle w:val="Heading2"/>
        <w:spacing w:before="280" w:after="80"/>
      </w:pPr>
      <w:r>
        <w:rPr>
          <w:rFonts w:ascii="Arial" w:cs="Arial" w:eastAsia="Arial" w:hAnsi="Arial"/>
          <w:b/>
          <w:bCs/>
          <w:color w:val="2E75B6"/>
          <w:sz w:val="26"/>
          <w:szCs w:val="26"/>
        </w:rPr>
        <w:t xml:space="preserve">6.2 Tunnel Volume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600"/>
        <w:gridCol w:w="3360"/>
      </w:tblGrid>
      <w:tr>
        <w:trPr>
          <w:tblHeader/>
        </w:trPr>
        <w:tc>
          <w:tcPr>
            <w:tcW w:type="dxa" w:w="3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Tier / Cipher Group</w:t>
            </w:r>
          </w:p>
        </w:tc>
        <w:tc>
          <w:tcPr>
            <w:tcW w:type="dxa" w:w="1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Volume</w:t>
            </w:r>
          </w:p>
        </w:tc>
        <w:tc>
          <w:tcPr>
            <w:tcW w:type="dxa" w:w="16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Indicative Phase</w:t>
            </w:r>
          </w:p>
        </w:tc>
        <w:tc>
          <w:tcPr>
            <w:tcW w:type="dxa" w:w="33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Migration Constraint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C00000"/>
                <w:sz w:val="20"/>
                <w:szCs w:val="20"/>
              </w:rPr>
              <w:t xml:space="preserve">DES-MD5 / 3DES-MD5 (CRITICAL)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Partner cipher upgrade mandatory before migration. Highest engagement risk.</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375623"/>
                <w:sz w:val="20"/>
                <w:szCs w:val="20"/>
              </w:rPr>
              <w:t xml:space="preserve">IKEv2 AES256-SHA256 / AES-GCM</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42</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P3</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Lowest friction — protocol already correct. Cipher hardening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C55A11"/>
                <w:sz w:val="20"/>
                <w:szCs w:val="20"/>
              </w:rPr>
              <w:t xml:space="preserve">IKEv1 AES-256-SHA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111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Protocol upgrade required from partner side. Major throughput driver.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7F6000"/>
                <w:sz w:val="20"/>
                <w:szCs w:val="20"/>
              </w:rPr>
              <w:t xml:space="preserve">IKEv1 AES-128 / Residual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~47</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P5</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Protocol upgrade required. Batched with Tier 2 where possible.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Total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231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w:t>
            </w:r>
          </w:p>
        </w:tc>
      </w:tr>
    </w:tbl>
    <w:p>
      <w:pPr>
        <w:spacing w:before="120" w:after="120"/>
      </w:pPr>
    </w:p>
    <w:p>
      <w:pPr>
        <w:pStyle w:val="Heading2"/>
        <w:spacing w:before="280" w:after="80"/>
      </w:pPr>
      <w:r>
        <w:rPr>
          <w:rFonts w:ascii="Arial" w:cs="Arial" w:eastAsia="Arial" w:hAnsi="Arial"/>
          <w:b/>
          <w:bCs/>
          <w:color w:val="2E75B6"/>
          <w:sz w:val="26"/>
          <w:szCs w:val="26"/>
        </w:rPr>
        <w:t xml:space="preserve">6.3 Per-Engineer Throughput Model</w:t>
      </w:r>
    </w:p>
    <w:p>
      <w:pPr>
        <w:spacing w:before="60" w:after="120"/>
      </w:pPr>
      <w:r>
        <w:rPr>
          <w:rFonts w:ascii="Arial" w:cs="Arial" w:eastAsia="Arial" w:hAnsi="Arial"/>
          <w:sz w:val="22"/>
          <w:szCs w:val="22"/>
        </w:rPr>
        <w:t xml:space="preserve">The indicative timetables in Section 6.1 assume a specific throughput per engineer per week. The table below makes that assumption explicit and shows how the programme duration varies under different resourcing scenarios. These numbers are estimates based on the six-phase per-tunnel process — actual throughput will depend on partner responsiveness, which varies significantly by partner.</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1560"/>
        <w:gridCol w:w="1560"/>
        <w:gridCol w:w="1680"/>
      </w:tblGrid>
      <w:tr>
        <w:trPr>
          <w:tblHeader/>
        </w:trPr>
        <w:tc>
          <w:tcPr>
            <w:tcW w:type="dxa" w:w="30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Assumption</w:t>
            </w:r>
          </w:p>
        </w:tc>
        <w:tc>
          <w:tcPr>
            <w:tcW w:type="dxa" w:w="15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1 Engineer</w:t>
            </w:r>
          </w:p>
        </w:tc>
        <w:tc>
          <w:tcPr>
            <w:tcW w:type="dxa" w:w="15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2 Engineers</w:t>
            </w:r>
          </w:p>
        </w:tc>
        <w:tc>
          <w:tcPr>
            <w:tcW w:type="dxa" w:w="15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3 Engineers</w:t>
            </w:r>
          </w:p>
        </w:tc>
        <w:tc>
          <w:tcPr>
            <w:tcW w:type="dxa" w:w="168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Tunnels completable per engineer per week (steady state)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3–4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3–4 each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3–4 each</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Phases 1–3 of the per-tunnel process are the long tail — partner responsiveness controls the clock, not engineer capacity.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Tier 1 (78 tunnels) — elapsed weeks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20–26 wks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10–13 wks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7–9 wks</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Assumes partner crypto upgrade for 31 critical tunnels adds 1–2 weeks per partner engagement.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Tier 2 (111 tunnels) — elapsed weeks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28–37 wks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14–19 wks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10–13 wks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IKEv2 upgrade conversations can be batched by partner organisation. Multiple tunnels per engagement.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Total programme (all 231 tunnels)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~60–70 wks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~32–38 wks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~22–28 wks</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Excludes platform build (P1) and discovery (P2) which run in parallel at programme start.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36-week target achievable?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C00000"/>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C55A11"/>
                <w:sz w:val="20"/>
                <w:szCs w:val="20"/>
              </w:rPr>
              <w:t xml:space="preserve">Marginal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75623"/>
                <w:sz w:val="20"/>
                <w:szCs w:val="20"/>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36 weeks is achievable with 3 engineers at good partner engagement rates. With 2 engineers it requires near-zero slippage.</w:t>
            </w:r>
          </w:p>
        </w:tc>
      </w:tr>
    </w:tbl>
    <w:p>
      <w:pPr>
        <w:spacing w:before="120" w:after="120"/>
      </w:pPr>
    </w:p>
    <w:p>
      <w:r>
        <w:br w:type="page"/>
      </w:r>
    </w:p>
    <w:p>
      <w:pPr>
        <w:pStyle w:val="Heading1"/>
        <w:spacing w:before="360" w:after="120"/>
      </w:pPr>
      <w:r>
        <w:rPr>
          <w:rFonts w:ascii="Arial" w:cs="Arial" w:eastAsia="Arial" w:hAnsi="Arial"/>
          <w:b/>
          <w:bCs/>
          <w:color w:val="1F3864"/>
          <w:sz w:val="32"/>
          <w:szCs w:val="32"/>
        </w:rPr>
        <w:t xml:space="preserve">7. Resourcing Requirements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D6E4F0" w:val="clear"/>
            <w:tcMar>
              <w:top w:type="dxa" w:w="140"/>
              <w:left w:type="dxa" w:w="200"/>
              <w:bottom w:type="dxa" w:w="140"/>
              <w:right w:type="dxa" w:w="200"/>
            </w:tcMar>
          </w:tcPr>
          <w:p>
            <w:pPr>
              <w:spacing w:before="0" w:after="40"/>
            </w:pPr>
            <w:r>
              <w:rPr>
                <w:rFonts w:ascii="Arial" w:cs="Arial" w:eastAsia="Arial" w:hAnsi="Arial"/>
                <w:b/>
                <w:bCs/>
                <w:color w:val="1F3864"/>
                <w:sz w:val="22"/>
                <w:szCs w:val="22"/>
              </w:rPr>
              <w:t xml:space="preserve">Purpose of This Section</w:t>
            </w:r>
          </w:p>
          <w:p>
            <w:pPr>
              <w:spacing w:before="0" w:after="0"/>
            </w:pPr>
            <w:r>
              <w:rPr>
                <w:rFonts w:ascii="Arial" w:cs="Arial" w:eastAsia="Arial" w:hAnsi="Arial"/>
                <w:color w:val="404040"/>
                <w:sz w:val="22"/>
                <w:szCs w:val="22"/>
              </w:rPr>
              <w:t xml:space="preserve">This section defines the specific resourcing decisions that must be made before the illustrative programme plan in Section 6 can become a commitment. The timetables in Section 6 are not achievable unless these decisions are made, confirmed, and acted on. Each item below identifies what is needed, why the programme is sensitive to it, and what the decision point is.</w:t>
            </w:r>
          </w:p>
        </w:tc>
      </w:tr>
    </w:tbl>
    <w:p>
      <w:pPr>
        <w:spacing w:before="80" w:after="80"/>
      </w:pPr>
    </w:p>
    <w:p>
      <w:pPr>
        <w:pStyle w:val="Heading2"/>
        <w:spacing w:before="280" w:after="80"/>
      </w:pPr>
      <w:r>
        <w:rPr>
          <w:rFonts w:ascii="Arial" w:cs="Arial" w:eastAsia="Arial" w:hAnsi="Arial"/>
          <w:b/>
          <w:bCs/>
          <w:color w:val="2E75B6"/>
          <w:sz w:val="26"/>
          <w:szCs w:val="26"/>
        </w:rPr>
        <w:t xml:space="preserve">7.1 Engineering Resource</w:t>
      </w:r>
    </w:p>
    <w:p>
      <w:pPr>
        <w:spacing w:before="60" w:after="120"/>
      </w:pPr>
      <w:r>
        <w:rPr>
          <w:rFonts w:ascii="Arial" w:cs="Arial" w:eastAsia="Arial" w:hAnsi="Arial"/>
          <w:sz w:val="22"/>
          <w:szCs w:val="22"/>
        </w:rPr>
        <w:t xml:space="preserve">The per-tunnel migration process (Section 5) requires provisioning engineer time at every phase. The work is not automatable in the phases that matter most — specifically the partner engagement phases (P1, P2) and the parallel operation and cutover phases (P5, P6). These phases involve partner-facing coordination, technical validation, and live network changes that require human judgement. The automation pipeline handles PA-5400 configuration rendering and commitment (P4), but an engineer must initiate, monitor, and verify each run.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rPr>
          <w:tblHeader/>
        </w:trPr>
        <w:tc>
          <w:tcPr>
            <w:tcW w:type="dxa" w:w="26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Resource Role</w:t>
            </w:r>
          </w:p>
        </w:tc>
        <w:tc>
          <w:tcPr>
            <w:tcW w:type="dxa" w:w="33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Scope of Work</w:t>
            </w:r>
          </w:p>
        </w:tc>
        <w:tc>
          <w:tcPr>
            <w:tcW w:type="dxa" w:w="34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Resourcing Decision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Senior Network Security Engineer (x2–3 recommended)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Owns the per-tunnel migration process end-to-end. Completes engineer fields in the Tenant Onboarding Workbook. Runs gwreg, pki-bootstrap.sh, gwctl commands. Executes parallel testing and cutover. Decommissions ASA entries.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How many engineers are dedicated to migration execution? Are these backfilled from existing headcount or new hires? What is their availability as a percentage of their time? Are they shared with other projects?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Platform Build Engineer (x1, P1 only)</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Builds the PA-5400 HA pair, Panorama, automation pipeline, Vault integration, and IPAM. This is a distinct body of work from migration execution and must be complete before any partner migration can begin.</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Is the platform build engineer the same person as the migration engineers? If so, P1 is serial with P3 — the programme does not start migrating until the platform builder has finished and handed over. This directly extends the 36-week model.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Discovery Coordinator (P2 — can be junior)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Maps all 231 ASA tunnel groups to named partners. Sends crypto capability surveys. Follows up on partner responses. Maintains the migration tracker. This work is high-volume and low-complexity — it should not consume senior engineer time.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Is a dedicated resource confirmed for the 231-tunnel discovery exercise? If senior engineers do their own discovery, throughput drops by approximately 30%.</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Partner-Side Technical Contact (per partner)</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Partner must confirm IKEv2 capability, provide subnet list, review proposed configuration, execute cutover. This is not a CVS Health resource but it must be identified and engaged. Partners without an active technical contact cannot be migrated on schedule.</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Business relationship owners must confirm active technical contacts exist for all 231 partner connections before P2 begins. Partners with stale or unknown contact details add 2–4 weeks of engagement delay each.</w:t>
            </w:r>
          </w:p>
        </w:tc>
      </w:tr>
    </w:tbl>
    <w:p>
      <w:pPr>
        <w:spacing w:before="120" w:after="120"/>
      </w:pPr>
    </w:p>
    <w:p>
      <w:pPr>
        <w:pStyle w:val="Heading2"/>
        <w:spacing w:before="280" w:after="80"/>
      </w:pPr>
      <w:r>
        <w:rPr>
          <w:rFonts w:ascii="Arial" w:cs="Arial" w:eastAsia="Arial" w:hAnsi="Arial"/>
          <w:b/>
          <w:bCs/>
          <w:color w:val="2E75B6"/>
          <w:sz w:val="26"/>
          <w:szCs w:val="26"/>
        </w:rPr>
        <w:t xml:space="preserve">7.2 Platform Infrastructure</w:t>
      </w:r>
    </w:p>
    <w:p>
      <w:pPr>
        <w:spacing w:before="60" w:after="120"/>
      </w:pPr>
      <w:r>
        <w:rPr>
          <w:rFonts w:ascii="Arial" w:cs="Arial" w:eastAsia="Arial" w:hAnsi="Arial"/>
          <w:sz w:val="22"/>
          <w:szCs w:val="22"/>
        </w:rPr>
        <w:t xml:space="preserve">The PA-5400 platform must be fully built, tested, and handed over before any partner migration can begin. This is not a partial dependency — the first migration cannot proceed until every component of the platform is operational and the acceptance test suite is validated end-to-end.</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33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Dependency</w:t>
            </w:r>
          </w:p>
        </w:tc>
        <w:tc>
          <w:tcPr>
            <w:tcW w:type="dxa" w:w="3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Lead Time Risk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PA-5400 HA Hardware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Physical hardware procured, racked, and cabled. Both nodes in Active/Passive HA with state sync confirmed.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Hardware procurement lead times range from 8–20 weeks depending on SKU availability. If not already on order this is the single longest lead-time item in the programme.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Panorama + Automation Pipeline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Panorama deployed. Automation pipeline developed, peer-reviewed, and tested in lab. Templates validated against schema. Commit API confirmed working against Panorama.</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Pipeline development is estimated at 4–6 weeks of engineering effort. It cannot begin until the PA-5400 hardware is available for integration testing. Sequential dependency.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HashiCorp Vault (or equivalent)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Secrets Manager deployed and accessible from the pipeline service account. psk/{tenant_id} path structure tested. Vault HA confirmed.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If Vault is not already deployed this is a 4–8 week procurement and deployment exercise. If the pipeline cannot reach Vault, gwreg alloc and pki-bootstrap.sh cannot run.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IPAM Service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IPAM service deployed with address pools defined for loopback, VTI, SNAT, DMZ ranges. gwreg alloc integration tested.</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If a new IPAM instance is required this adds 2–4 weeks. If IPAM is being shared with existing infrastructure, pool configuration must be agreed and documented before gwreg alloc is enabled.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SIEM Integration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Log forwarding from PA-5400 to SIEM configured and validated. tenant_id field present in SIEM log events. Log attribution verified against known test tenant.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SIEM integration is a non-negotiable gate before the first production cutover (see Gate 4, Section 5). If SIEM integration is not validated, no cutover can proceed — this blocks the entire Tier 1 migration.</w:t>
            </w:r>
          </w:p>
        </w:tc>
      </w:tr>
    </w:tbl>
    <w:p>
      <w:pPr>
        <w:spacing w:before="120" w:after="120"/>
      </w:pPr>
    </w:p>
    <w:p>
      <w:pPr>
        <w:pStyle w:val="Heading2"/>
        <w:spacing w:before="280" w:after="80"/>
      </w:pPr>
      <w:r>
        <w:rPr>
          <w:rFonts w:ascii="Arial" w:cs="Arial" w:eastAsia="Arial" w:hAnsi="Arial"/>
          <w:b/>
          <w:bCs/>
          <w:color w:val="2E75B6"/>
          <w:sz w:val="26"/>
          <w:szCs w:val="26"/>
        </w:rPr>
        <w:t xml:space="preserve">7.3 Partner Engagement Risk</w:t>
      </w:r>
    </w:p>
    <w:p>
      <w:pPr>
        <w:spacing w:before="60" w:after="120"/>
      </w:pPr>
      <w:r>
        <w:rPr>
          <w:rFonts w:ascii="Arial" w:cs="Arial" w:eastAsia="Arial" w:hAnsi="Arial"/>
          <w:sz w:val="22"/>
          <w:szCs w:val="22"/>
        </w:rPr>
        <w:t xml:space="preserve">Partner engagement is the most significant scheduling risk in the programme. The per-tunnel process requires active participation from the partner technical team at Phase 1 (capability confirmation and data collection), Phase 5 (parallel testing and cutover), and Phase 6 (sign-off). The CVS Health engineering team cannot progress a migration beyond Gate 1 without partner input.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37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Mechanism</w:t>
            </w:r>
          </w:p>
        </w:tc>
        <w:tc>
          <w:tcPr>
            <w:tcW w:type="dxa" w:w="3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Mitigation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Partner non-response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31 DES/3DES-MD5 tunnels require partner cipher upgrade. If a partner does not respond to migration notice, the tunnel cannot move. The ASA entry stays, and the security risk persists.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Define an escalation path from engineer to business relationship owner to executive sponsor. Establish a response SLA in the migration notice. Identify who can invoke the SLA.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IKEv1-only partner gateway</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Partners with devices that cannot be upgraded to IKEv2 cannot be migrated to the PA-5400 architecture at all under the current design. Their tunnels remain on the ASA indefinitely.</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Business decision required: is the ASA retained as a permanent IKEv1 tail, or does CVS Health require partners to upgrade as a condition of continued connectivity? This decision must be made before P2 completes — it determines the scope of the migration.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Cutover window availability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Partners must be available for a maintenance window to execute cutover. Partners with long change control cycles (e.g. healthcare payers, government entities) may impose 4–8 week cutover lead times.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Survey partners for cutover window constraints during P2 discovery. Factor known long-lead partners into the Tier schedule. Batching multiple tunnels in a single partner cutover window improves throughput significantly.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Stale partner contact details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229 of 231 tunnel groups are identified only by peer IP. If the original provisioning engineer is no longer at CVS Health, the partner contact for that tunnel may be unknown.</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P2 discovery must resolve all 231 tunnel groups to named partners with confirmed contacts before Tier 1 migration begins. This is a hard prerequisite, not a best effort.</w:t>
            </w:r>
          </w:p>
        </w:tc>
      </w:tr>
    </w:tbl>
    <w:p>
      <w:pPr>
        <w:spacing w:before="120" w:after="120"/>
      </w:pPr>
    </w:p>
    <w:p>
      <w:pPr>
        <w:pStyle w:val="Heading2"/>
        <w:spacing w:before="280" w:after="80"/>
      </w:pPr>
      <w:r>
        <w:rPr>
          <w:rFonts w:ascii="Arial" w:cs="Arial" w:eastAsia="Arial" w:hAnsi="Arial"/>
          <w:b/>
          <w:bCs/>
          <w:color w:val="2E75B6"/>
          <w:sz w:val="26"/>
          <w:szCs w:val="26"/>
        </w:rPr>
        <w:t xml:space="preserve">7.4 Resourcing Decisions Required</w:t>
      </w:r>
    </w:p>
    <w:p>
      <w:pPr>
        <w:spacing w:before="60" w:after="120"/>
      </w:pPr>
      <w:r>
        <w:rPr>
          <w:rFonts w:ascii="Arial" w:cs="Arial" w:eastAsia="Arial" w:hAnsi="Arial"/>
          <w:sz w:val="22"/>
          <w:szCs w:val="22"/>
        </w:rPr>
        <w:t xml:space="preserve">The following decisions are needed before the programme plan can be confirmed with dates. These are not technical decisions — they are organisational and resource decisions. Each one has a direct consequence for the programme timetable.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160"/>
        <w:gridCol w:w="2400"/>
        <w:gridCol w:w="2300"/>
      </w:tblGrid>
      <w:tr>
        <w:trPr>
          <w:tblHeader/>
        </w:trPr>
        <w:tc>
          <w:tcPr>
            <w:tcW w:type="dxa" w:w="5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1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Decision</w:t>
            </w:r>
          </w:p>
        </w:tc>
        <w:tc>
          <w:tcPr>
            <w:tcW w:type="dxa" w:w="24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Timetable Impact If Delayed</w:t>
            </w:r>
          </w:p>
        </w:tc>
        <w:tc>
          <w:tcPr>
            <w:tcW w:type="dxa" w:w="23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Owner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How many provisioning engineers are dedicated to migration execution, at what % availability, and for what duration?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Every week this is unconfirmed is a week the throughput model in Section 6.3 cannot be validated. The 36-week target requires 3 FTEs at high availability.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Programme Sponsor</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2</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Is PA-5400 hardware already on order? If not, when is the procurement decision?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Hardware lead time of 8–20 weeks is likely the longest single item in the programme. Every week of procurement delay pushes the P1 completion date — and therefore the entire programme — by one week.</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Infrastructure / Procurement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Is Vault already deployed and accessible to the pipeline? If not, who owns the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Vault is a hard dependency for gwreg alloc (Phase 2, Step 2.8). No PSK can be generated without it. No migration can complete Phase 2 without a functioning Vault.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Platform / Security Engineering</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4</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Is the automation pipeline already developed, or does it need to be built? Who is the pipeline engineer?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The pipeline must be complete and tested before any migration can execute Phase 4. If pipeline development is estimated at 6 weeks and uses the same engineers as migration execution, those 6 weeks are serial — they are not compressed by adding migration engineers.</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Platform Engineering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What is the policy for partners who cannot support IKEv2? Are they required to upgrade or exempted?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If IKEv1-only partners are exempted, the ASA cannot be fully decommissioned and must be retained long-term. If they are required to upgrade, the business relationship team must issue formal notice — which has its own lead time.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Business Relationship / Security Policy</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6</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Who is responsible for partner engagement (sending migration notices, chasing responses, managing cutover windows)? Is this the provisioning engineer or a separate programme coordinator?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If provisioning engineers own partner engagement as well as technical execution, throughput is materially lower than the model in Section 6.3 assumes. A dedicated coordinator frees engineers to focus on technical steps.</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Programme Management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7</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What is the SIEM integration readiness? Is the log forwarding target already receiving PA-5400 test events?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SIEM integration is Gate 4 — no production cutover can proceed until it is validated. If SIEM integration has a long lead time it will block Tier 1 completion regardless of how quickly the tunnels are provisioned.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Security Operations</w:t>
            </w:r>
          </w:p>
        </w:tc>
      </w:tr>
    </w:tbl>
    <w:p>
      <w:pPr>
        <w:spacing w:before="120" w:after="120"/>
      </w:pPr>
    </w:p>
    <w:p>
      <w:r>
        <w:br w:type="page"/>
      </w:r>
    </w:p>
    <w:p>
      <w:pPr>
        <w:pStyle w:val="Heading1"/>
        <w:spacing w:before="360" w:after="120"/>
      </w:pPr>
      <w:r>
        <w:rPr>
          <w:rFonts w:ascii="Arial" w:cs="Arial" w:eastAsia="Arial" w:hAnsi="Arial"/>
          <w:b/>
          <w:bCs/>
          <w:color w:val="1F3864"/>
          <w:sz w:val="32"/>
          <w:szCs w:val="32"/>
        </w:rPr>
        <w:t xml:space="preserve">8. Summary</w:t>
      </w:r>
    </w:p>
    <w:p>
      <w:pPr>
        <w:pStyle w:val="Heading2"/>
        <w:spacing w:before="280" w:after="80"/>
      </w:pPr>
      <w:r>
        <w:rPr>
          <w:rFonts w:ascii="Arial" w:cs="Arial" w:eastAsia="Arial" w:hAnsi="Arial"/>
          <w:b/>
          <w:bCs/>
          <w:color w:val="2E75B6"/>
          <w:sz w:val="26"/>
          <w:szCs w:val="26"/>
        </w:rPr>
        <w:t xml:space="preserve">8.1 Key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468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Total L2L tunnel groups to migrate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231</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Tunnels with critical crypto risk (DES, 3DES-MD5)</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31 (13%)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Tunnels requiring IKEv2 protocol upgrade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158 (68%)</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Tunnels at or near acceptable crypto baseline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42 (18%)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Partner connections keyed by peer IP only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229 (99%)</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PSK authentication references to migrate to Vault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340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Object-groups requiring lifecycle audit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563</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Per-tunnel migration process: phases / gates / steps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6 phases / 5 gates / 22 steps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Mandatory parallel operation period per tunnel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72 hours minimum</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Illustrative programme duration (3 engineers, good partner response)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~28–36 weeks from P1 start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Illustrative programme duration (2 engineers)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~38–50 weeks from P1 start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Plan status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ILLUSTRATIVE — pending resourcing decisions in Section 7</w:t>
            </w:r>
          </w:p>
        </w:tc>
      </w:tr>
    </w:tbl>
    <w:p>
      <w:pPr>
        <w:spacing w:before="120" w:after="120"/>
      </w:pPr>
    </w:p>
    <w:p>
      <w:pPr>
        <w:pStyle w:val="Heading2"/>
        <w:spacing w:before="280" w:after="80"/>
      </w:pPr>
      <w:r>
        <w:rPr>
          <w:rFonts w:ascii="Arial" w:cs="Arial" w:eastAsia="Arial" w:hAnsi="Arial"/>
          <w:b/>
          <w:bCs/>
          <w:color w:val="2E75B6"/>
          <w:sz w:val="26"/>
          <w:szCs w:val="26"/>
        </w:rPr>
        <w:t xml:space="preserve">8.2 What Is and Is Not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Confirmed and factual</w:t>
            </w:r>
          </w:p>
        </w:tc>
        <w:tc>
          <w:tcPr>
            <w:tcW w:type="dxa" w:w="468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Illustrative and pending resource confirmation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231 ASA tunnel groups exist and have been enumerated from the running config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Programme timetable (week numbers in Section 6)</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Risk ratings for each finding (Section 3) are based on measured configuration data</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36-week programme duration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PA-5400 architecture resolves every critical and high finding (Section 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3-engineer resourcing model</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Per-tunnel migration process (Section 5) is the mandatory procedure for every migration event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Partner engagement timelines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Technical sequence and gate structure of Section 5 are not hypothetical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Platform build completion date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DES/3DES-MD5 tunnels are the highest-priority migration target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404040"/>
                <w:sz w:val="20"/>
                <w:szCs w:val="20"/>
              </w:rPr>
              <w:t xml:space="preserve">Throughput per engineer per week (affected by partner responsiveness)</w:t>
            </w:r>
          </w:p>
        </w:tc>
      </w:tr>
    </w:tbl>
    <w:p>
      <w:pPr>
        <w:spacing w:before="120" w:after="120"/>
      </w:pPr>
    </w:p>
    <w:p>
      <w:pPr>
        <w:pStyle w:val="Heading2"/>
        <w:spacing w:before="280" w:after="80"/>
      </w:pPr>
      <w:r>
        <w:rPr>
          <w:rFonts w:ascii="Arial" w:cs="Arial" w:eastAsia="Arial" w:hAnsi="Arial"/>
          <w:b/>
          <w:bCs/>
          <w:color w:val="2E75B6"/>
          <w:sz w:val="26"/>
          <w:szCs w:val="26"/>
        </w:rPr>
        <w:t xml:space="preserve">8.3 Next Steps</w:t>
      </w:r>
    </w:p>
    <w:p>
      <w:pPr>
        <w:pStyle w:val="ListParagraph"/>
        <w:numPr>
          <w:ilvl w:val="0"/>
          <w:numId w:val="3"/>
        </w:numPr>
        <w:spacing w:before="40" w:after="40"/>
      </w:pPr>
      <w:r>
        <w:rPr>
          <w:rFonts w:ascii="Arial" w:cs="Arial" w:eastAsia="Arial" w:hAnsi="Arial"/>
          <w:sz w:val="22"/>
          <w:szCs w:val="22"/>
        </w:rPr>
        <w:t xml:space="preserve">Confirm resourcing decisions in Section 7 (items 1–7). Without these, no dates can be committed.</w:t>
      </w:r>
    </w:p>
    <w:p>
      <w:pPr>
        <w:pStyle w:val="ListParagraph"/>
        <w:numPr>
          <w:ilvl w:val="0"/>
          <w:numId w:val="3"/>
        </w:numPr>
        <w:spacing w:before="40" w:after="40"/>
      </w:pPr>
      <w:r>
        <w:rPr>
          <w:rFonts w:ascii="Arial" w:cs="Arial" w:eastAsia="Arial" w:hAnsi="Arial"/>
          <w:sz w:val="22"/>
          <w:szCs w:val="22"/>
        </w:rPr>
        <w:t xml:space="preserve">Confirm PA-5400 hardware procurement status. If not on order, initiate immediately — this is likely the longest lead-time item.</w:t>
      </w:r>
    </w:p>
    <w:p>
      <w:pPr>
        <w:pStyle w:val="ListParagraph"/>
        <w:numPr>
          <w:ilvl w:val="0"/>
          <w:numId w:val="3"/>
        </w:numPr>
        <w:spacing w:before="40" w:after="40"/>
      </w:pPr>
      <w:r>
        <w:rPr>
          <w:rFonts w:ascii="Arial" w:cs="Arial" w:eastAsia="Arial" w:hAnsi="Arial"/>
          <w:sz w:val="22"/>
          <w:szCs w:val="22"/>
        </w:rPr>
        <w:t xml:space="preserve">Initiate P2 discovery in parallel with platform build. Assign a coordinator to the 231-tunnel partner mapping exercise.</w:t>
      </w:r>
    </w:p>
    <w:p>
      <w:pPr>
        <w:pStyle w:val="ListParagraph"/>
        <w:numPr>
          <w:ilvl w:val="0"/>
          <w:numId w:val="3"/>
        </w:numPr>
        <w:spacing w:before="40" w:after="40"/>
      </w:pPr>
      <w:r>
        <w:rPr>
          <w:rFonts w:ascii="Arial" w:cs="Arial" w:eastAsia="Arial" w:hAnsi="Arial"/>
          <w:sz w:val="22"/>
          <w:szCs w:val="22"/>
        </w:rPr>
        <w:t xml:space="preserve">Confirm SIEM integration readiness. If PA-5400 log forwarding to SIEM has not been validated, this must be on the P1 build plan.</w:t>
      </w:r>
    </w:p>
    <w:p>
      <w:pPr>
        <w:pStyle w:val="ListParagraph"/>
        <w:numPr>
          <w:ilvl w:val="0"/>
          <w:numId w:val="3"/>
        </w:numPr>
        <w:spacing w:before="40" w:after="40"/>
      </w:pPr>
      <w:r>
        <w:rPr>
          <w:rFonts w:ascii="Arial" w:cs="Arial" w:eastAsia="Arial" w:hAnsi="Arial"/>
          <w:sz w:val="22"/>
          <w:szCs w:val="22"/>
        </w:rPr>
        <w:t xml:space="preserve">Establish the policy for IKEv1-only partners before P2 discovery completes. Business relationship team must be ready to issue formal migration notices to the 31 critical-risk tunnel partners as soon as P1 is complete.</w:t>
      </w:r>
    </w:p>
    <w:p>
      <w:pPr>
        <w:pStyle w:val="ListParagraph"/>
        <w:numPr>
          <w:ilvl w:val="0"/>
          <w:numId w:val="3"/>
        </w:numPr>
        <w:spacing w:before="40" w:after="40"/>
      </w:pPr>
      <w:r>
        <w:rPr>
          <w:rFonts w:ascii="Arial" w:cs="Arial" w:eastAsia="Arial" w:hAnsi="Arial"/>
          <w:sz w:val="22"/>
          <w:szCs w:val="22"/>
        </w:rPr>
        <w:t xml:space="preserve">Define programme governance: who is the accountable programme sponsor, who reviews weekly status, and what is the escalation path when a partner does not respond within the SLA.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Arial" w:cs="Arial" w:eastAsia="Arial" w:hAnsi="Arial"/>
        <w:color w:val="404040"/>
        <w:sz w:val="18"/>
        <w:szCs w:val="18"/>
      </w:rPr>
      <w:t xml:space="preserve">CVS Health — Third-Party Landing Zone Program</w:t>
    </w:r>
    <w:r>
      <w:rPr>
        <w:rFonts w:ascii="Arial" w:cs="Arial" w:eastAsia="Arial" w:hAnsi="Arial"/>
        <w:color w:val="404040"/>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rFonts w:ascii="Arial" w:cs="Arial" w:eastAsia="Arial" w:hAnsi="Arial"/>
        <w:color w:val="404040"/>
        <w:sz w:val="18"/>
        <w:szCs w:val="18"/>
      </w:rPr>
      <w:t xml:space="preserve">3PLZ — ASA Findings, Migration Process &amp; Illustrative Programme Plan</w:t>
    </w:r>
    <w:r>
      <w:rPr>
        <w:rFonts w:ascii="Arial" w:cs="Arial" w:eastAsia="Arial" w:hAnsi="Arial"/>
        <w:b/>
        <w:bCs/>
        <w:color w:val="C0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F497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2026-03-06T17:51:08.556Z</dcterms:created>
  <dcterms:modified xsi:type="dcterms:W3CDTF">2026-03-06T17:51:08.557Z</dcterms:modified>
</cp:coreProperties>
</file>

<file path=docProps/custom.xml><?xml version="1.0" encoding="utf-8"?>
<Properties xmlns="http://schemas.openxmlformats.org/officeDocument/2006/custom-properties" xmlns:vt="http://schemas.openxmlformats.org/officeDocument/2006/docPropsVTypes"/>
</file>