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pBdr>
          <w:bottom w:val="single" w:color="2E75B6" w:sz="12" w:space="1"/>
        </w:pBdr>
        <w:spacing w:before="0" w:after="0"/>
      </w:pPr>
    </w:p>
    <w:p>
      <w:pPr>
        <w:spacing w:before="120" w:after="0"/>
      </w:pPr>
    </w:p>
    <w:p>
      <w:pPr>
        <w:spacing w:before="0" w:after="40"/>
        <w:jc w:val="left"/>
      </w:pPr>
      <w:r>
        <w:rPr>
          <w:rFonts w:ascii="Arial" w:cs="Arial" w:eastAsia="Arial" w:hAnsi="Arial"/>
          <w:b/>
          <w:bCs/>
          <w:color w:val="0F2744"/>
          <w:sz w:val="56"/>
          <w:szCs w:val="56"/>
        </w:rPr>
        <w:t xml:space="preserve">CVS HEALTH</w:t>
      </w:r>
    </w:p>
    <w:p>
      <w:pPr>
        <w:spacing w:before="0" w:after="40"/>
        <w:jc w:val="left"/>
      </w:pPr>
      <w:r>
        <w:rPr>
          <w:rFonts w:ascii="Arial" w:cs="Arial" w:eastAsia="Arial" w:hAnsi="Arial"/>
          <w:b w:val="false"/>
          <w:bCs w:val="false"/>
          <w:color w:val="2E75B6"/>
          <w:sz w:val="32"/>
          <w:szCs w:val="32"/>
        </w:rPr>
        <w:t xml:space="preserve">Third-Party Landing Zone  ·  3PLZ</w:t>
      </w:r>
    </w:p>
    <w:p>
      <w:pPr>
        <w:spacing w:before="40" w:after="0"/>
      </w:pPr>
    </w:p>
    <w:p>
      <w:pPr>
        <w:spacing w:before="0" w:after="20"/>
        <w:jc w:val="left"/>
      </w:pPr>
      <w:r>
        <w:rPr>
          <w:rFonts w:ascii="Arial" w:cs="Arial" w:eastAsia="Arial" w:hAnsi="Arial"/>
          <w:b/>
          <w:bCs/>
          <w:color w:val="1F3864"/>
          <w:sz w:val="44"/>
          <w:szCs w:val="44"/>
        </w:rPr>
        <w:t xml:space="preserve">Executive Summary Update</w:t>
      </w:r>
    </w:p>
    <w:p>
      <w:pPr>
        <w:spacing w:before="0" w:after="0"/>
        <w:jc w:val="left"/>
      </w:pPr>
      <w:r>
        <w:rPr>
          <w:rFonts w:ascii="Arial" w:cs="Arial" w:eastAsia="Arial" w:hAnsi="Arial"/>
          <w:b w:val="false"/>
          <w:bCs w:val="false"/>
          <w:color w:val="1F497D"/>
          <w:sz w:val="28"/>
          <w:szCs w:val="28"/>
        </w:rPr>
        <w:t xml:space="preserve">Vendor Selection, POC Rationale &amp; On-Premises Migration Programme</w:t>
      </w:r>
    </w:p>
    <w:p>
      <w:pPr>
        <w:spacing w:before="80" w:after="0"/>
      </w:pPr>
    </w:p>
    <w:p>
      <w:pPr>
        <w:pBdr>
          <w:bottom w:val="single" w:color="D6E4F0" w:sz="6" w:space="1"/>
        </w:pBdr>
        <w:spacing w:before="0" w:after="0"/>
      </w:pP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Programme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Third-Party Landing Zone (3PLZ) — Secure Access Edge Platform</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Summary — Steering Committee Update</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plane vendor selection rationale (F5 &amp; Cloudflare POC / Zscaler &amp; Cisco disqualification) and on-premises transport migration (ASA → PA-5400)</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3PLZ Steering Committee, VP Technology, CISO, VP Network &amp; Security Engineering</w:t>
            </w:r>
          </w:p>
        </w:tc>
      </w:tr>
      <w:tr>
        <w:tc>
          <w:tcPr>
            <w:tcBorders>
              <w:top w:val="single" w:color="CCCCCC" w:sz="1"/>
              <w:left w:val="single" w:color="CCCCCC" w:sz="1"/>
              <w:bottom w:val="single" w:color="CCCCCC" w:sz="1"/>
              <w:right w:val="single" w:color="CCCCCC" w:sz="1"/>
            </w:tcBorders>
            <w:shd w:fill="0F274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The Decision at a Glance</w:t>
      </w:r>
    </w:p>
    <w:p>
      <w:pPr>
        <w:spacing w:before="60" w:after="100"/>
      </w:pPr>
      <w:r>
        <w:rPr>
          <w:rFonts w:ascii="Arial" w:cs="Arial" w:eastAsia="Arial" w:hAnsi="Arial"/>
          <w:color w:val="374151"/>
          <w:sz w:val="22"/>
          <w:szCs w:val="22"/>
        </w:rPr>
        <w:t xml:space="preserve">The 3PLZ programme has completed its vendor evaluation phase. Four vendors were assessed: Zscaler, Cisco, F5 Distributed Cloud, and Cloudflare. Two were disqualified on architectural grounds before the proof-of-concept stage. Two are proceeding to a structured, head-to-head POC. In parallel, the programme is initiating a migration of the existing on-premises partner VPN estate — 231 active connections currently terminating on a Cisco ASA — to the confirmed transport platform, the Palo Alto PA-5400.</w:t>
      </w:r>
    </w:p>
    <w:p>
      <w:pPr>
        <w:spacing w:before="60" w:after="100"/>
      </w:pPr>
      <w:r>
        <w:rPr>
          <w:rFonts w:ascii="Arial" w:cs="Arial" w:eastAsia="Arial" w:hAnsi="Arial"/>
          <w:color w:val="374151"/>
          <w:sz w:val="22"/>
          <w:szCs w:val="22"/>
        </w:rPr>
        <w:t xml:space="preserve">This document explains the basis for each of these decisions at the level of detail appropriate for the steering committee: clear enough to evaluate the logic, precise enough to anticipate the questions vendors or internal stakeholders will raise.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Vendor</w:t>
            </w:r>
          </w:p>
        </w:tc>
        <w:tc>
          <w:tcPr>
            <w:tcW w:type="dxa" w:w="1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9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Basis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Zscaler</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DISQUALIFIED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Architectural paradigm mismatch. Zscaler is an access plane broker. 3PLZ requires a service plane. These are structurally different problems.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Cisco</w:t>
            </w:r>
          </w:p>
        </w:tc>
        <w:tc>
          <w:tcPr>
            <w:tcW w:type="dxa" w:w="1400"/>
            <w:tcBorders>
              <w:top w:val="single" w:color="CCCCCC" w:sz="1"/>
              <w:left w:val="single" w:color="CCCCCC" w:sz="1"/>
              <w:bottom w:val="single" w:color="CCCCCC" w:sz="1"/>
              <w:right w:val="single" w:color="CCCCCC" w:sz="1"/>
            </w:tcBorders>
            <w:shd w:fill="C55A1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DISQUALIFIED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Paradigm boundary, not product quality. Cisco's next-gen platform is a strong network-centric solution. 3PLZ requires service-layer mediation that the network paradigm cannot provide.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F5 Distributed Cloud</w:t>
            </w:r>
          </w:p>
        </w:tc>
        <w:tc>
          <w:tcPr>
            <w:tcW w:type="dxa" w:w="1400"/>
            <w:tcBorders>
              <w:top w:val="single" w:color="CCCCCC" w:sz="1"/>
              <w:left w:val="single" w:color="CCCCCC" w:sz="1"/>
              <w:bottom w:val="single" w:color="CCCCCC" w:sz="1"/>
              <w:right w:val="single" w:color="CCCCCC" w:sz="1"/>
            </w:tcBorders>
            <w:shd w:fill="1D5C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POC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Service plane architecture confirmed. Per-tenant mTLS, credential vaulting, DNS isolation, and lifecycle automation all present. POC proves production scale and integration quality.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Cloudflare</w:t>
            </w:r>
          </w:p>
        </w:tc>
        <w:tc>
          <w:tcPr>
            <w:tcW w:type="dxa" w:w="1400"/>
            <w:tcBorders>
              <w:top w:val="single" w:color="CCCCCC" w:sz="1"/>
              <w:left w:val="single" w:color="CCCCCC" w:sz="1"/>
              <w:bottom w:val="single" w:color="CCCCCC" w:sz="1"/>
              <w:right w:val="single" w:color="CCCCCC" w:sz="1"/>
            </w:tcBorders>
            <w:shd w:fill="0A5A4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POC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Service plane architecture confirmed with one structural challenge to prove out. Per-tenant CA isolation at mTLS is not Cloudflare's native model — POC must demonstrate this capability at the required isolation level.</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2. Why Zscaler Was Disqualified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744" w:sz="8"/>
              <w:left w:val="single" w:color="0F2744" w:sz="8"/>
              <w:bottom w:val="single" w:color="0F2744" w:sz="8"/>
              <w:right w:val="single" w:color="0F2744" w:sz="8"/>
            </w:tcBorders>
            <w:shd w:fill="0F2744" w:val="clear"/>
            <w:tcMar>
              <w:top w:type="dxa" w:w="160"/>
              <w:left w:type="dxa" w:w="220"/>
              <w:bottom w:type="dxa" w:w="160"/>
              <w:right w:type="dxa" w:w="220"/>
            </w:tcMar>
          </w:tcPr>
          <w:p>
            <w:pPr>
              <w:spacing w:before="0" w:after="60"/>
            </w:pPr>
            <w:r>
              <w:rPr>
                <w:rFonts w:ascii="Arial" w:cs="Arial" w:eastAsia="Arial" w:hAnsi="Arial"/>
                <w:b/>
                <w:bCs/>
                <w:color w:val="FFFFFF"/>
                <w:sz w:val="22"/>
                <w:szCs w:val="22"/>
              </w:rPr>
              <w:t xml:space="preserve">The core finding</w:t>
            </w:r>
          </w:p>
          <w:p>
            <w:pPr>
              <w:spacing w:before="0" w:after="0"/>
            </w:pPr>
            <w:r>
              <w:rPr>
                <w:rFonts w:ascii="Arial" w:cs="Arial" w:eastAsia="Arial" w:hAnsi="Arial"/>
                <w:color w:val="FFFFFF"/>
                <w:sz w:val="22"/>
                <w:szCs w:val="22"/>
              </w:rPr>
              <w:t xml:space="preserve">Zscaler is an access plane product. It answers the question: "Is this partner permitted to reach this application?" The 3PLZ programme requires a platform that answers a different question: "How should this service behave when a partner connects?" These are not variations on the same question. They are structurally different problems that require structurally different solutions.</w:t>
            </w:r>
          </w:p>
        </w:tc>
      </w:tr>
    </w:tbl>
    <w:p>
      <w:pPr>
        <w:spacing w:before="80" w:after="80"/>
      </w:pPr>
    </w:p>
    <w:p>
      <w:pPr>
        <w:pStyle w:val="Heading2"/>
        <w:spacing w:before="240" w:after="80"/>
      </w:pPr>
      <w:r>
        <w:rPr>
          <w:rFonts w:ascii="Arial" w:cs="Arial" w:eastAsia="Arial" w:hAnsi="Arial"/>
          <w:b/>
          <w:bCs/>
          <w:color w:val="2E75B6"/>
          <w:sz w:val="26"/>
          <w:szCs w:val="26"/>
        </w:rPr>
        <w:t xml:space="preserve">2.1 The Substrate Problem</w:t>
      </w:r>
    </w:p>
    <w:p>
      <w:pPr>
        <w:spacing w:before="60" w:after="100"/>
      </w:pPr>
      <w:r>
        <w:rPr>
          <w:rFonts w:ascii="Arial" w:cs="Arial" w:eastAsia="Arial" w:hAnsi="Arial"/>
          <w:color w:val="374151"/>
          <w:sz w:val="22"/>
          <w:szCs w:val="22"/>
        </w:rPr>
        <w:t xml:space="preserve">The 3PLZ programme governs access to a legacy application estate. These applications were not designed for external exposure. They have no native TLS capability. They do not know which of ~1,000 partners is connecting. They expose internal credentials and assume the caller is a trusted network peer. They cannot enforce authorization at the application layer.</w:t>
      </w:r>
    </w:p>
    <w:p>
      <w:pPr>
        <w:spacing w:before="60" w:after="100"/>
      </w:pPr>
      <w:r>
        <w:rPr>
          <w:rFonts w:ascii="Arial" w:cs="Arial" w:eastAsia="Arial" w:hAnsi="Arial"/>
          <w:color w:val="374151"/>
          <w:sz w:val="22"/>
          <w:szCs w:val="22"/>
        </w:rPr>
        <w:t xml:space="preserve">This is not a criticism of those applications — it reflects the reality of enterprise infrastructure built over decades before zero trust was an architectural consideration. But it means the platform protecting them must do more than control admission. It must mediate the service itself, inserting a proxy layer that compensates for what the application cannot do.</w:t>
      </w:r>
    </w:p>
    <w:p>
      <w:pPr>
        <w:pStyle w:val="Heading2"/>
        <w:spacing w:before="240" w:after="80"/>
      </w:pPr>
      <w:r>
        <w:rPr>
          <w:rFonts w:ascii="Arial" w:cs="Arial" w:eastAsia="Arial" w:hAnsi="Arial"/>
          <w:b/>
          <w:bCs/>
          <w:color w:val="2E75B6"/>
          <w:sz w:val="26"/>
          <w:szCs w:val="26"/>
        </w:rPr>
        <w:t xml:space="preserve">2.2 What Zscaler Provides and What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What Zscaler ZPA provides</w:t>
            </w:r>
          </w:p>
        </w:tc>
        <w:tc>
          <w:tcPr>
            <w:tcW w:type="dxa" w:w="4680"/>
            <w:tcBorders>
              <w:top w:val="single" w:color="CCCCCC" w:sz="1"/>
              <w:left w:val="single" w:color="CCCCCC" w:sz="1"/>
              <w:bottom w:val="single" w:color="CCCCCC" w:sz="1"/>
              <w:right w:val="single" w:color="CCCCCC" w:sz="1"/>
            </w:tcBorders>
            <w:shd w:fill="0A5A4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What 3PLZ requires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Session brokerage: user identity + device posture → binary admit/deny decision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Service mediation: per-tenant proxy layer that compensates for what the application cannot 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User-to-application access control — designed for modern SaaS and internal web applications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Per-tenant mTLS termination with CA trust isolated per partner at cryptographic level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Connects the user's session to the application once access is approved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Credential vaulting and transparent injection — internal credentials never exposed to partners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 Connector model assumes applications can receive authenticated connections directly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Per-tenant DNS rewriting — internal addressing concealed, real IPs never returned to partners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Policy enforcement at admission 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Service catalog-driven provisioning — per-partner proxy instances from defined templates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Strong product for the access plane problem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Deterministic lifecycle governance — provisioning and offboarding with zero residual state</w:t>
            </w:r>
          </w:p>
        </w:tc>
      </w:tr>
    </w:tbl>
    <w:p>
      <w:pPr>
        <w:spacing w:before="80" w:after="80"/>
      </w:pPr>
    </w:p>
    <w:p>
      <w:pPr>
        <w:pStyle w:val="Heading2"/>
        <w:spacing w:before="240" w:after="80"/>
      </w:pPr>
      <w:r>
        <w:rPr>
          <w:rFonts w:ascii="Arial" w:cs="Arial" w:eastAsia="Arial" w:hAnsi="Arial"/>
          <w:b/>
          <w:bCs/>
          <w:color w:val="2E75B6"/>
          <w:sz w:val="26"/>
          <w:szCs w:val="26"/>
        </w:rPr>
        <w:t xml:space="preserve">2.3 Why Adding Components Does Not Solve It</w:t>
      </w:r>
    </w:p>
    <w:p>
      <w:pPr>
        <w:spacing w:before="60" w:after="100"/>
      </w:pPr>
      <w:r>
        <w:rPr>
          <w:rFonts w:ascii="Arial" w:cs="Arial" w:eastAsia="Arial" w:hAnsi="Arial"/>
          <w:color w:val="374151"/>
          <w:sz w:val="22"/>
          <w:szCs w:val="22"/>
        </w:rPr>
        <w:t xml:space="preserve">The immediate reaction is to ask whether Zscaler can serve as the access layer with a separate proxy behind it providing service mediation. This was directly evaluated and rejected for a structural reason:</w:t>
      </w:r>
    </w:p>
    <w:p>
      <w:pPr>
        <w:pStyle w:val="ListParagraph"/>
        <w:numPr>
          <w:ilvl w:val="0"/>
          <w:numId w:val="2"/>
        </w:numPr>
        <w:spacing w:before="40" w:after="40"/>
      </w:pPr>
      <w:r>
        <w:rPr>
          <w:rFonts w:ascii="Arial" w:cs="Arial" w:eastAsia="Arial" w:hAnsi="Arial"/>
          <w:b/>
          <w:bCs/>
          <w:color w:val="1F3864"/>
          <w:sz w:val="22"/>
          <w:szCs w:val="22"/>
        </w:rPr>
        <w:t xml:space="preserve">It builds the service plane anyway. </w:t>
      </w:r>
      <w:r>
        <w:rPr>
          <w:rFonts w:ascii="Arial" w:cs="Arial" w:eastAsia="Arial" w:hAnsi="Arial"/>
          <w:color w:val="374151"/>
          <w:sz w:val="22"/>
          <w:szCs w:val="22"/>
        </w:rPr>
        <w:t xml:space="preserve">If an organisation must build and operate a per-tenant mTLS proxy fabric, a credential vault, a DNS rewriting layer, and a lifecycle automation pipeline behind Zscaler, it has built the service plane regardless. Zscaler adds a brokerage layer in front of the platform that was always going to be needed. It does not replace it.</w:t>
      </w:r>
    </w:p>
    <w:p>
      <w:pPr>
        <w:pStyle w:val="ListParagraph"/>
        <w:numPr>
          <w:ilvl w:val="0"/>
          <w:numId w:val="2"/>
        </w:numPr>
        <w:spacing w:before="40" w:after="40"/>
      </w:pPr>
      <w:r>
        <w:rPr>
          <w:rFonts w:ascii="Arial" w:cs="Arial" w:eastAsia="Arial" w:hAnsi="Arial"/>
          <w:b/>
          <w:bCs/>
          <w:color w:val="1F3864"/>
          <w:sz w:val="22"/>
          <w:szCs w:val="22"/>
        </w:rPr>
        <w:t xml:space="preserve">The integration point introduces complexity without value. </w:t>
      </w:r>
      <w:r>
        <w:rPr>
          <w:rFonts w:ascii="Arial" w:cs="Arial" w:eastAsia="Arial" w:hAnsi="Arial"/>
          <w:color w:val="374151"/>
          <w:sz w:val="22"/>
          <w:szCs w:val="22"/>
        </w:rPr>
        <w:t xml:space="preserve">Adding Zscaler admission control in front of a purpose-built service plane creates two enforcement points with overlapping responsibility, two policy stores, two audit logs, and two platforms to maintain. The purpose-built service plane already enforces identity at the mTLS layer — the cryptographic identity of every partner is validated before any application is involved.</w:t>
      </w:r>
    </w:p>
    <w:p>
      <w:pPr>
        <w:pStyle w:val="ListParagraph"/>
        <w:numPr>
          <w:ilvl w:val="0"/>
          <w:numId w:val="2"/>
        </w:numPr>
        <w:spacing w:before="40" w:after="40"/>
      </w:pPr>
      <w:r>
        <w:rPr>
          <w:rFonts w:ascii="Arial" w:cs="Arial" w:eastAsia="Arial" w:hAnsi="Arial"/>
          <w:b/>
          <w:bCs/>
          <w:color w:val="1F3864"/>
          <w:sz w:val="22"/>
          <w:szCs w:val="22"/>
        </w:rPr>
        <w:t xml:space="preserve">Zscaler's own assumptions about applications are violated. </w:t>
      </w:r>
      <w:r>
        <w:rPr>
          <w:rFonts w:ascii="Arial" w:cs="Arial" w:eastAsia="Arial" w:hAnsi="Arial"/>
          <w:color w:val="374151"/>
          <w:sz w:val="22"/>
          <w:szCs w:val="22"/>
        </w:rPr>
        <w:t xml:space="preserve">ZPA is designed for applications that can receive connections from the App Connector and behave appropriately. The 3PLZ substrate cannot. The configuration problem is not at the Zscaler layer — it is in the application. Zscaler does not fix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6E4F0" w:val="clear"/>
            <w:tcMar>
              <w:top w:type="dxa" w:w="160"/>
              <w:left w:type="dxa" w:w="220"/>
              <w:bottom w:type="dxa" w:w="160"/>
              <w:right w:type="dxa" w:w="220"/>
            </w:tcMar>
          </w:tcPr>
          <w:p>
            <w:pPr>
              <w:spacing w:before="0" w:after="0"/>
            </w:pPr>
            <w:r>
              <w:rPr>
                <w:rFonts w:ascii="Arial" w:cs="Arial" w:eastAsia="Arial" w:hAnsi="Arial"/>
                <w:color w:val="374151"/>
                <w:sz w:val="22"/>
                <w:szCs w:val="22"/>
              </w:rPr>
              <w:t xml:space="preserve">This is not a negative assessment of Zscaler as a product. ZPA is a leading solution for the access plane problem. For remote employee access to modern SaaS applications, for SSL VPN replacement, and for user-to-application ZTNA where applications support modern identity — Zscaler is well positioned. The 3PLZ requirement is a different problem. Zscaler was evaluated against that specific problem and does not address it.</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3. Why Cisco Was Disqualified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5A4E" w:sz="8"/>
              <w:left w:val="single" w:color="0A5A4E" w:sz="8"/>
              <w:bottom w:val="single" w:color="0A5A4E" w:sz="8"/>
              <w:right w:val="single" w:color="0A5A4E" w:sz="8"/>
            </w:tcBorders>
            <w:shd w:fill="0A5A4E" w:val="clear"/>
            <w:tcMar>
              <w:top w:type="dxa" w:w="160"/>
              <w:left w:type="dxa" w:w="220"/>
              <w:bottom w:type="dxa" w:w="160"/>
              <w:right w:type="dxa" w:w="220"/>
            </w:tcMar>
          </w:tcPr>
          <w:p>
            <w:pPr>
              <w:spacing w:before="0" w:after="60"/>
            </w:pPr>
            <w:r>
              <w:rPr>
                <w:rFonts w:ascii="Arial" w:cs="Arial" w:eastAsia="Arial" w:hAnsi="Arial"/>
                <w:b/>
                <w:bCs/>
                <w:color w:val="FFFFFF"/>
                <w:sz w:val="22"/>
                <w:szCs w:val="22"/>
              </w:rPr>
              <w:t xml:space="preserve">The core finding</w:t>
            </w:r>
          </w:p>
          <w:p>
            <w:pPr>
              <w:spacing w:before="0" w:after="0"/>
            </w:pPr>
            <w:r>
              <w:rPr>
                <w:rFonts w:ascii="Arial" w:cs="Arial" w:eastAsia="Arial" w:hAnsi="Arial"/>
                <w:color w:val="FFFFFF"/>
                <w:sz w:val="22"/>
                <w:szCs w:val="22"/>
              </w:rPr>
              <w:t xml:space="preserve">Cisco's next-generation platform is a strong, well-engineered solution. The disqualification is not about product quality. It is about paradigm alignment. Cisco's enforcement model is network-centric. The 3PLZ programme requires service-layer mediation. These are different layers with different primitives. A more capable network-centric platform is still a network-centric platform.</w:t>
            </w:r>
          </w:p>
        </w:tc>
      </w:tr>
    </w:tbl>
    <w:p>
      <w:pPr>
        <w:spacing w:before="80" w:after="80"/>
      </w:pPr>
    </w:p>
    <w:p>
      <w:pPr>
        <w:pStyle w:val="Heading2"/>
        <w:spacing w:before="240" w:after="80"/>
      </w:pPr>
      <w:r>
        <w:rPr>
          <w:rFonts w:ascii="Arial" w:cs="Arial" w:eastAsia="Arial" w:hAnsi="Arial"/>
          <w:b/>
          <w:bCs/>
          <w:color w:val="2E75B6"/>
          <w:sz w:val="26"/>
          <w:szCs w:val="26"/>
        </w:rPr>
        <w:t xml:space="preserve">3.1 What Cisco's Next-Generation Platform Delivers</w:t>
      </w:r>
    </w:p>
    <w:p>
      <w:pPr>
        <w:spacing w:before="60" w:after="100"/>
      </w:pPr>
      <w:r>
        <w:rPr>
          <w:rFonts w:ascii="Arial" w:cs="Arial" w:eastAsia="Arial" w:hAnsi="Arial"/>
          <w:color w:val="374151"/>
          <w:sz w:val="22"/>
          <w:szCs w:val="22"/>
        </w:rPr>
        <w:t xml:space="preserve">The evaluation did not find Cisco's platform lacking in the network domain. Cisco Secure Access and its associated stack deliver meaningful, genuine improvements over previous-generation approaches:</w:t>
      </w:r>
    </w:p>
    <w:p>
      <w:pPr>
        <w:pStyle w:val="ListParagraph"/>
        <w:numPr>
          <w:ilvl w:val="0"/>
          <w:numId w:val="2"/>
        </w:numPr>
        <w:spacing w:before="40" w:after="40"/>
      </w:pPr>
      <w:r>
        <w:rPr>
          <w:rFonts w:ascii="Arial" w:cs="Arial" w:eastAsia="Arial" w:hAnsi="Arial"/>
          <w:color w:val="374151"/>
          <w:sz w:val="22"/>
          <w:szCs w:val="22"/>
        </w:rPr>
        <w:t xml:space="preserve">Enforced cryptographic baseline — IKEv2 with AES-256-GCM, SHA-384, and ECDH group 19/20 as mandatory cipher configuration</w:t>
      </w:r>
    </w:p>
    <w:p>
      <w:pPr>
        <w:pStyle w:val="ListParagraph"/>
        <w:numPr>
          <w:ilvl w:val="0"/>
          <w:numId w:val="2"/>
        </w:numPr>
        <w:spacing w:before="40" w:after="40"/>
      </w:pPr>
      <w:r>
        <w:rPr>
          <w:rFonts w:ascii="Arial" w:cs="Arial" w:eastAsia="Arial" w:hAnsi="Arial"/>
          <w:color w:val="374151"/>
          <w:sz w:val="22"/>
          <w:szCs w:val="22"/>
        </w:rPr>
        <w:t xml:space="preserve">Improved per-tenant segmentation through VRF-based routing domains with deterministic blast-radius control</w:t>
      </w:r>
    </w:p>
    <w:p>
      <w:pPr>
        <w:pStyle w:val="ListParagraph"/>
        <w:numPr>
          <w:ilvl w:val="0"/>
          <w:numId w:val="2"/>
        </w:numPr>
        <w:spacing w:before="40" w:after="40"/>
      </w:pPr>
      <w:r>
        <w:rPr>
          <w:rFonts w:ascii="Arial" w:cs="Arial" w:eastAsia="Arial" w:hAnsi="Arial"/>
          <w:color w:val="374151"/>
          <w:sz w:val="22"/>
          <w:szCs w:val="22"/>
        </w:rPr>
        <w:t xml:space="preserve">Better operational visibility — enhanced flow telemetry and centralised policy management</w:t>
      </w:r>
    </w:p>
    <w:p>
      <w:pPr>
        <w:pStyle w:val="ListParagraph"/>
        <w:numPr>
          <w:ilvl w:val="0"/>
          <w:numId w:val="2"/>
        </w:numPr>
        <w:spacing w:before="40" w:after="40"/>
      </w:pPr>
      <w:r>
        <w:rPr>
          <w:rFonts w:ascii="Arial" w:cs="Arial" w:eastAsia="Arial" w:hAnsi="Arial"/>
          <w:color w:val="374151"/>
          <w:sz w:val="22"/>
          <w:szCs w:val="22"/>
        </w:rPr>
        <w:t xml:space="preserve">Cleaner lifecycle tooling for tunnel and security policy management at scale</w:t>
      </w:r>
    </w:p>
    <w:p>
      <w:pPr>
        <w:pStyle w:val="ListParagraph"/>
        <w:numPr>
          <w:ilvl w:val="0"/>
          <w:numId w:val="2"/>
        </w:numPr>
        <w:spacing w:before="40" w:after="40"/>
      </w:pPr>
      <w:r>
        <w:rPr>
          <w:rFonts w:ascii="Arial" w:cs="Arial" w:eastAsia="Arial" w:hAnsi="Arial"/>
          <w:color w:val="374151"/>
          <w:sz w:val="22"/>
          <w:szCs w:val="22"/>
        </w:rPr>
        <w:t xml:space="preserve">Mature enterprise integration with operational patterns that network engineering teams already know</w:t>
      </w:r>
    </w:p>
    <w:p>
      <w:pPr>
        <w:spacing w:before="40" w:after="40"/>
      </w:pPr>
    </w:p>
    <w:p>
      <w:pPr>
        <w:spacing w:before="60" w:after="100"/>
      </w:pPr>
      <w:r>
        <w:rPr>
          <w:rFonts w:ascii="Arial" w:cs="Arial" w:eastAsia="Arial" w:hAnsi="Arial"/>
          <w:color w:val="374151"/>
          <w:sz w:val="22"/>
          <w:szCs w:val="22"/>
        </w:rPr>
        <w:t xml:space="preserve">This is an honest assessment. Cisco would deliver a meaningfully better transport layer than the current ASA estate. In any context where network-centric enforcement is the appropriate model, Cisco's next-generation platform is a strong choice.</w:t>
      </w:r>
    </w:p>
    <w:p>
      <w:pPr>
        <w:pStyle w:val="Heading2"/>
        <w:spacing w:before="240" w:after="80"/>
      </w:pPr>
      <w:r>
        <w:rPr>
          <w:rFonts w:ascii="Arial" w:cs="Arial" w:eastAsia="Arial" w:hAnsi="Arial"/>
          <w:b/>
          <w:bCs/>
          <w:color w:val="2E75B6"/>
          <w:sz w:val="26"/>
          <w:szCs w:val="26"/>
        </w:rPr>
        <w:t xml:space="preserve">3.2 The Paradigm Boundary</w:t>
      </w:r>
    </w:p>
    <w:p>
      <w:pPr>
        <w:spacing w:before="60" w:after="100"/>
      </w:pPr>
      <w:r>
        <w:rPr>
          <w:rFonts w:ascii="Arial" w:cs="Arial" w:eastAsia="Arial" w:hAnsi="Arial"/>
          <w:color w:val="374151"/>
          <w:sz w:val="22"/>
          <w:szCs w:val="22"/>
        </w:rPr>
        <w:t xml:space="preserve">The 3PLZ programme requires three specific capabilities that sit above the network layer. None of them are features Cisco is missing — they are capabilities that require a different architectural primitive: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Network layer (Cisco delivers)</w:t>
            </w:r>
          </w:p>
        </w:tc>
        <w:tc>
          <w:tcPr>
            <w:tcW w:type="dxa" w:w="4680"/>
            <w:tcBorders>
              <w:top w:val="single" w:color="CCCCCC" w:sz="1"/>
              <w:left w:val="single" w:color="CCCCCC" w:sz="1"/>
              <w:bottom w:val="single" w:color="CCCCCC" w:sz="1"/>
              <w:right w:val="single" w:color="CCCCCC" w:sz="1"/>
            </w:tcBorders>
            <w:shd w:fill="3B2F6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Service layer (3PLZ requires)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Controls the path to the application — which networks can route to which destinations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Identity augmentation: per-tenant mTLS termination where the proxy validates partner cryptographic identity before the application is involved at 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IPsec tunnel establishment — who is permitted to form a VPN connection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Security uplift: proxy termination that compensates for missing application-layer controls — broken auth, exposed credentials, protocol weaknesses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Flow telemetry — which tunnel carried traffic, at what volume, at what time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Service-level visibility: per-tenant proxy transaction logs, session attribution, application-layer observability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Cryptographic integrity of the transport channel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Credential vaulting: internal credentials stored in a tenant-scoped vault, injected transparently — partners never see the internal credential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Network segmentation — blast-radius control at the routing layer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Per-tenant DNS rewriting: internal addressing masked from partners, SNAT identity returned instead of real host IPs</w:t>
            </w:r>
          </w:p>
        </w:tc>
      </w:tr>
    </w:tbl>
    <w:p>
      <w:pPr>
        <w:spacing w:before="80" w:after="80"/>
      </w:pPr>
    </w:p>
    <w:p>
      <w:pPr>
        <w:spacing w:before="60" w:after="100"/>
      </w:pPr>
      <w:r>
        <w:rPr>
          <w:rFonts w:ascii="Arial" w:cs="Arial" w:eastAsia="Arial" w:hAnsi="Arial"/>
          <w:sz w:val="22"/>
          <w:szCs w:val="22"/>
        </w:rPr>
        <w:t xml:space="preserve">The critical point is this: </w:t>
      </w:r>
      <w:r>
        <w:rPr>
          <w:rFonts w:ascii="Arial" w:cs="Arial" w:eastAsia="Arial" w:hAnsi="Arial"/>
          <w:b/>
          <w:bCs/>
          <w:color w:val="1F3864"/>
          <w:sz w:val="22"/>
          <w:szCs w:val="22"/>
        </w:rPr>
        <w:t xml:space="preserve">network-centric enforcement controls the path to an application. It does not control how the application behaves when traffic arrives.</w:t>
      </w:r>
      <w:r>
        <w:rPr>
          <w:rFonts w:ascii="Arial" w:cs="Arial" w:eastAsia="Arial" w:hAnsi="Arial"/>
          <w:sz w:val="22"/>
          <w:szCs w:val="22"/>
        </w:rPr>
        <w:t xml:space="preserve"> Legacy applications that cannot perform mTLS, that expose internal credentials, or that lack per-tenant awareness are still exposed to exactly those risks once the network allows traffic through. Cisco enforces the network boundary with precision. It does not fix the application.</w:t>
      </w:r>
    </w:p>
    <w:p>
      <w:pPr>
        <w:pStyle w:val="Heading2"/>
        <w:spacing w:before="240" w:after="80"/>
      </w:pPr>
      <w:r>
        <w:rPr>
          <w:rFonts w:ascii="Arial" w:cs="Arial" w:eastAsia="Arial" w:hAnsi="Arial"/>
          <w:b/>
          <w:bCs/>
          <w:color w:val="2E75B6"/>
          <w:sz w:val="26"/>
          <w:szCs w:val="26"/>
        </w:rPr>
        <w:t xml:space="preserve">3.3 Addressing the Continuity Argument</w:t>
      </w:r>
    </w:p>
    <w:p>
      <w:pPr>
        <w:spacing w:before="60" w:after="100"/>
      </w:pPr>
      <w:r>
        <w:rPr>
          <w:rFonts w:ascii="Arial" w:cs="Arial" w:eastAsia="Arial" w:hAnsi="Arial"/>
          <w:color w:val="374151"/>
          <w:sz w:val="22"/>
          <w:szCs w:val="22"/>
        </w:rPr>
        <w:t xml:space="preserve">The argument for Cisco typically arrives through operational familiarity: the enterprise has deep Cisco expertise, the team knows the model, and deploying Cisco would reduce onboarding friction. This argument is heard and acknowledged.</w:t>
      </w:r>
    </w:p>
    <w:p>
      <w:pPr>
        <w:spacing w:before="60" w:after="100"/>
      </w:pPr>
      <w:r>
        <w:rPr>
          <w:rFonts w:ascii="Arial" w:cs="Arial" w:eastAsia="Arial" w:hAnsi="Arial"/>
          <w:color w:val="374151"/>
          <w:sz w:val="22"/>
          <w:szCs w:val="22"/>
        </w:rPr>
        <w:t xml:space="preserve">It is, however, an argument for the transport layer — which is already confirmed. The PA-5400 handles the transport layer. Cisco operational familiarity is a genuine advantage in the network domain; it is just an advantage for a problem that is already solved. Selecting Cisco for the service plane because the team knows Cisco's network model is equivalent to selecting a hammer for a task because the team is good with hammers. The tool familiarity is real; the tool fit is not.</w:t>
      </w:r>
    </w:p>
    <w:p>
      <w:pPr>
        <w:spacing w:before="60" w:after="100"/>
      </w:pPr>
      <w:r>
        <w:rPr>
          <w:rFonts w:ascii="Arial" w:cs="Arial" w:eastAsia="Arial" w:hAnsi="Arial"/>
          <w:color w:val="374151"/>
          <w:sz w:val="22"/>
          <w:szCs w:val="22"/>
        </w:rPr>
        <w:t xml:space="preserve">Cisco's role in the 3PLZ architecture is not removed by this decision. Cisco infrastructure remains appropriate and present in the campus and data centre network fabric, upstream routing and peering, and site-to-site WAN scenarios. The disqualification is specifically from the service plane selection — the layer where the PA-5400 handles transport and F5 or Cloudflare handles service mediation.</w:t>
      </w:r>
    </w:p>
    <w:p>
      <w:pPr>
        <w:spacing w:before="120" w:after="120"/>
      </w:pPr>
    </w:p>
    <w:p>
      <w:r>
        <w:br w:type="page"/>
      </w:r>
    </w:p>
    <w:p>
      <w:pPr>
        <w:pStyle w:val="Heading1"/>
        <w:spacing w:before="360" w:after="120"/>
      </w:pPr>
      <w:r>
        <w:rPr>
          <w:rFonts w:ascii="Arial" w:cs="Arial" w:eastAsia="Arial" w:hAnsi="Arial"/>
          <w:b/>
          <w:bCs/>
          <w:color w:val="1F3864"/>
          <w:sz w:val="32"/>
          <w:szCs w:val="32"/>
        </w:rPr>
        <w:t xml:space="preserve">4. Why F5 Distributed Cloud and Cloudflare Were Selected for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8"/>
              <w:left w:val="single" w:color="1F3864" w:sz="8"/>
              <w:bottom w:val="single" w:color="1F3864" w:sz="8"/>
              <w:right w:val="single" w:color="1F3864" w:sz="8"/>
            </w:tcBorders>
            <w:shd w:fill="1F3864" w:val="clear"/>
            <w:tcMar>
              <w:top w:type="dxa" w:w="160"/>
              <w:left w:type="dxa" w:w="220"/>
              <w:bottom w:type="dxa" w:w="160"/>
              <w:right w:type="dxa" w:w="220"/>
            </w:tcMar>
          </w:tcPr>
          <w:p>
            <w:pPr>
              <w:spacing w:before="0" w:after="60"/>
            </w:pPr>
            <w:r>
              <w:rPr>
                <w:rFonts w:ascii="Arial" w:cs="Arial" w:eastAsia="Arial" w:hAnsi="Arial"/>
                <w:b/>
                <w:bCs/>
                <w:color w:val="FFFFFF"/>
                <w:sz w:val="22"/>
                <w:szCs w:val="22"/>
              </w:rPr>
              <w:t xml:space="preserve">Selection basis</w:t>
            </w:r>
          </w:p>
          <w:p>
            <w:pPr>
              <w:spacing w:before="0" w:after="0"/>
            </w:pPr>
            <w:r>
              <w:rPr>
                <w:rFonts w:ascii="Arial" w:cs="Arial" w:eastAsia="Arial" w:hAnsi="Arial"/>
                <w:color w:val="FFFFFF"/>
                <w:sz w:val="22"/>
                <w:szCs w:val="22"/>
              </w:rPr>
              <w:t xml:space="preserve">Both F5 Distributed Cloud and Cloudflare were selected for the POC because their architectures operate in the service plane — the correct layer for the 3PLZ requirement. Both can terminate mTLS per-tenant, vault and inject credentials, rewrite DNS, and automate tenant lifecycle. The POC is not about whether these platforms understand the service plane problem. It is about production-grade execution quality, integration depth, and scale.</w:t>
            </w:r>
          </w:p>
        </w:tc>
      </w:tr>
    </w:tbl>
    <w:p>
      <w:pPr>
        <w:spacing w:before="80" w:after="80"/>
      </w:pPr>
    </w:p>
    <w:p>
      <w:pPr>
        <w:pStyle w:val="Heading2"/>
        <w:spacing w:before="240" w:after="80"/>
      </w:pPr>
      <w:r>
        <w:rPr>
          <w:rFonts w:ascii="Arial" w:cs="Arial" w:eastAsia="Arial" w:hAnsi="Arial"/>
          <w:b/>
          <w:bCs/>
          <w:color w:val="2E75B6"/>
          <w:sz w:val="26"/>
          <w:szCs w:val="26"/>
        </w:rPr>
        <w:t xml:space="preserve">4.1 What Both Vendors Must Prove in POC</w:t>
      </w:r>
    </w:p>
    <w:p>
      <w:pPr>
        <w:spacing w:before="60" w:after="100"/>
      </w:pPr>
      <w:r>
        <w:rPr>
          <w:rFonts w:ascii="Arial" w:cs="Arial" w:eastAsia="Arial" w:hAnsi="Arial"/>
          <w:color w:val="374151"/>
          <w:sz w:val="22"/>
          <w:szCs w:val="22"/>
        </w:rPr>
        <w:t xml:space="preserve">The POC is not a vendor demonstration. It is a structured capability proof against a defined functional specification derived from the GW Platform RC3 POC — an operationally validated reference implementation. Both vendors receive identical requirements and identical acceptance criteria. The evaluation is comparative.</w:t>
      </w:r>
    </w:p>
    <w:p>
      <w:pPr>
        <w:spacing w:before="60" w:after="100"/>
      </w:pPr>
      <w:r>
        <w:rPr>
          <w:rFonts w:ascii="Arial" w:cs="Arial" w:eastAsia="Arial" w:hAnsi="Arial"/>
          <w:color w:val="374151"/>
          <w:sz w:val="22"/>
          <w:szCs w:val="22"/>
        </w:rPr>
        <w:t xml:space="preserve">Five capabilities must be demonstrated, each with defined acceptance criteria:</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Ref</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5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Acceptance Criterion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CR-01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Per-Tenant mTLS with CA Isolation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Each tenant must have a cryptographically independent intermediate CA. A certificate issued by Tenant A's CA must be rejected at Tenant B's listener. Shared platform CA with per-tenant policies is not acceptable.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CR-02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SSH Managed Access with Credential Vaulting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Full managed session model — not TCP passthrough. Platform terminates SSH, authenticates the user (TOTP), injects internal credentials transparently from a tenant-scoped vault. Internal credentials must never be exposed in any log, packet, or session record.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CR-03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Per-Tenant DNS Rewriting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Genuinely isolated per-tenant DNS contexts. Each tenant's DNS listener returns the SNAT inbound identity for internal FQDNs — the real internal IP must never be returned. Shared DNS with per-tenant filtering is not acceptable.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CR-04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Tenant Lifecycle Automation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Provisioning and offboarding are fully automated and deterministic. Offboarding must produce zero residual state — a post-offboarding scan must find no platform objects tagged with the decommissioned tenant 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CR-05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Multi-Tenant Isolation at Scale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All five capabilities operate simultaneously across a minimum of five concurrent tenants. Isolation properties are verified across tenant boundaries — not demonstrated per-tenant in isolation.</w:t>
            </w:r>
          </w:p>
        </w:tc>
      </w:tr>
    </w:tbl>
    <w:p>
      <w:pPr>
        <w:spacing w:before="120" w:after="120"/>
      </w:pPr>
    </w:p>
    <w:p>
      <w:pPr>
        <w:pStyle w:val="Heading2"/>
        <w:spacing w:before="240" w:after="80"/>
      </w:pPr>
      <w:r>
        <w:rPr>
          <w:rFonts w:ascii="Arial" w:cs="Arial" w:eastAsia="Arial" w:hAnsi="Arial"/>
          <w:b/>
          <w:bCs/>
          <w:color w:val="2E75B6"/>
          <w:sz w:val="26"/>
          <w:szCs w:val="26"/>
        </w:rPr>
        <w:t xml:space="preserve">4.2 F5 Distributed Cloud — Why It Advances to POC</w:t>
      </w:r>
    </w:p>
    <w:p>
      <w:pPr>
        <w:spacing w:before="60" w:after="100"/>
      </w:pPr>
      <w:r>
        <w:rPr>
          <w:rFonts w:ascii="Arial" w:cs="Arial" w:eastAsia="Arial" w:hAnsi="Arial"/>
          <w:color w:val="374151"/>
          <w:sz w:val="22"/>
          <w:szCs w:val="22"/>
        </w:rPr>
        <w:t xml:space="preserve">F5's architecture is built around application delivery and proxy-layer service mediation. Per-tenant virtual server configurations with independent SSL profiles and CA trust anchors are a native capability, not an extension. The platform has a well-established model for:</w:t>
      </w:r>
    </w:p>
    <w:p>
      <w:pPr>
        <w:pStyle w:val="ListParagraph"/>
        <w:numPr>
          <w:ilvl w:val="0"/>
          <w:numId w:val="2"/>
        </w:numPr>
        <w:spacing w:before="40" w:after="40"/>
      </w:pPr>
      <w:r>
        <w:rPr>
          <w:rFonts w:ascii="Arial" w:cs="Arial" w:eastAsia="Arial" w:hAnsi="Arial"/>
          <w:color w:val="374151"/>
          <w:sz w:val="22"/>
          <w:szCs w:val="22"/>
        </w:rPr>
        <w:t xml:space="preserve">Per-tenant mTLS termination with tenant-scoped intermediate CA chains — each tenant virtual server has an independent SSL profile with its own CA trust store</w:t>
      </w:r>
    </w:p>
    <w:p>
      <w:pPr>
        <w:pStyle w:val="ListParagraph"/>
        <w:numPr>
          <w:ilvl w:val="0"/>
          <w:numId w:val="2"/>
        </w:numPr>
        <w:spacing w:before="40" w:after="40"/>
      </w:pPr>
      <w:r>
        <w:rPr>
          <w:rFonts w:ascii="Arial" w:cs="Arial" w:eastAsia="Arial" w:hAnsi="Arial"/>
          <w:color w:val="374151"/>
          <w:sz w:val="22"/>
          <w:szCs w:val="22"/>
        </w:rPr>
        <w:t xml:space="preserve">Application-layer credential injection — the platform operates in the full session context and can read, modify, and inject application-layer content transparently to both the partner and the backend application</w:t>
      </w:r>
    </w:p>
    <w:p>
      <w:pPr>
        <w:pStyle w:val="ListParagraph"/>
        <w:numPr>
          <w:ilvl w:val="0"/>
          <w:numId w:val="2"/>
        </w:numPr>
        <w:spacing w:before="40" w:after="40"/>
      </w:pPr>
      <w:r>
        <w:rPr>
          <w:rFonts w:ascii="Arial" w:cs="Arial" w:eastAsia="Arial" w:hAnsi="Arial"/>
          <w:color w:val="374151"/>
          <w:sz w:val="22"/>
          <w:szCs w:val="22"/>
        </w:rPr>
        <w:t xml:space="preserve">DNS VIP-per-tenant model — each tenant receives a dedicated DNS listener VIP, avoiding the shared-listener isolation risk</w:t>
      </w:r>
    </w:p>
    <w:p>
      <w:pPr>
        <w:pStyle w:val="ListParagraph"/>
        <w:numPr>
          <w:ilvl w:val="0"/>
          <w:numId w:val="2"/>
        </w:numPr>
        <w:spacing w:before="40" w:after="40"/>
      </w:pPr>
      <w:r>
        <w:rPr>
          <w:rFonts w:ascii="Arial" w:cs="Arial" w:eastAsia="Arial" w:hAnsi="Arial"/>
          <w:color w:val="374151"/>
          <w:sz w:val="22"/>
          <w:szCs w:val="22"/>
        </w:rPr>
        <w:t xml:space="preserve">API-driven configuration management — the platform supports the kind of automation pipeline integration that underpins the tenant lifecycle workflows in the Tenant Onboarding Workbook</w:t>
      </w:r>
    </w:p>
    <w:p>
      <w:pPr>
        <w:spacing w:before="40" w:after="40"/>
      </w:pPr>
    </w:p>
    <w:p>
      <w:pPr>
        <w:spacing w:before="60" w:after="100"/>
      </w:pPr>
      <w:r>
        <w:rPr>
          <w:rFonts w:ascii="Arial" w:cs="Arial" w:eastAsia="Arial" w:hAnsi="Arial"/>
          <w:sz w:val="22"/>
          <w:szCs w:val="22"/>
        </w:rPr>
        <w:t xml:space="preserve">The POC challenge for F5 is </w:t>
      </w:r>
      <w:r>
        <w:rPr>
          <w:rFonts w:ascii="Arial" w:cs="Arial" w:eastAsia="Arial" w:hAnsi="Arial"/>
          <w:b/>
          <w:bCs/>
          <w:color w:val="2E75B6"/>
          <w:sz w:val="22"/>
          <w:szCs w:val="22"/>
        </w:rPr>
        <w:t xml:space="preserve">integration depth and operational simplicity at the service plane boundary.</w:t>
      </w:r>
      <w:r>
        <w:rPr>
          <w:rFonts w:ascii="Arial" w:cs="Arial" w:eastAsia="Arial" w:hAnsi="Arial"/>
          <w:sz w:val="22"/>
          <w:szCs w:val="22"/>
        </w:rPr>
        <w:t xml:space="preserve"> F5's platform is capable; the question is whether the integration required to deliver all five CR capabilities — particularly the credential vault integration and the DNS isolation model — can be implemented cleanly enough to support the self-service delivery target of September 30.</w:t>
      </w:r>
    </w:p>
    <w:p>
      <w:pPr>
        <w:pStyle w:val="Heading2"/>
        <w:spacing w:before="240" w:after="80"/>
      </w:pPr>
      <w:r>
        <w:rPr>
          <w:rFonts w:ascii="Arial" w:cs="Arial" w:eastAsia="Arial" w:hAnsi="Arial"/>
          <w:b/>
          <w:bCs/>
          <w:color w:val="2E75B6"/>
          <w:sz w:val="26"/>
          <w:szCs w:val="26"/>
        </w:rPr>
        <w:t xml:space="preserve">4.3 Cloudflare — Why It Advances to POC, and What It Must Prove</w:t>
      </w:r>
    </w:p>
    <w:p>
      <w:pPr>
        <w:spacing w:before="60" w:after="100"/>
      </w:pPr>
      <w:r>
        <w:rPr>
          <w:rFonts w:ascii="Arial" w:cs="Arial" w:eastAsia="Arial" w:hAnsi="Arial"/>
          <w:color w:val="374151"/>
          <w:sz w:val="22"/>
          <w:szCs w:val="22"/>
        </w:rPr>
        <w:t xml:space="preserve">Cloudflare's strengths are edge network delivery, DNS control plane, and HTTPS inspection at global scale. These strengths are genuinely relevant to the 3PLZ service plane requirements. Cloudflare can deliver DNS rewriting, HTTPS proxy termination, and lifecycle automation with strong API coverage.</w:t>
      </w:r>
    </w:p>
    <w:p>
      <w:pPr>
        <w:spacing w:before="60" w:after="100"/>
      </w:pPr>
      <w:r>
        <w:rPr>
          <w:rFonts w:ascii="Arial" w:cs="Arial" w:eastAsia="Arial" w:hAnsi="Arial"/>
          <w:sz w:val="22"/>
          <w:szCs w:val="22"/>
        </w:rPr>
        <w:t xml:space="preserve">The structural challenge is </w:t>
      </w:r>
      <w:r>
        <w:rPr>
          <w:rFonts w:ascii="Arial" w:cs="Arial" w:eastAsia="Arial" w:hAnsi="Arial"/>
          <w:b/>
          <w:bCs/>
          <w:color w:val="2E75B6"/>
          <w:sz w:val="22"/>
          <w:szCs w:val="22"/>
        </w:rPr>
        <w:t xml:space="preserve">per-tenant mTLS CA isolation.</w:t>
      </w:r>
      <w:r>
        <w:rPr>
          <w:rFonts w:ascii="Arial" w:cs="Arial" w:eastAsia="Arial" w:hAnsi="Arial"/>
          <w:sz w:val="22"/>
          <w:szCs w:val="22"/>
        </w:rPr>
        <w:t xml:space="preserve"> Cloudflare's native mTLS model is designed for single-organisation certificate infrastructure — one CA hierarchy serving the platform. The 3PLZ requirement is that Tenant A's mTLS CA and Tenant B's mTLS CA are cryptographically independent: a certificate from one must be rejected at the other's listener even if both are technically valid certificates. This is not Cloudflare's native model and the POC must demonstrate it can be implemented at the required isolation level, not approximated.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8"/>
              <w:bottom w:val="single" w:color="B45309" w:sz="8"/>
              <w:right w:val="single" w:color="B45309" w:sz="8"/>
            </w:tcBorders>
            <w:shd w:fill="FEF3C7" w:val="clear"/>
            <w:tcMar>
              <w:top w:type="dxa" w:w="160"/>
              <w:left w:type="dxa" w:w="220"/>
              <w:bottom w:type="dxa" w:w="160"/>
              <w:right w:type="dxa" w:w="220"/>
            </w:tcMar>
          </w:tcPr>
          <w:p>
            <w:pPr>
              <w:spacing w:before="0" w:after="0"/>
            </w:pPr>
            <w:r>
              <w:rPr>
                <w:rFonts w:ascii="Arial" w:cs="Arial" w:eastAsia="Arial" w:hAnsi="Arial"/>
                <w:color w:val="374151"/>
                <w:sz w:val="22"/>
                <w:szCs w:val="22"/>
              </w:rPr>
              <w:t xml:space="preserve">Cloudflare proceeds to POC because this is a solvable architectural challenge — not a paradigm boundary. Unlike the Zscaler and Cisco situations, where the gap was between planes of the architecture, the Cloudflare question is about implementation depth within the correct plane. The POC will determine whether Cloudflare's implementation is sufficient. If it is not, the per-tenant CA isolation requirement is a disqualifier.</w:t>
            </w:r>
          </w:p>
        </w:tc>
      </w:tr>
    </w:tbl>
    <w:p>
      <w:pPr>
        <w:spacing w:before="80" w:after="80"/>
      </w:pPr>
    </w:p>
    <w:p>
      <w:pPr>
        <w:pStyle w:val="Heading2"/>
        <w:spacing w:before="240" w:after="80"/>
      </w:pPr>
      <w:r>
        <w:rPr>
          <w:rFonts w:ascii="Arial" w:cs="Arial" w:eastAsia="Arial" w:hAnsi="Arial"/>
          <w:b/>
          <w:bCs/>
          <w:color w:val="2E75B6"/>
          <w:sz w:val="26"/>
          <w:szCs w:val="26"/>
        </w:rPr>
        <w:t xml:space="preserve">4.4 POC Timeline and Structure</w:t>
      </w:r>
    </w:p>
    <w:p>
      <w:pPr>
        <w:spacing w:before="60" w:after="100"/>
      </w:pPr>
      <w:r>
        <w:rPr>
          <w:rFonts w:ascii="Arial" w:cs="Arial" w:eastAsia="Arial" w:hAnsi="Arial"/>
          <w:color w:val="374151"/>
          <w:sz w:val="22"/>
          <w:szCs w:val="22"/>
        </w:rPr>
        <w:t xml:space="preserve">Both vendors are evaluated in parallel using the same requirements and acceptance criteria. All deliverables are due by 30 June 2026. Partial submissions are not accepted — every capability requirement must be met in full before the milestone is considered complete.</w:t>
      </w:r>
    </w:p>
    <w:p>
      <w:pPr>
        <w:spacing w:before="60" w:after="100"/>
      </w:pPr>
      <w:r>
        <w:rPr>
          <w:rFonts w:ascii="Arial" w:cs="Arial" w:eastAsia="Arial" w:hAnsi="Arial"/>
          <w:color w:val="374151"/>
          <w:sz w:val="22"/>
          <w:szCs w:val="22"/>
        </w:rPr>
        <w:t xml:space="preserve">The POC produces two outputs beyond pass/fail evaluation. First, the engineering implementation workflows documented during the POC must be expressed as automatable API sequences — these form the foundation for the self-service portal targeting 30 September 2026. Second, the comparative evaluation provides the data for the final vendor selection decision, which must be made before the September self-service target can be planned with confidence.</w:t>
      </w:r>
    </w:p>
    <w:p>
      <w:pPr>
        <w:spacing w:before="120" w:after="120"/>
      </w:pPr>
    </w:p>
    <w:p>
      <w:r>
        <w:br w:type="page"/>
      </w:r>
    </w:p>
    <w:p>
      <w:pPr>
        <w:pStyle w:val="Heading1"/>
        <w:spacing w:before="360" w:after="120"/>
      </w:pPr>
      <w:r>
        <w:rPr>
          <w:rFonts w:ascii="Arial" w:cs="Arial" w:eastAsia="Arial" w:hAnsi="Arial"/>
          <w:b/>
          <w:bCs/>
          <w:color w:val="1F3864"/>
          <w:sz w:val="32"/>
          <w:szCs w:val="32"/>
        </w:rPr>
        <w:t xml:space="preserve">5. The On-Premises Migration: ASA to PA-5400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744" w:sz="8"/>
              <w:left w:val="single" w:color="0F2744" w:sz="8"/>
              <w:bottom w:val="single" w:color="0F2744" w:sz="8"/>
              <w:right w:val="single" w:color="0F2744" w:sz="8"/>
            </w:tcBorders>
            <w:shd w:fill="0F2744" w:val="clear"/>
            <w:tcMar>
              <w:top w:type="dxa" w:w="160"/>
              <w:left w:type="dxa" w:w="220"/>
              <w:bottom w:type="dxa" w:w="160"/>
              <w:right w:type="dxa" w:w="220"/>
            </w:tcMar>
          </w:tcPr>
          <w:p>
            <w:pPr>
              <w:spacing w:before="0" w:after="60"/>
            </w:pPr>
            <w:r>
              <w:rPr>
                <w:rFonts w:ascii="Arial" w:cs="Arial" w:eastAsia="Arial" w:hAnsi="Arial"/>
                <w:b/>
                <w:bCs/>
                <w:color w:val="FFFFFF"/>
                <w:sz w:val="22"/>
                <w:szCs w:val="22"/>
              </w:rPr>
              <w:t xml:space="preserve">Why this work is required</w:t>
            </w:r>
          </w:p>
          <w:p>
            <w:pPr>
              <w:spacing w:before="0" w:after="0"/>
            </w:pPr>
            <w:r>
              <w:rPr>
                <w:rFonts w:ascii="Arial" w:cs="Arial" w:eastAsia="Arial" w:hAnsi="Arial"/>
                <w:color w:val="FFFFFF"/>
                <w:sz w:val="22"/>
                <w:szCs w:val="22"/>
              </w:rPr>
              <w:t xml:space="preserve">The 3PLZ programme's service plane selection (F5 or Cloudflare) governs how partner traffic is mediated once it arrives. Before it arrives, it must travel over an encrypted transport channel. That transport channel currently runs on a Cisco ASA 5585-SSP-40 that is 10+ years into its operational life, carries 231 active partner connections, and has a configuration that includes cryptographically broken tunnels, a deprecated protocol majority, and no automation-compatible identity model. The ASA is not the service plane problem — but it is a risk problem that exists today, independent of the POC outcome.</w:t>
            </w:r>
          </w:p>
        </w:tc>
      </w:tr>
    </w:tbl>
    <w:p>
      <w:pPr>
        <w:spacing w:before="80" w:after="80"/>
      </w:pPr>
    </w:p>
    <w:p>
      <w:pPr>
        <w:pStyle w:val="Heading2"/>
        <w:spacing w:before="240" w:after="80"/>
      </w:pPr>
      <w:r>
        <w:rPr>
          <w:rFonts w:ascii="Arial" w:cs="Arial" w:eastAsia="Arial" w:hAnsi="Arial"/>
          <w:b/>
          <w:bCs/>
          <w:color w:val="2E75B6"/>
          <w:sz w:val="26"/>
          <w:szCs w:val="26"/>
        </w:rPr>
        <w:t xml:space="preserve">5.1 The State of the Current Estate</w:t>
      </w:r>
    </w:p>
    <w:p>
      <w:pPr>
        <w:spacing w:before="60" w:after="100"/>
      </w:pPr>
      <w:r>
        <w:rPr>
          <w:rFonts w:ascii="Arial" w:cs="Arial" w:eastAsia="Arial" w:hAnsi="Arial"/>
          <w:color w:val="374151"/>
          <w:sz w:val="22"/>
          <w:szCs w:val="22"/>
        </w:rPr>
        <w:t xml:space="preserve">A full configuration analysis of PAZSHDC-SEC-EXT-VPN-01 was performed against the active running configuration. The findings are not theoretical — every number below is derived from the device's running config.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tcW w:type="dxa" w:w="144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Scale</w:t>
            </w:r>
          </w:p>
        </w:tc>
        <w:tc>
          <w:tcPr>
            <w:tcW w:type="dxa" w:w="472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00000"/>
                <w:sz w:val="20"/>
                <w:szCs w:val="20"/>
              </w:rPr>
              <w:t xml:space="preserve">DES or 3DES-MD5 encryption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31 tunnels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C00000"/>
                <w:sz w:val="20"/>
                <w:szCs w:val="20"/>
              </w:rPr>
              <w:t xml:space="preserve">CRITICAL — DES is cryptographically broken. 3DES-MD5 is vulnerable to SWEET32 birthday attacks. These tunnels provide negligible confidentiality.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IKEv1 protocol (deprecated RFC 9395)</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158 tunnels (77%)</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i w:val="false"/>
                <w:iCs w:val="false"/>
                <w:color w:val="C55A11"/>
                <w:sz w:val="20"/>
                <w:szCs w:val="20"/>
              </w:rPr>
              <w:t xml:space="preserve">HIGH — IKEv1 has no path to modern DH groups, ECDH, or certificate-based authentication without full re-keying. All 158 require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DH group 2 permitted in active IKE policies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Multiple policies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HIGH — 1024-bit MODP. NIST prohibited DH-1024 for key exchange in 2015 (SP 800-131A). Any partner can negotiate to this group.</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26 IKE policies simultaneously active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Entire estate</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HIGH — No enforced minimum standard. Partners negotiate to the weakest available policy. The estate includes an active DES policy and a production proposal named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Peer-IP tunnel identity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229 of 231</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HIGH — Every partner IP change requires manual ASA reconfiguration. No stable enterprise-assigned identity. Automation is structurally blocked.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Universal pre-shared key authentication</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340 PSK references</w:t>
            </w:r>
          </w:p>
        </w:tc>
        <w:tc>
          <w:tcPr>
            <w:tcW w:type="dxa" w:w="4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HIGH — No certificate-based IKE authentication anywhere in the estate. No revocation mechanism. No evidence of key rotation discipline.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C55A11"/>
                <w:sz w:val="20"/>
                <w:szCs w:val="20"/>
              </w:rPr>
              <w:t xml:space="preserve">Flat NAT — no per-partner SNAT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12 rules / 231 tunnels</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HIGH — Partners can observe internal addressing. Internal applications see real partner source IPs. No service abstraction layer.</w:t>
            </w:r>
          </w:p>
        </w:tc>
      </w:tr>
    </w:tbl>
    <w:p>
      <w:pPr>
        <w:spacing w:before="80" w:after="80"/>
      </w:pPr>
    </w:p>
    <w:p>
      <w:pPr>
        <w:pStyle w:val="Heading2"/>
        <w:spacing w:before="240" w:after="80"/>
      </w:pPr>
      <w:r>
        <w:rPr>
          <w:rFonts w:ascii="Arial" w:cs="Arial" w:eastAsia="Arial" w:hAnsi="Arial"/>
          <w:b/>
          <w:bCs/>
          <w:color w:val="2E75B6"/>
          <w:sz w:val="26"/>
          <w:szCs w:val="26"/>
        </w:rPr>
        <w:t xml:space="preserve">5.2 Why the PA-5400 Is the Right Replacement</w:t>
      </w:r>
    </w:p>
    <w:p>
      <w:pPr>
        <w:spacing w:before="60" w:after="100"/>
      </w:pPr>
      <w:r>
        <w:rPr>
          <w:rFonts w:ascii="Arial" w:cs="Arial" w:eastAsia="Arial" w:hAnsi="Arial"/>
          <w:color w:val="374151"/>
          <w:sz w:val="22"/>
          <w:szCs w:val="22"/>
        </w:rPr>
        <w:t xml:space="preserve">The PA-5400 was not selected to replace the ASA because it is a newer Cisco equivalent. It was selected because its architecture directly resolves the structural problems identified above — and because it is designed to serve as the transport platform for the 3PLZ service plane, not just another VPN concentrator.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000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ASA: What needs to change</w:t>
            </w:r>
          </w:p>
        </w:tc>
        <w:tc>
          <w:tcPr>
            <w:tcW w:type="dxa" w:w="4680"/>
            <w:tcBorders>
              <w:top w:val="single" w:color="CCCCCC" w:sz="1"/>
              <w:left w:val="single" w:color="CCCCCC" w:sz="1"/>
              <w:bottom w:val="single" w:color="CCCCCC" w:sz="1"/>
              <w:right w:val="single" w:color="CCCCCC" w:sz="1"/>
            </w:tcBorders>
            <w:shd w:fill="1D5C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PA-5400: How it changes it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Peer-IP tunnel identity — unstable, automation-blocking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Loopback-anchored IKE identity — per-tenant /32 loopback, stable across partner IP changes and HA failover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26-policy IKE negotiation stack — any partner can negotiate to 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Single enforced IKE profile per tenant — AES-256-GCM + SHA-384 + ECDH group 20, rendered by pipeline, no manual variants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Pre-shared keys with no revocation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PSKs generated by HashiCorp Vault at psk/{tenant_id} — unique per tenant, rotatable and revocable independently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12 NAT rules for 231 tunnels — no per-partner identity masking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Per-tenant bidirectional SNAT — inbound and outbound /32 identities, neither party sees the other's real addressing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Manual configuration — 1,449 crypto map lines, no automation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74151"/>
                <w:sz w:val="20"/>
                <w:szCs w:val="20"/>
              </w:rPr>
              <w:t xml:space="preserve">Automation pipeline is the sole configuration path — the firewall is a rendering target, never modified directly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Peer-IP log correlation — per-tenant forensics require manual IP mapping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Every log event carries tenant_id, zone name (tz-{TID}-ipsec), SNAT identity, and rule name — three attribution paths with no enrichment</w:t>
            </w:r>
          </w:p>
        </w:tc>
      </w:tr>
    </w:tbl>
    <w:p>
      <w:pPr>
        <w:spacing w:before="80" w:after="80"/>
      </w:pPr>
    </w:p>
    <w:p>
      <w:pPr>
        <w:pStyle w:val="Heading2"/>
        <w:spacing w:before="240" w:after="80"/>
      </w:pPr>
      <w:r>
        <w:rPr>
          <w:rFonts w:ascii="Arial" w:cs="Arial" w:eastAsia="Arial" w:hAnsi="Arial"/>
          <w:b/>
          <w:bCs/>
          <w:color w:val="2E75B6"/>
          <w:sz w:val="26"/>
          <w:szCs w:val="26"/>
        </w:rPr>
        <w:t xml:space="preserve">5.3 The Migration Is Not Optional, and Not Small</w:t>
      </w:r>
    </w:p>
    <w:p>
      <w:pPr>
        <w:spacing w:before="60" w:after="100"/>
      </w:pPr>
      <w:r>
        <w:rPr>
          <w:rFonts w:ascii="Arial" w:cs="Arial" w:eastAsia="Arial" w:hAnsi="Arial"/>
          <w:color w:val="374151"/>
          <w:sz w:val="22"/>
          <w:szCs w:val="22"/>
        </w:rPr>
        <w:t xml:space="preserve">The ASA migration is frequently framed as an operational task. It is not. The 31 DES/3DES-MD5 tunnels represent active cryptographic risk today. The 158 IKEv1 tunnels represent regulatory exposure. The peer-IP identity model means the estate cannot be governed by any modern automation approach — including the 3PLZ provisioning pipeline — until the ASA is replaced.</w:t>
      </w:r>
    </w:p>
    <w:p>
      <w:pPr>
        <w:spacing w:before="60" w:after="100"/>
      </w:pPr>
      <w:r>
        <w:rPr>
          <w:rFonts w:ascii="Arial" w:cs="Arial" w:eastAsia="Arial" w:hAnsi="Arial"/>
          <w:color w:val="374151"/>
          <w:sz w:val="22"/>
          <w:szCs w:val="22"/>
        </w:rPr>
        <w:t xml:space="preserve">The scale of the migration is significant and needs to be stated clearly:</w:t>
      </w:r>
    </w:p>
    <w:p>
      <w:pPr>
        <w:pStyle w:val="ListParagraph"/>
        <w:numPr>
          <w:ilvl w:val="0"/>
          <w:numId w:val="2"/>
        </w:numPr>
        <w:spacing w:before="40" w:after="40"/>
      </w:pPr>
      <w:r>
        <w:rPr>
          <w:rFonts w:ascii="Arial" w:cs="Arial" w:eastAsia="Arial" w:hAnsi="Arial"/>
          <w:b/>
          <w:bCs/>
          <w:color w:val="1F3864"/>
          <w:sz w:val="22"/>
          <w:szCs w:val="22"/>
        </w:rPr>
        <w:t xml:space="preserve">231 individual partner migrations. </w:t>
      </w:r>
      <w:r>
        <w:rPr>
          <w:rFonts w:ascii="Arial" w:cs="Arial" w:eastAsia="Arial" w:hAnsi="Arial"/>
          <w:color w:val="374151"/>
          <w:sz w:val="22"/>
          <w:szCs w:val="22"/>
        </w:rPr>
        <w:t xml:space="preserve">Each is a separate technical event. No configuration element can be automatically ported from the ASA to the PA-5400 — the architectural models are fundamentally different. Every tunnel must be individually qualified, re-engineered to the PA-5400 standard, tested in parallel, and cut over with the partner's participation.</w:t>
      </w:r>
    </w:p>
    <w:p>
      <w:pPr>
        <w:pStyle w:val="ListParagraph"/>
        <w:numPr>
          <w:ilvl w:val="0"/>
          <w:numId w:val="2"/>
        </w:numPr>
        <w:spacing w:before="40" w:after="40"/>
      </w:pPr>
      <w:r>
        <w:rPr>
          <w:rFonts w:ascii="Arial" w:cs="Arial" w:eastAsia="Arial" w:hAnsi="Arial"/>
          <w:b/>
          <w:bCs/>
          <w:color w:val="1F3864"/>
          <w:sz w:val="22"/>
          <w:szCs w:val="22"/>
        </w:rPr>
        <w:t xml:space="preserve">158 partners require IKEv2 protocol upgrades. </w:t>
      </w:r>
      <w:r>
        <w:rPr>
          <w:rFonts w:ascii="Arial" w:cs="Arial" w:eastAsia="Arial" w:hAnsi="Arial"/>
          <w:color w:val="374151"/>
          <w:sz w:val="22"/>
          <w:szCs w:val="22"/>
        </w:rPr>
        <w:t xml:space="preserve">These partners must upgrade their own gateway equipment. CVS Health cannot do this for them. Partner responsiveness is the primary scheduling risk in the migration — not engineering capacity.</w:t>
      </w:r>
    </w:p>
    <w:p>
      <w:pPr>
        <w:pStyle w:val="ListParagraph"/>
        <w:numPr>
          <w:ilvl w:val="0"/>
          <w:numId w:val="2"/>
        </w:numPr>
        <w:spacing w:before="40" w:after="40"/>
      </w:pPr>
      <w:r>
        <w:rPr>
          <w:rFonts w:ascii="Arial" w:cs="Arial" w:eastAsia="Arial" w:hAnsi="Arial"/>
          <w:b/>
          <w:bCs/>
          <w:color w:val="1F3864"/>
          <w:sz w:val="22"/>
          <w:szCs w:val="22"/>
        </w:rPr>
        <w:t xml:space="preserve">31 partners require cipher upgrades immediately. </w:t>
      </w:r>
      <w:r>
        <w:rPr>
          <w:rFonts w:ascii="Arial" w:cs="Arial" w:eastAsia="Arial" w:hAnsi="Arial"/>
          <w:color w:val="374151"/>
          <w:sz w:val="22"/>
          <w:szCs w:val="22"/>
        </w:rPr>
        <w:t xml:space="preserve">The DES and 3DES-MD5 tunnel partners must upgrade before migration. For these partners, the migration is also a security remediation event.</w:t>
      </w:r>
    </w:p>
    <w:p>
      <w:pPr>
        <w:pStyle w:val="ListParagraph"/>
        <w:numPr>
          <w:ilvl w:val="0"/>
          <w:numId w:val="2"/>
        </w:numPr>
        <w:spacing w:before="40" w:after="40"/>
      </w:pPr>
      <w:r>
        <w:rPr>
          <w:rFonts w:ascii="Arial" w:cs="Arial" w:eastAsia="Arial" w:hAnsi="Arial"/>
          <w:b/>
          <w:bCs/>
          <w:color w:val="1F3864"/>
          <w:sz w:val="22"/>
          <w:szCs w:val="22"/>
        </w:rPr>
        <w:t xml:space="preserve">A mandatory 72-hour parallel operation period per tunnel. </w:t>
      </w:r>
      <w:r>
        <w:rPr>
          <w:rFonts w:ascii="Arial" w:cs="Arial" w:eastAsia="Arial" w:hAnsi="Arial"/>
          <w:color w:val="374151"/>
          <w:sz w:val="22"/>
          <w:szCs w:val="22"/>
        </w:rPr>
        <w:t xml:space="preserve">No ASA configuration is removed until the new PA-5400 tunnel has been running in parallel for 72 hours and the partner has confirmed all services are operating correctly. This is not a preference — it is a technical requirement.</w:t>
      </w:r>
    </w:p>
    <w:p>
      <w:pPr>
        <w:spacing w:before="80" w:after="80"/>
      </w:pPr>
    </w:p>
    <w:p>
      <w:pPr>
        <w:pStyle w:val="Heading2"/>
        <w:spacing w:before="240" w:after="80"/>
      </w:pPr>
      <w:r>
        <w:rPr>
          <w:rFonts w:ascii="Arial" w:cs="Arial" w:eastAsia="Arial" w:hAnsi="Arial"/>
          <w:b/>
          <w:bCs/>
          <w:color w:val="2E75B6"/>
          <w:sz w:val="26"/>
          <w:szCs w:val="26"/>
        </w:rPr>
        <w:t xml:space="preserve">5.4 The Migration Requires Confirmed Resourcing</w:t>
      </w:r>
    </w:p>
    <w:p>
      <w:pPr>
        <w:spacing w:before="60" w:after="100"/>
      </w:pPr>
      <w:r>
        <w:rPr>
          <w:rFonts w:ascii="Arial" w:cs="Arial" w:eastAsia="Arial" w:hAnsi="Arial"/>
          <w:sz w:val="22"/>
          <w:szCs w:val="22"/>
        </w:rPr>
        <w:t xml:space="preserve">The programme plan for the migration is </w:t>
      </w:r>
      <w:r>
        <w:rPr>
          <w:rFonts w:ascii="Arial" w:cs="Arial" w:eastAsia="Arial" w:hAnsi="Arial"/>
          <w:b/>
          <w:bCs/>
          <w:color w:val="B45309"/>
          <w:sz w:val="22"/>
          <w:szCs w:val="22"/>
        </w:rPr>
        <w:t xml:space="preserve">illustrative until resourcing is confirmed.</w:t>
      </w:r>
      <w:r>
        <w:rPr>
          <w:rFonts w:ascii="Arial" w:cs="Arial" w:eastAsia="Arial" w:hAnsi="Arial"/>
          <w:sz w:val="22"/>
          <w:szCs w:val="22"/>
        </w:rPr>
        <w:t xml:space="preserve"> A full phased plan exists and has been reviewed. The timetables in that plan are based on resource assumptions that have not yet been confirmed — specifically: the number of provisioning engineers dedicated to migration execution, the status of the PA-5400 hardware procurement, and the readiness of the supporting infrastructure (Vault, IPAM, Panorama, SIEM integration).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Resourcing Variable</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Model Assumption</w:t>
            </w:r>
          </w:p>
        </w:tc>
        <w:tc>
          <w:tcPr>
            <w:tcW w:type="dxa" w:w="4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Programme Impact if Not Met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Dedicated provisioning engineers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3 FTE at high availability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3-engineer model achieves ~28–36 weeks. 2 engineers extends to ~38–50 weeks. 1 engineer is not viable for the programme timeline.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PA-5400 hardware on order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Already procured or ordered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Hardware procurement is 8–20 weeks. Every week of delay pushes the entire programme — platform build cannot begin until hardware is racked.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HashiCorp Vault deployed and accessible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Pre-existing or parallel deployment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No PSK can be generated. No migration can complete Phase 2 without Vault. Hard blocker.</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Automation pipeline built and tested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6 weeks engineering effort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Pipeline development is serial with migration execution if the same engineers are responsible for both.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SIEM integration validated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Part of platform build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No production cutover can proceed until PA-5400 log events with tenant_id are visible and verified in SIEM. Hard gate.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Partner contacts confirmed for all 231 tunnels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P2 discovery exercise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229 of 231 tunnel groups are identified only by peer IP. Partners with unknown or stale contacts add 2–4 weeks of engagement delay each.</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6. How the Two Workstreams Fit Together</w:t>
      </w:r>
    </w:p>
    <w:p>
      <w:pPr>
        <w:spacing w:before="60" w:after="100"/>
      </w:pPr>
      <w:r>
        <w:rPr>
          <w:rFonts w:ascii="Arial" w:cs="Arial" w:eastAsia="Arial" w:hAnsi="Arial"/>
          <w:color w:val="374151"/>
          <w:sz w:val="22"/>
          <w:szCs w:val="22"/>
        </w:rPr>
        <w:t xml:space="preserve">The service plane vendor selection (POC) and the transport layer migration (ASA → PA-5400) are related but independent workstreams. They share a common output — the live 3PLZ platform — but they do not have a hard sequential dependency. The transport migration can and should begin as soon as the PA-5400 platform build is complete, regardless of POC outcome. The service plane selection must be complete before the September 30 self-service delivery target can be planned.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3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Service Plane POC (F5 / Cloudflare)</w:t>
            </w:r>
          </w:p>
        </w:tc>
        <w:tc>
          <w:tcPr>
            <w:tcW w:type="dxa" w:w="3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Transport Migration (ASA → PA-5400)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Select the platform that will mediate partner service connections — mTLS, credential vaulting, DNS, lifecycle governance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Replace the current ASA estate with a governed, automated, cryptographically sound transport layer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Primary risk</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Vendor capability proof — can either vendor deliver CR-01 through CR-05 at production quality?</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Partner engagement — 158 IKEv2 upgrades, 31 cipher upgrades, 229 contact confirmations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Blocking dependency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None — POC can run immediately with both vendors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PA-5400 hardware, Vault, IPAM, pipeline, SIEM integration all required before first migration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Key date</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POC deliverables: 30 June 2026. Vendor selection must follow promptly to enable September 30 portal planning.</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Illustrative start: concurrent with platform build. Illustrative completion: 28–36 weeks from P1 start, resource-dependent.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Output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Selected service plane vendor + engineering API specifications for self-service portal development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231 partner connections migrated to PA-5400. ASA decommissioned. 31 critical-risk tunnels remediated.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Dependency on each other</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Service plane selection does not depend on ASA migration status — but the production platform will sit on top of the PA-5400 transport layer</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PA-5400 migration does not require the service plane vendor to be selected — transport layer migration proceeds independently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8"/>
              <w:left w:val="single" w:color="B45309" w:sz="8"/>
              <w:bottom w:val="single" w:color="B45309" w:sz="8"/>
              <w:right w:val="single" w:color="B45309" w:sz="8"/>
            </w:tcBorders>
            <w:shd w:fill="FEF3C7" w:val="clear"/>
            <w:tcMar>
              <w:top w:type="dxa" w:w="160"/>
              <w:left w:type="dxa" w:w="220"/>
              <w:bottom w:type="dxa" w:w="160"/>
              <w:right w:type="dxa" w:w="220"/>
            </w:tcMar>
          </w:tcPr>
          <w:p>
            <w:pPr>
              <w:spacing w:before="0" w:after="60"/>
            </w:pPr>
            <w:r>
              <w:rPr>
                <w:rFonts w:ascii="Arial" w:cs="Arial" w:eastAsia="Arial" w:hAnsi="Arial"/>
                <w:b/>
                <w:bCs/>
                <w:color w:val="B45309"/>
                <w:sz w:val="22"/>
                <w:szCs w:val="22"/>
              </w:rPr>
              <w:t xml:space="preserve">The critical path</w:t>
            </w:r>
          </w:p>
          <w:p>
            <w:pPr>
              <w:spacing w:before="0" w:after="0"/>
            </w:pPr>
            <w:r>
              <w:rPr>
                <w:rFonts w:ascii="Arial" w:cs="Arial" w:eastAsia="Arial" w:hAnsi="Arial"/>
                <w:color w:val="374151"/>
                <w:sz w:val="22"/>
                <w:szCs w:val="22"/>
              </w:rPr>
              <w:t xml:space="preserve">The September 30 self-service delivery target depends on the POC vendor selection being made promptly after June 30. If vendor selection slips to August or September, the portal development timeline compresses to a point where September 30 is not achievable. The POC must complete on time and the selection decision must follow without delay.</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7. Decisions Required from the Steering Committee</w:t>
      </w:r>
    </w:p>
    <w:p>
      <w:pPr>
        <w:spacing w:before="60" w:after="100"/>
      </w:pPr>
      <w:r>
        <w:rPr>
          <w:rFonts w:ascii="Arial" w:cs="Arial" w:eastAsia="Arial" w:hAnsi="Arial"/>
          <w:color w:val="374151"/>
          <w:sz w:val="22"/>
          <w:szCs w:val="22"/>
        </w:rPr>
        <w:t xml:space="preserve">The following decisions are needed to move both workstreams from planning to execution. Items 1 through 3 affect the POC timeline. Items 4 through 7 affect the migration timeline. None of these are technical decisions — they are resource, procurement, and governance decisions that require steering committee confirmation.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160"/>
        <w:gridCol w:w="260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Decision Required</w:t>
            </w:r>
          </w:p>
        </w:tc>
        <w:tc>
          <w:tcPr>
            <w:tcW w:type="dxa" w:w="2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Workstream</w:t>
            </w:r>
          </w:p>
        </w:tc>
        <w:tc>
          <w:tcPr>
            <w:tcW w:type="dxa" w:w="26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If Not Confirmed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Confirm CVS Health's two designated engineers for POC milestone reviews and acceptance testing (per POC environment requirements, both vendors need CVS participation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Service Plane POC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POC evaluation cannot be scheduled. Vendor timelines will slip. June 30 at risk.</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Confirm the vendor selection process and decision authority after POC completion. Who makes the selection decision, by what date, and against what criteria beyond the CR-01–CR-05 pass/fail?</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Service Plane POC</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Selection decision delays. September 30 self-service target at 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Approve the self-service delivery programme for September 30. The POC generates the API specifications and engineering workflows — the portal development must begin immediately after POC completion. Who owns it, what is the team, and is September 30 a confirmed commitment or a target?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Service Plane POC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September 30 remains an aspiration rather than a plan.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Confirm dedicated provisioning engineer headcount for ASA migration execution. How many engineers, at what availability, and are they backfilled from existing headcount or new hires?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ASA Migration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Throughput model cannot be confirmed. Migration timeline remains illustrative.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Confirm PA-5400 hardware procurement status. Is hardware already on order? If not, procurement must begin immediately — 8–20 week lead times.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ASA Migration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Platform build cannot start. Every week of delay pushes the entire migration timeline.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Confirm policy for IKEv1-only partners who cannot be upgraded. Are they required to upgrade as a condition of continued connectivity, or is the ASA retained permanently as an IKEv1 tail? Business relationship team must be prepared to issue formal notices.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ASA Migration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Scope of migration is undefined. ASA decommission may not be achievable.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Assign a programme coordinator for the 231-tunnel discovery and partner engagement exercise. This is high-volume coordination work that should not consume senior engineer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ASA Migration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i w:val="function italics() { [native code] }"/>
                <w:iCs w:val="function italics() { [native code] }"/>
                <w:color w:val="374151"/>
                <w:sz w:val="20"/>
                <w:szCs w:val="20"/>
              </w:rPr>
              <w:t xml:space="preserve">Senior engineers absorb coordination overhead. Throughput drops ~30% against model.</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8. Summary</w:t>
      </w:r>
    </w:p>
    <w:p>
      <w:pPr>
        <w:pStyle w:val="Heading2"/>
        <w:spacing w:before="240" w:after="80"/>
      </w:pPr>
      <w:r>
        <w:rPr>
          <w:rFonts w:ascii="Arial" w:cs="Arial" w:eastAsia="Arial" w:hAnsi="Arial"/>
          <w:b/>
          <w:bCs/>
          <w:color w:val="2E75B6"/>
          <w:sz w:val="26"/>
          <w:szCs w:val="26"/>
        </w:rPr>
        <w:t xml:space="preserve">8.1 The Logic of the Vendor Decisions</w:t>
      </w:r>
    </w:p>
    <w:p>
      <w:pPr>
        <w:spacing w:before="60" w:after="100"/>
      </w:pPr>
      <w:r>
        <w:rPr>
          <w:rFonts w:ascii="Arial" w:cs="Arial" w:eastAsia="Arial" w:hAnsi="Arial"/>
          <w:sz w:val="22"/>
          <w:szCs w:val="22"/>
        </w:rPr>
        <w:t xml:space="preserve">Zscaler and Cisco were disqualified for the same fundamental reason, expressed differently: </w:t>
      </w:r>
      <w:r>
        <w:rPr>
          <w:rFonts w:ascii="Arial" w:cs="Arial" w:eastAsia="Arial" w:hAnsi="Arial"/>
          <w:b/>
          <w:bCs/>
          <w:color w:val="1F3864"/>
          <w:sz w:val="22"/>
          <w:szCs w:val="22"/>
        </w:rPr>
        <w:t xml:space="preserve">neither operates in the service plane.</w:t>
      </w:r>
      <w:r>
        <w:rPr>
          <w:rFonts w:ascii="Arial" w:cs="Arial" w:eastAsia="Arial" w:hAnsi="Arial"/>
          <w:sz w:val="22"/>
          <w:szCs w:val="22"/>
        </w:rPr>
        <w:t xml:space="preserve"> Zscaler is an access plane broker — it solves the admission control problem with precision, but the 3PLZ substrate requires service mediation, not admission control. Cisco is a network-centric platform — it solves the transport and segmentation problem with precision, but the 3PLZ substrate requires a proxy layer above the network that compensates for what legacy applications cannot do themselves. Both platforms are well-suited for other problems. Neither addresses this one.</w:t>
      </w:r>
    </w:p>
    <w:p>
      <w:pPr>
        <w:spacing w:before="40" w:after="40"/>
      </w:pPr>
    </w:p>
    <w:p>
      <w:pPr>
        <w:spacing w:before="60" w:after="100"/>
      </w:pPr>
      <w:r>
        <w:rPr>
          <w:rFonts w:ascii="Arial" w:cs="Arial" w:eastAsia="Arial" w:hAnsi="Arial"/>
          <w:sz w:val="22"/>
          <w:szCs w:val="22"/>
        </w:rPr>
        <w:t xml:space="preserve">F5 Distributed Cloud and Cloudflare both operate in the service plane — the correct layer. The POC is not about whether they understand the problem. It is about </w:t>
      </w:r>
      <w:r>
        <w:rPr>
          <w:rFonts w:ascii="Arial" w:cs="Arial" w:eastAsia="Arial" w:hAnsi="Arial"/>
          <w:b/>
          <w:bCs/>
          <w:color w:val="1F3864"/>
          <w:sz w:val="22"/>
          <w:szCs w:val="22"/>
        </w:rPr>
        <w:t xml:space="preserve">production-grade execution quality.</w:t>
      </w:r>
      <w:r>
        <w:rPr>
          <w:rFonts w:ascii="Arial" w:cs="Arial" w:eastAsia="Arial" w:hAnsi="Arial"/>
          <w:sz w:val="22"/>
          <w:szCs w:val="22"/>
        </w:rPr>
        <w:t xml:space="preserve"> F5's challenge is integration depth and operational simplicity. Cloudflare's challenge is per-tenant CA isolation at the mTLS layer, which is not its native model. Both challenges are solvable. The POC will determine which vendor solves them better.</w:t>
      </w:r>
    </w:p>
    <w:p>
      <w:pPr>
        <w:spacing w:before="80" w:after="80"/>
      </w:pPr>
    </w:p>
    <w:p>
      <w:pPr>
        <w:pStyle w:val="Heading2"/>
        <w:spacing w:before="240" w:after="80"/>
      </w:pPr>
      <w:r>
        <w:rPr>
          <w:rFonts w:ascii="Arial" w:cs="Arial" w:eastAsia="Arial" w:hAnsi="Arial"/>
          <w:b/>
          <w:bCs/>
          <w:color w:val="2E75B6"/>
          <w:sz w:val="26"/>
          <w:szCs w:val="26"/>
        </w:rPr>
        <w:t xml:space="preserve">8.2 The Logic of the Migration</w:t>
      </w:r>
    </w:p>
    <w:p>
      <w:pPr>
        <w:spacing w:before="60" w:after="100"/>
      </w:pPr>
      <w:r>
        <w:rPr>
          <w:rFonts w:ascii="Arial" w:cs="Arial" w:eastAsia="Arial" w:hAnsi="Arial"/>
          <w:sz w:val="22"/>
          <w:szCs w:val="22"/>
        </w:rPr>
        <w:t xml:space="preserve">The ASA migration is </w:t>
      </w:r>
      <w:r>
        <w:rPr>
          <w:rFonts w:ascii="Arial" w:cs="Arial" w:eastAsia="Arial" w:hAnsi="Arial"/>
          <w:b/>
          <w:bCs/>
          <w:color w:val="C00000"/>
          <w:sz w:val="22"/>
          <w:szCs w:val="22"/>
        </w:rPr>
        <w:t xml:space="preserve">not a discretionary infrastructure upgrade.</w:t>
      </w:r>
      <w:r>
        <w:rPr>
          <w:rFonts w:ascii="Arial" w:cs="Arial" w:eastAsia="Arial" w:hAnsi="Arial"/>
          <w:sz w:val="22"/>
          <w:szCs w:val="22"/>
        </w:rPr>
        <w:t xml:space="preserve"> 31 tunnels use cryptographically broken ciphers today. 77% of the estate runs a deprecated protocol. The configuration contains a live DES policy and a production IKEv2 proposal named "test". The peer-IP identity model makes the entire estate ungovernable by any modern automation approach. These are not risks that improve with time.</w:t>
      </w:r>
    </w:p>
    <w:p>
      <w:pPr>
        <w:spacing w:before="40" w:after="40"/>
      </w:pPr>
    </w:p>
    <w:p>
      <w:pPr>
        <w:spacing w:before="60" w:after="100"/>
      </w:pPr>
      <w:r>
        <w:rPr>
          <w:rFonts w:ascii="Arial" w:cs="Arial" w:eastAsia="Arial" w:hAnsi="Arial"/>
          <w:color w:val="374151"/>
          <w:sz w:val="22"/>
          <w:szCs w:val="22"/>
        </w:rPr>
        <w:t xml:space="preserve">The PA-5400 replaces not just the hardware but the architectural model: loopback-anchored identity, single enforced IKE profile, per-tenant SNAT, Vault-managed keys, and full log attribution. The migration is a 231-event programme that requires partner engagement, dedicated engineers, and confirmed infrastructure. The plan exists. The timetables are illustrative until the resourcing decisions in Section 7 are confirmed.</w:t>
      </w:r>
    </w:p>
    <w:p>
      <w:pPr>
        <w:spacing w:before="80" w:after="80"/>
      </w:pPr>
    </w:p>
    <w:p>
      <w:pPr>
        <w:pStyle w:val="Heading2"/>
        <w:spacing w:before="240" w:after="80"/>
      </w:pPr>
      <w:r>
        <w:rPr>
          <w:rFonts w:ascii="Arial" w:cs="Arial" w:eastAsia="Arial" w:hAnsi="Arial"/>
          <w:b/>
          <w:bCs/>
          <w:color w:val="2E75B6"/>
          <w:sz w:val="26"/>
          <w:szCs w:val="26"/>
        </w:rPr>
        <w:t xml:space="preserve">8.3 What Happens Next</w:t>
      </w:r>
    </w:p>
    <w:p>
      <w:pPr>
        <w:spacing w:before="60" w:after="100"/>
      </w:pPr>
      <w:r>
        <w:rPr>
          <w:rFonts w:ascii="Arial" w:cs="Arial" w:eastAsia="Arial" w:hAnsi="Arial"/>
          <w:sz w:val="22"/>
          <w:szCs w:val="22"/>
        </w:rPr>
        <w:t xml:space="preserve">Immediately:</w:t>
      </w:r>
      <w:r>
        <w:rPr>
          <w:rFonts w:ascii="Arial" w:cs="Arial" w:eastAsia="Arial" w:hAnsi="Arial"/>
          <w:color w:val="374151"/>
          <w:sz w:val="22"/>
          <w:szCs w:val="22"/>
        </w:rPr>
        <w:t xml:space="preserve"> PA-5400 hardware procurement confirmation, POC engineer designation, PA-5400 hardware procurement initiation if not already on order.</w:t>
      </w:r>
    </w:p>
    <w:p>
      <w:pPr>
        <w:spacing w:before="20" w:after="20"/>
      </w:pPr>
    </w:p>
    <w:p>
      <w:pPr>
        <w:spacing w:before="60" w:after="100"/>
      </w:pPr>
      <w:r>
        <w:rPr>
          <w:rFonts w:ascii="Arial" w:cs="Arial" w:eastAsia="Arial" w:hAnsi="Arial"/>
          <w:sz w:val="22"/>
          <w:szCs w:val="22"/>
        </w:rPr>
        <w:t xml:space="preserve">By 30 June 2026:</w:t>
      </w:r>
      <w:r>
        <w:rPr>
          <w:rFonts w:ascii="Arial" w:cs="Arial" w:eastAsia="Arial" w:hAnsi="Arial"/>
          <w:color w:val="374151"/>
          <w:sz w:val="22"/>
          <w:szCs w:val="22"/>
        </w:rPr>
        <w:t xml:space="preserve"> Both POC vendors deliver all CR-01 through CR-05 capability demonstrations with full engineering workflow documentation.</w:t>
      </w:r>
    </w:p>
    <w:p>
      <w:pPr>
        <w:spacing w:before="20" w:after="20"/>
      </w:pPr>
    </w:p>
    <w:p>
      <w:pPr>
        <w:spacing w:before="60" w:after="100"/>
      </w:pPr>
      <w:r>
        <w:rPr>
          <w:rFonts w:ascii="Arial" w:cs="Arial" w:eastAsia="Arial" w:hAnsi="Arial"/>
          <w:sz w:val="22"/>
          <w:szCs w:val="22"/>
        </w:rPr>
        <w:t xml:space="preserve">Promptly after POC completion:</w:t>
      </w:r>
      <w:r>
        <w:rPr>
          <w:rFonts w:ascii="Arial" w:cs="Arial" w:eastAsia="Arial" w:hAnsi="Arial"/>
          <w:color w:val="374151"/>
          <w:sz w:val="22"/>
          <w:szCs w:val="22"/>
        </w:rPr>
        <w:t xml:space="preserve"> Vendor selection decision made. Self-service portal development programme initiated.</w:t>
      </w:r>
    </w:p>
    <w:p>
      <w:pPr>
        <w:spacing w:before="20" w:after="20"/>
      </w:pPr>
    </w:p>
    <w:p>
      <w:pPr>
        <w:spacing w:before="60" w:after="100"/>
      </w:pPr>
      <w:r>
        <w:rPr>
          <w:rFonts w:ascii="Arial" w:cs="Arial" w:eastAsia="Arial" w:hAnsi="Arial"/>
          <w:sz w:val="22"/>
          <w:szCs w:val="22"/>
        </w:rPr>
        <w:t xml:space="preserve">Concurrent with POC:</w:t>
      </w:r>
      <w:r>
        <w:rPr>
          <w:rFonts w:ascii="Arial" w:cs="Arial" w:eastAsia="Arial" w:hAnsi="Arial"/>
          <w:color w:val="374151"/>
          <w:sz w:val="22"/>
          <w:szCs w:val="22"/>
        </w:rPr>
        <w:t xml:space="preserve"> ASA migration platform build (P1) and 231-tunnel discovery (P2) begin as soon as resourcing is confirmed. These workstreams do not wait for POC outcome.</w:t>
      </w:r>
    </w:p>
    <w:p>
      <w:pPr>
        <w:spacing w:before="20" w:after="20"/>
      </w:pPr>
    </w:p>
    <w:p>
      <w:pPr>
        <w:spacing w:before="60" w:after="100"/>
      </w:pPr>
      <w:r>
        <w:rPr>
          <w:rFonts w:ascii="Arial" w:cs="Arial" w:eastAsia="Arial" w:hAnsi="Arial"/>
          <w:sz w:val="22"/>
          <w:szCs w:val="22"/>
        </w:rPr>
        <w:t xml:space="preserve">By 30 September 2026:</w:t>
      </w:r>
      <w:r>
        <w:rPr>
          <w:rFonts w:ascii="Arial" w:cs="Arial" w:eastAsia="Arial" w:hAnsi="Arial"/>
          <w:color w:val="374151"/>
          <w:sz w:val="22"/>
          <w:szCs w:val="22"/>
        </w:rPr>
        <w:t xml:space="preserve"> Self-service portal live — conditional on POC completing on schedule and vendor selection following promptly.</w:t>
      </w:r>
    </w:p>
    <w:p>
      <w:pPr>
        <w:spacing w:before="20" w:after="20"/>
      </w:pPr>
    </w:p>
    <w:p>
      <w:pPr>
        <w:spacing w:before="60" w:after="100"/>
      </w:pPr>
      <w:r>
        <w:rPr>
          <w:rFonts w:ascii="Arial" w:cs="Arial" w:eastAsia="Arial" w:hAnsi="Arial"/>
          <w:sz w:val="22"/>
          <w:szCs w:val="22"/>
        </w:rPr>
        <w:t xml:space="preserve">ASA decommission:</w:t>
      </w:r>
      <w:r>
        <w:rPr>
          <w:rFonts w:ascii="Arial" w:cs="Arial" w:eastAsia="Arial" w:hAnsi="Arial"/>
          <w:color w:val="374151"/>
          <w:sz w:val="22"/>
          <w:szCs w:val="22"/>
        </w:rPr>
        <w:t xml:space="preserve"> 28–36 weeks from PA-5400 platform build start, conditional on 3-engineer resourcing model and partner engagement pace.</w:t>
      </w:r>
    </w:p>
    <w:p>
      <w:pPr>
        <w:spacing w:before="80" w:after="80"/>
      </w:pPr>
    </w:p>
    <w:p>
      <w:pPr>
        <w:pBdr>
          <w:bottom w:val="single" w:color="2E75B6" w:sz="6" w:space="1"/>
        </w:pBdr>
        <w:spacing w:before="120" w:after="120"/>
      </w:pPr>
    </w:p>
    <w:p>
      <w:pPr>
        <w:spacing w:before="40" w:after="40"/>
      </w:pPr>
    </w:p>
    <w:p>
      <w:pPr>
        <w:spacing w:before="60" w:after="100"/>
      </w:pPr>
      <w:r>
        <w:rPr>
          <w:rFonts w:ascii="Arial" w:cs="Arial" w:eastAsia="Arial" w:hAnsi="Arial"/>
          <w:i/>
          <w:iCs/>
          <w:color w:val="404040"/>
          <w:sz w:val="22"/>
          <w:szCs w:val="22"/>
        </w:rPr>
        <w:t xml:space="preserve">The 3PLZ programme has a clear architectural direction, a validated reference implementation, and two credible POC candidates. The remaining open items are resourcing and organisational decisions, not technical ones. This document is presented to the steering committee to confirm those decisions so that both workstreams can move from planning to execution.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 Executive Summary Update  ·  Vendor Selection &amp; On-Premises Migration</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6E4F0" w:sz="6" w:space="4"/>
      </w:pBd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2026-03-06T18:14:45.327Z</dcterms:created>
  <dcterms:modified xsi:type="dcterms:W3CDTF">2026-03-06T18:14:45.328Z</dcterms:modified>
</cp:coreProperties>
</file>

<file path=docProps/custom.xml><?xml version="1.0" encoding="utf-8"?>
<Properties xmlns="http://schemas.openxmlformats.org/officeDocument/2006/custom-properties" xmlns:vt="http://schemas.openxmlformats.org/officeDocument/2006/docPropsVTypes"/>
</file>