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1F3864"/>
          <w:sz w:val="48"/>
          <w:szCs w:val="48"/>
        </w:rPr>
        <w:t xml:space="preserve">THIRD-PARTY LANDING ZONE (3PLZ)</w:t>
      </w:r>
    </w:p>
    <w:p>
      <w:pPr>
        <w:spacing w:before="0" w:after="80"/>
        <w:jc w:val="center"/>
      </w:pPr>
      <w:r>
        <w:rPr>
          <w:rFonts w:ascii="Arial" w:cs="Arial" w:eastAsia="Arial" w:hAnsi="Arial"/>
          <w:b/>
          <w:bCs/>
          <w:color w:val="2E75B6"/>
          <w:sz w:val="32"/>
          <w:szCs w:val="32"/>
        </w:rPr>
        <w:t xml:space="preserve">Secure Access Edge Platform — Vendor Evaluation</w:t>
      </w:r>
    </w:p>
    <w:p>
      <w:pPr>
        <w:pBdr>
          <w:bottom w:val="single" w:color="2E75B6" w:sz="6" w:space="1"/>
        </w:pBdr>
        <w:spacing w:before="120" w:after="120"/>
      </w:pPr>
    </w:p>
    <w:p>
      <w:pPr>
        <w:spacing w:before="120" w:after="40"/>
        <w:jc w:val="center"/>
      </w:pPr>
      <w:r>
        <w:rPr>
          <w:rFonts w:ascii="Arial" w:cs="Arial" w:eastAsia="Arial" w:hAnsi="Arial"/>
          <w:b/>
          <w:bCs/>
          <w:color w:val="C00000"/>
          <w:sz w:val="56"/>
          <w:szCs w:val="56"/>
        </w:rPr>
        <w:t xml:space="preserve">CISCO</w:t>
      </w:r>
    </w:p>
    <w:p>
      <w:pPr>
        <w:spacing w:before="0" w:after="40"/>
        <w:jc w:val="center"/>
      </w:pPr>
      <w:r>
        <w:rPr>
          <w:rFonts w:ascii="Arial" w:cs="Arial" w:eastAsia="Arial" w:hAnsi="Arial"/>
          <w:b/>
          <w:bCs/>
          <w:color w:val="404040"/>
          <w:sz w:val="28"/>
          <w:szCs w:val="28"/>
        </w:rPr>
        <w:t xml:space="preserve">Architectural Assessment and Disqualification Rationale</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Vendor Disqualification Rationale</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CVS Health — Third-Party Landing Zone (3PLZ)</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Vendor Assessed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Cisco (Secure Access / ASA Successor Platform)</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Evaluation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Four-Paradigm Structural Assessment</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DISQUALIFIED as 3PLZ service plane — transport layer role held by PA-5400</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Executive Summary</w:t>
      </w:r>
    </w:p>
    <w:p>
      <w:pPr>
        <w:spacing w:before="60" w:after="120"/>
      </w:pPr>
      <w:r>
        <w:rPr>
          <w:rFonts w:ascii="Arial" w:cs="Arial" w:eastAsia="Arial" w:hAnsi="Arial"/>
          <w:sz w:val="22"/>
          <w:szCs w:val="22"/>
        </w:rPr>
        <w:t xml:space="preserve">Cisco was evaluated as a candidate platform for the CVS Health Third-Party Landing Zone (3PLZ) program using the same four-paradigm structural framework applied to all vendor candidates. Cisco's disqualification is not a product quality judgment and it is not a reflection of the current ASA estate. Cisco produces well-engineered, operationally mature network infrastructure. The disqualification is a paradigm alignment judgment.</w:t>
      </w:r>
    </w:p>
    <w:p>
      <w:pPr>
        <w:spacing w:before="60" w:after="120"/>
      </w:pPr>
      <w:r>
        <w:rPr>
          <w:rFonts w:ascii="Arial" w:cs="Arial" w:eastAsia="Arial" w:hAnsi="Arial"/>
          <w:sz w:val="22"/>
          <w:szCs w:val="22"/>
        </w:rPr>
        <w:t xml:space="preserve">Cisco's enforcement paradigm is network-centric. Its next-generation platform — Cisco Secure Access and its associated stack — delivers a meaningfully improved version of that paradigm: stronger crypto enforcement, better segmentation tooling, improved operational visibility, and cleaner lifecycle management than the infrastructure it replaces. But it remains, fundamentally, a network-centric model. It authorizes adjacency. It does not mediate the service.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The Core Distinction</w:t>
            </w:r>
          </w:p>
          <w:p>
            <w:pPr>
              <w:spacing w:before="0" w:after="0"/>
            </w:pPr>
            <w:r>
              <w:rPr>
                <w:rFonts w:ascii="Arial" w:cs="Arial" w:eastAsia="Arial" w:hAnsi="Arial"/>
                <w:color w:val="404040"/>
                <w:sz w:val="22"/>
                <w:szCs w:val="22"/>
              </w:rPr>
              <w:t xml:space="preserve">Cisco sells secure transport and network-centric segmentation. The 3PLZ program requires a platform that also delivers identity augmentation, security uplift for legacy applications, and service-level behavioral governance. Cisco's model provides the transport substrate. It does not provide the service plane that must sit above it.</w:t>
            </w:r>
          </w:p>
        </w:tc>
      </w:tr>
    </w:tbl>
    <w:p>
      <w:pPr>
        <w:spacing w:before="80" w:after="80"/>
      </w:pPr>
    </w:p>
    <w:p>
      <w:pPr>
        <w:spacing w:before="60" w:after="120"/>
      </w:pPr>
      <w:r>
        <w:rPr>
          <w:rFonts w:ascii="Arial" w:cs="Arial" w:eastAsia="Arial" w:hAnsi="Arial"/>
          <w:sz w:val="22"/>
          <w:szCs w:val="22"/>
        </w:rPr>
        <w:t xml:space="preserve">The 3PLZ program is specifically designed to govern exposure of legacy applications that cannot participate in modern identity models. Those applications need a platform that compensates for what they cannot do for themselves — mTLS termination, credential mediation, per-tenant behavioral policy, DNS-driven service abstraction. This is the service plane. Cisco's model does not include a service plane. Its model builds controlled network paths to the application. What happens at the application end of that path — how the application behaves, how it enforces policy, how it asserts and validates identity — remains outside Cisco's governance envelope.</w:t>
      </w:r>
    </w:p>
    <w:p>
      <w:pPr>
        <w:spacing w:before="60" w:after="120"/>
      </w:pPr>
      <w:r>
        <w:rPr>
          <w:rFonts w:ascii="Arial" w:cs="Arial" w:eastAsia="Arial" w:hAnsi="Arial"/>
          <w:sz w:val="22"/>
          <w:szCs w:val="22"/>
        </w:rPr>
        <w:t xml:space="preserve">A Cisco-based 3PLZ would deliver better transport than today. It would not deliver the identity brokerage, security uplift, or service visibility that the program requires. The gap between what Cisco provides and what the program requires is not a feature gap. It is a paradigm gap.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DECEA" w:val="clear"/>
            <w:tcMar>
              <w:top w:type="dxa" w:w="140"/>
              <w:left w:type="dxa" w:w="200"/>
              <w:bottom w:type="dxa" w:w="140"/>
              <w:right w:type="dxa" w:w="200"/>
            </w:tcMar>
          </w:tcPr>
          <w:p>
            <w:pPr>
              <w:spacing w:before="0" w:after="40"/>
            </w:pPr>
            <w:r>
              <w:rPr>
                <w:rFonts w:ascii="Arial" w:cs="Arial" w:eastAsia="Arial" w:hAnsi="Arial"/>
                <w:b/>
                <w:bCs/>
                <w:color w:val="C00000"/>
                <w:sz w:val="22"/>
                <w:szCs w:val="22"/>
              </w:rPr>
              <w:t xml:space="preserve">Decision</w:t>
            </w:r>
          </w:p>
          <w:p>
            <w:pPr>
              <w:spacing w:before="0" w:after="0"/>
            </w:pPr>
            <w:r>
              <w:rPr>
                <w:rFonts w:ascii="Arial" w:cs="Arial" w:eastAsia="Arial" w:hAnsi="Arial"/>
                <w:color w:val="404040"/>
                <w:sz w:val="22"/>
                <w:szCs w:val="22"/>
              </w:rPr>
              <w:t xml:space="preserve">Cisco is disqualified as the primary 3PLZ service plane platform. The disqualification is based on paradigm misalignment — Cisco's network-centric model does not deliver the identity augmentation, service mediation, and behavioral governance the program requires. The transport layer function is handled by the PA-5400, which occupies the same network-centric layer and is already confirmed as the transport architecture.</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2. Program Requirements and the Paradigm Lens</w:t>
      </w:r>
    </w:p>
    <w:p>
      <w:pPr>
        <w:pStyle w:val="Heading2"/>
        <w:spacing w:before="280" w:after="80"/>
      </w:pPr>
      <w:r>
        <w:rPr>
          <w:rFonts w:ascii="Arial" w:cs="Arial" w:eastAsia="Arial" w:hAnsi="Arial"/>
          <w:b/>
          <w:bCs/>
          <w:color w:val="2E75B6"/>
          <w:sz w:val="26"/>
          <w:szCs w:val="26"/>
        </w:rPr>
        <w:t xml:space="preserve">2.1 Why Paradigm Alignment Drives the Decision</w:t>
      </w:r>
    </w:p>
    <w:p>
      <w:pPr>
        <w:spacing w:before="60" w:after="120"/>
      </w:pPr>
      <w:r>
        <w:rPr>
          <w:rFonts w:ascii="Arial" w:cs="Arial" w:eastAsia="Arial" w:hAnsi="Arial"/>
          <w:sz w:val="22"/>
          <w:szCs w:val="22"/>
        </w:rPr>
        <w:t xml:space="preserve">The vendor evaluation framework applied to this program is deliberately paradigm-driven rather than feature-driven. This distinction matters because feature comparisons produce false equivalence — every enterprise-grade vendor can claim capabilities across most evaluation dimensions. The question is not "does this vendor have a feature that could address this requirement?" The question is "is this vendor's enforcement paradigm structurally aligned with the problem the program must solve?"</w:t>
      </w:r>
    </w:p>
    <w:p>
      <w:pPr>
        <w:spacing w:before="60" w:after="120"/>
      </w:pPr>
      <w:r>
        <w:rPr>
          <w:rFonts w:ascii="Arial" w:cs="Arial" w:eastAsia="Arial" w:hAnsi="Arial"/>
          <w:sz w:val="22"/>
          <w:szCs w:val="22"/>
        </w:rPr>
        <w:t xml:space="preserve">Cisco's paradigm is network-centric enforcement. The program evaluated whether that paradigm — even at its best, with Cisco's most capable next-generation platform — can deliver what 3PLZ requires. The answer is that it delivers one of the two required layers cleanly, and does not deliver the other at all.</w:t>
      </w:r>
    </w:p>
    <w:p>
      <w:pPr>
        <w:pStyle w:val="Heading2"/>
        <w:spacing w:before="280" w:after="80"/>
      </w:pPr>
      <w:r>
        <w:rPr>
          <w:rFonts w:ascii="Arial" w:cs="Arial" w:eastAsia="Arial" w:hAnsi="Arial"/>
          <w:b/>
          <w:bCs/>
          <w:color w:val="2E75B6"/>
          <w:sz w:val="26"/>
          <w:szCs w:val="26"/>
        </w:rPr>
        <w:t xml:space="preserve">2.2 The Two Layers the Program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Must Deliver</w:t>
            </w:r>
          </w:p>
        </w:tc>
        <w:tc>
          <w:tcPr>
            <w:tcW w:type="dxa" w:w="3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Cisco's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Transport Layer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Per-tenant IPsec tunnel termination, routing isolation, SNAT identity masking, HA failover, enforced crypto baseline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Cisco delivers this layer well. PA-5400 is already confirmed for this function. Both are network-centric — the layer is covered.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Service Plane Layer</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Identity augmentation for legacy applications, mTLS termination with per-tenant CA isolation, security uplift (credential mediation, protocol normalization), per-tenant behavioral governance, service-level visibility and inspection</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Cisco does not deliver this layer. No component of Cisco's next-generation stack provides service plane mediation. The gap is paradigmatic, not configurational.</w:t>
            </w:r>
          </w:p>
        </w:tc>
      </w:tr>
    </w:tbl>
    <w:p>
      <w:pPr>
        <w:spacing w:before="120" w:after="120"/>
      </w:pPr>
    </w:p>
    <w:p>
      <w:pPr>
        <w:pStyle w:val="Heading2"/>
        <w:spacing w:before="280" w:after="80"/>
      </w:pPr>
      <w:r>
        <w:rPr>
          <w:rFonts w:ascii="Arial" w:cs="Arial" w:eastAsia="Arial" w:hAnsi="Arial"/>
          <w:b/>
          <w:bCs/>
          <w:color w:val="2E75B6"/>
          <w:sz w:val="26"/>
          <w:szCs w:val="26"/>
        </w:rPr>
        <w:t xml:space="preserve">2.3 The Four Evaluation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Paradigm</w:t>
            </w:r>
          </w:p>
        </w:tc>
        <w:tc>
          <w:tcPr>
            <w:tcW w:type="dxa" w:w="69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Structural Containment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Per-tenant routing domains with no shared adjacency. Isolation survives operator error and scales to ~1,000 tenants.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Mediated Capability Exposure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Partners reach named services through a proxy termination layer — not network subnets. Protocol termination and service augmentation are required, not brokered pass-through.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Identity-Bound Authorization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Cryptographic identity augmentation at the service layer. Per-tenant CA trust anchors. Identity scoped within the exposure domain — not merely directory-derived.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Deterministic Lifecycle Governance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Provisioning and offboarding are fully automated. Offboarding leaves zero residual state. Governance is embedded in the delivery workflow, not constructed externally.</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3. Cisco Architectural Evaluation</w:t>
      </w:r>
    </w:p>
    <w:p>
      <w:pPr>
        <w:pStyle w:val="Heading2"/>
        <w:spacing w:before="280" w:after="80"/>
      </w:pPr>
      <w:r>
        <w:rPr>
          <w:rFonts w:ascii="Arial" w:cs="Arial" w:eastAsia="Arial" w:hAnsi="Arial"/>
          <w:b/>
          <w:bCs/>
          <w:color w:val="2E75B6"/>
          <w:sz w:val="26"/>
          <w:szCs w:val="26"/>
        </w:rPr>
        <w:t xml:space="preserve">3.1 What Cisco's Next-Generation Platform Delivers</w:t>
      </w:r>
    </w:p>
    <w:p>
      <w:pPr>
        <w:spacing w:before="60" w:after="120"/>
      </w:pPr>
      <w:r>
        <w:rPr>
          <w:rFonts w:ascii="Arial" w:cs="Arial" w:eastAsia="Arial" w:hAnsi="Arial"/>
          <w:sz w:val="22"/>
          <w:szCs w:val="22"/>
        </w:rPr>
        <w:t xml:space="preserve">Cisco's next-generation platform — Cisco Secure Access and its associated stack — delivers genuine and meaningful improvements across all network-centric dimensions. The evaluation acknowledges this clearly:</w:t>
      </w:r>
    </w:p>
    <w:p>
      <w:pPr>
        <w:pStyle w:val="ListParagraph"/>
        <w:numPr>
          <w:ilvl w:val="0"/>
          <w:numId w:val="2"/>
        </w:numPr>
        <w:spacing w:before="40" w:after="40"/>
      </w:pPr>
      <w:r>
        <w:rPr>
          <w:rFonts w:ascii="Arial" w:cs="Arial" w:eastAsia="Arial" w:hAnsi="Arial"/>
          <w:sz w:val="22"/>
          <w:szCs w:val="22"/>
        </w:rPr>
        <w:t xml:space="preserve">Enforced crypto baseline through standardized IKEv2 profiles with modern cipher enforcement — AES-256-GCM, SHA-384, ECDH group 19/20</w:t>
      </w:r>
    </w:p>
    <w:p>
      <w:pPr>
        <w:pStyle w:val="ListParagraph"/>
        <w:numPr>
          <w:ilvl w:val="0"/>
          <w:numId w:val="2"/>
        </w:numPr>
        <w:spacing w:before="40" w:after="40"/>
      </w:pPr>
      <w:r>
        <w:rPr>
          <w:rFonts w:ascii="Arial" w:cs="Arial" w:eastAsia="Arial" w:hAnsi="Arial"/>
          <w:sz w:val="22"/>
          <w:szCs w:val="22"/>
        </w:rPr>
        <w:t xml:space="preserve">Improved per-tenant segmentation through VRF-based routing domains and zone-based firewalling with deterministic blast-radius control</w:t>
      </w:r>
    </w:p>
    <w:p>
      <w:pPr>
        <w:pStyle w:val="ListParagraph"/>
        <w:numPr>
          <w:ilvl w:val="0"/>
          <w:numId w:val="2"/>
        </w:numPr>
        <w:spacing w:before="40" w:after="40"/>
      </w:pPr>
      <w:r>
        <w:rPr>
          <w:rFonts w:ascii="Arial" w:cs="Arial" w:eastAsia="Arial" w:hAnsi="Arial"/>
          <w:sz w:val="22"/>
          <w:szCs w:val="22"/>
        </w:rPr>
        <w:t xml:space="preserve">Better operational visibility — enhanced flow telemetry, centralized policy management, and improved management tooling</w:t>
      </w:r>
    </w:p>
    <w:p>
      <w:pPr>
        <w:pStyle w:val="ListParagraph"/>
        <w:numPr>
          <w:ilvl w:val="0"/>
          <w:numId w:val="2"/>
        </w:numPr>
        <w:spacing w:before="40" w:after="40"/>
      </w:pPr>
      <w:r>
        <w:rPr>
          <w:rFonts w:ascii="Arial" w:cs="Arial" w:eastAsia="Arial" w:hAnsi="Arial"/>
          <w:sz w:val="22"/>
          <w:szCs w:val="22"/>
        </w:rPr>
        <w:t xml:space="preserve">Cleaner lifecycle tooling for tunnel and security policy management at scale</w:t>
      </w:r>
    </w:p>
    <w:p>
      <w:pPr>
        <w:pStyle w:val="ListParagraph"/>
        <w:numPr>
          <w:ilvl w:val="0"/>
          <w:numId w:val="2"/>
        </w:numPr>
        <w:spacing w:before="40" w:after="40"/>
      </w:pPr>
      <w:r>
        <w:rPr>
          <w:rFonts w:ascii="Arial" w:cs="Arial" w:eastAsia="Arial" w:hAnsi="Arial"/>
          <w:sz w:val="22"/>
          <w:szCs w:val="22"/>
        </w:rPr>
        <w:t xml:space="preserve">Mature enterprise integration with operational patterns that network engineering teams already understand</w:t>
      </w:r>
    </w:p>
    <w:p>
      <w:pPr>
        <w:pStyle w:val="ListParagraph"/>
        <w:numPr>
          <w:ilvl w:val="0"/>
          <w:numId w:val="2"/>
        </w:numPr>
        <w:spacing w:before="40" w:after="40"/>
      </w:pPr>
      <w:r>
        <w:rPr>
          <w:rFonts w:ascii="Arial" w:cs="Arial" w:eastAsia="Arial" w:hAnsi="Arial"/>
          <w:sz w:val="22"/>
          <w:szCs w:val="22"/>
        </w:rPr>
        <w:t xml:space="preserve">Managed service delivery pathways with clear accountability and reduced deployment friction</w:t>
      </w:r>
    </w:p>
    <w:p>
      <w:pPr>
        <w:spacing w:before="60" w:after="120"/>
      </w:pPr>
      <w:r>
        <w:rPr>
          <w:rFonts w:ascii="Arial" w:cs="Arial" w:eastAsia="Arial" w:hAnsi="Arial"/>
          <w:sz w:val="22"/>
          <w:szCs w:val="22"/>
        </w:rPr>
        <w:t xml:space="preserve">Cisco's next-generation platform is a strong network-centric solution. It would represent a meaningful improvement over a previous-generation approach on every dimension where a network-centric approach is the right instrument. The disqualification is not a challenge to any of this.</w:t>
      </w:r>
    </w:p>
    <w:p>
      <w:pPr>
        <w:pStyle w:val="Heading2"/>
        <w:spacing w:before="280" w:after="80"/>
      </w:pPr>
      <w:r>
        <w:rPr>
          <w:rFonts w:ascii="Arial" w:cs="Arial" w:eastAsia="Arial" w:hAnsi="Arial"/>
          <w:b/>
          <w:bCs/>
          <w:color w:val="2E75B6"/>
          <w:sz w:val="26"/>
          <w:szCs w:val="26"/>
        </w:rPr>
        <w:t xml:space="preserve">3.2 The Paradigm Boundary — Where Cisco Stops</w:t>
      </w:r>
    </w:p>
    <w:p>
      <w:pPr>
        <w:spacing w:before="60" w:after="120"/>
      </w:pPr>
      <w:r>
        <w:rPr>
          <w:rFonts w:ascii="Arial" w:cs="Arial" w:eastAsia="Arial" w:hAnsi="Arial"/>
          <w:sz w:val="22"/>
          <w:szCs w:val="22"/>
        </w:rPr>
        <w:t xml:space="preserve">The 3PLZ program requires capabilities that sit above the network layer — in the service plane. Cisco's model does not include a service plane. This is not a product gap. It is a paradigm boundary. Network-centric enforcement authorizes adjacency: it determines which network paths are permitted and enforces segmentation between them. What happens at the application end of those paths — how the application behaves, how it asserts and validates identity, how it enforces per-partner policy — is outside the network-centric governance envelope.</w:t>
      </w:r>
    </w:p>
    <w:p>
      <w:pPr>
        <w:spacing w:before="60" w:after="120"/>
      </w:pPr>
      <w:r>
        <w:rPr>
          <w:rFonts w:ascii="Arial" w:cs="Arial" w:eastAsia="Arial" w:hAnsi="Arial"/>
          <w:sz w:val="22"/>
          <w:szCs w:val="22"/>
        </w:rPr>
        <w:t xml:space="preserve">The three specific capability areas where this boundary is decisive for the 3PLZ program are:</w:t>
      </w:r>
    </w:p>
    <w:p>
      <w:pPr>
        <w:pStyle w:val="Heading3"/>
        <w:spacing w:before="200" w:after="60"/>
      </w:pPr>
      <w:r>
        <w:rPr>
          <w:rFonts w:ascii="Arial" w:cs="Arial" w:eastAsia="Arial" w:hAnsi="Arial"/>
          <w:b/>
          <w:bCs/>
          <w:color w:val="1F497D"/>
          <w:sz w:val="23"/>
          <w:szCs w:val="23"/>
        </w:rPr>
        <w:t xml:space="preserve">Identity Augmentation</w:t>
      </w:r>
    </w:p>
    <w:p>
      <w:pPr>
        <w:spacing w:before="60" w:after="120"/>
      </w:pPr>
      <w:r>
        <w:rPr>
          <w:rFonts w:ascii="Arial" w:cs="Arial" w:eastAsia="Arial" w:hAnsi="Arial"/>
          <w:sz w:val="22"/>
          <w:szCs w:val="22"/>
        </w:rPr>
        <w:t xml:space="preserve">The applications the 3PLZ platform governs are legacy systems. They cannot assert or validate cryptographic identity natively. They were designed for a world where the internal network was trusted, and trust was conferred by network location. A network-centric platform authorizes the network path to these applications — but the application still receives the connection as a raw network session, with all of its identity gaps intact.</w:t>
      </w:r>
    </w:p>
    <w:p>
      <w:pPr>
        <w:spacing w:before="60" w:after="120"/>
      </w:pPr>
      <w:r>
        <w:rPr>
          <w:rFonts w:ascii="Arial" w:cs="Arial" w:eastAsia="Arial" w:hAnsi="Arial"/>
          <w:sz w:val="22"/>
          <w:szCs w:val="22"/>
        </w:rPr>
        <w:t xml:space="preserve">The program requires identity augmentation at the service layer: per-tenant mTLS termination where the proxy validates the partner's cryptographic identity before the application is involved at all. Each of the ~1,000 partners must have a structurally isolated CA trust anchor. Cisco does not provide this. Its identity model is directory-derived at session admission — not per-tenant cryptographic authority scoped to the exposure domain.</w:t>
      </w:r>
    </w:p>
    <w:p>
      <w:pPr>
        <w:pStyle w:val="Heading3"/>
        <w:spacing w:before="200" w:after="60"/>
      </w:pPr>
      <w:r>
        <w:rPr>
          <w:rFonts w:ascii="Arial" w:cs="Arial" w:eastAsia="Arial" w:hAnsi="Arial"/>
          <w:b/>
          <w:bCs/>
          <w:color w:val="1F497D"/>
          <w:sz w:val="23"/>
          <w:szCs w:val="23"/>
        </w:rPr>
        <w:t xml:space="preserve">Security Uplift for Legacy Applications</w:t>
      </w:r>
    </w:p>
    <w:p>
      <w:pPr>
        <w:spacing w:before="60" w:after="120"/>
      </w:pPr>
      <w:r>
        <w:rPr>
          <w:rFonts w:ascii="Arial" w:cs="Arial" w:eastAsia="Arial" w:hAnsi="Arial"/>
          <w:sz w:val="22"/>
          <w:szCs w:val="22"/>
        </w:rPr>
        <w:t xml:space="preserve">Network-centric enforcement controls the path to an application. It does not control how the application behaves when traffic arrives. Legacy applications that lack native mTLS, that expose internal credentials, that cannot distinguish between partner requests, that have no rate enforcement — these remain as exposed as they were before, except that the network path to them is now more controlled.</w:t>
      </w:r>
    </w:p>
    <w:p>
      <w:pPr>
        <w:spacing w:before="60" w:after="120"/>
      </w:pPr>
      <w:r>
        <w:rPr>
          <w:rFonts w:ascii="Arial" w:cs="Arial" w:eastAsia="Arial" w:hAnsi="Arial"/>
          <w:sz w:val="22"/>
          <w:szCs w:val="22"/>
        </w:rPr>
        <w:t xml:space="preserve">Security uplift requires proxy termination: a mediation layer that compensates for what the application cannot do for itself. The proxy terminates the partner connection, enforces per-tenant policy, manages credentials, and forwards a governed request to the application — which requires no modification. Cisco does not provide proxy mediation. Its model authorizes adjacency; the service plane that must sit above it remains the enterprise's responsibility to build regardless of which network-centric transport is below.</w:t>
      </w:r>
    </w:p>
    <w:p>
      <w:pPr>
        <w:pStyle w:val="Heading3"/>
        <w:spacing w:before="200" w:after="60"/>
      </w:pPr>
      <w:r>
        <w:rPr>
          <w:rFonts w:ascii="Arial" w:cs="Arial" w:eastAsia="Arial" w:hAnsi="Arial"/>
          <w:b/>
          <w:bCs/>
          <w:color w:val="1F497D"/>
          <w:sz w:val="23"/>
          <w:szCs w:val="23"/>
        </w:rPr>
        <w:t xml:space="preserve">Service-Level Visibility and Inspection</w:t>
      </w:r>
    </w:p>
    <w:p>
      <w:pPr>
        <w:spacing w:before="60" w:after="120"/>
      </w:pPr>
      <w:r>
        <w:rPr>
          <w:rFonts w:ascii="Arial" w:cs="Arial" w:eastAsia="Arial" w:hAnsi="Arial"/>
          <w:sz w:val="22"/>
          <w:szCs w:val="22"/>
        </w:rPr>
        <w:t xml:space="preserve">Network-centric visibility provides transport-layer observability: which tunnel carried traffic, at what volume, at what time. The 3PLZ program requires service-level observability: per-tenant proxy transaction logs, DNS resolution audit trails, per-service session attribution, credential vault access records, and behavioral inspection of decrypted application sessions. These capabilities require the platform to terminate and inspect the application session — which is the service plane function. Network infrastructure that does not terminate the application session cannot provide it.</w:t>
      </w:r>
    </w:p>
    <w:p>
      <w:pPr>
        <w:pStyle w:val="Heading2"/>
        <w:spacing w:before="280" w:after="80"/>
      </w:pPr>
      <w:r>
        <w:rPr>
          <w:rFonts w:ascii="Arial" w:cs="Arial" w:eastAsia="Arial" w:hAnsi="Arial"/>
          <w:b/>
          <w:bCs/>
          <w:color w:val="2E75B6"/>
          <w:sz w:val="26"/>
          <w:szCs w:val="26"/>
        </w:rPr>
        <w:t xml:space="preserve">3.3 Paradigm-by-Paradigm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Paradigm</w:t>
            </w:r>
          </w:p>
        </w:tc>
        <w:tc>
          <w:tcPr>
            <w:tcW w:type="dxa" w:w="3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Cisco Next-Gen Capability</w:t>
            </w:r>
          </w:p>
        </w:tc>
        <w:tc>
          <w:tcPr>
            <w:tcW w:type="dxa" w:w="3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Assessment</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Structural Containment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VRF-based routing domains, zone-based firewalling, and mature segmentation tooling. Strong deterministic adjacency isolation at network layer.</w:t>
            </w:r>
          </w:p>
        </w:tc>
        <w:tc>
          <w:tcPr>
            <w:tcW w:type="dxa" w:w="3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 Cisco delivers structural containment cleanly. This is the network-centric paradigm at its best and Cisco executes it well.</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Mediated Capability Exposure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routes and filters traffic to applications at the network layer. No proxy termination layer is included. The application receives the connection directly at the network layer once the path is authorized.</w:t>
            </w:r>
          </w:p>
        </w:tc>
        <w:tc>
          <w:tcPr>
            <w:tcW w:type="dxa" w:w="3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FAIL — Network adjacency authorization is not service mediation. Cisco does not provide a proxy enforcement plane. Protocol termination, service augmentation, credential mediation, and L7 behavioral governance are outside the Cisco paradigm — not a missing feature, a paradigm boundary.</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Identity-Bound Authorization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directory-based identity at session admission. Certificate-based VPN authentication available. No per-tenant cryptographic CA isolation scoped to the service exposure layer.</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Network-layer identity is handled competently. Service-layer identity augmentation — where the proxy independently validates per-tenant cryptographic identity before the application is involved — is not within Cisco's model. Identity is a ride-along policy signal, not a structurally isolated per-tenant trust anchor.</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Deterministic Lifecycle Governance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tooling for policy and tunnel lifecycle management. Deterministic automated offboarding with residual state verification requires external workflow construction.</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Cisco's operational lifecycle tooling is mature for network constructs. The declarative provisioning and deterministic teardown model the program requires must be constructed externally regardless of Cisco's platform capabilities.</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4. Addressing the Continuity Argument</w:t>
      </w:r>
    </w:p>
    <w:p>
      <w:pPr>
        <w:spacing w:before="60" w:after="120"/>
      </w:pPr>
      <w:r>
        <w:rPr>
          <w:rFonts w:ascii="Arial" w:cs="Arial" w:eastAsia="Arial" w:hAnsi="Arial"/>
          <w:sz w:val="22"/>
          <w:szCs w:val="22"/>
        </w:rPr>
        <w:t xml:space="preserve">The case for Cisco typically arrives through continuity reasoning: the enterprise has deep Cisco expertise, the operations team knows the operational model, and deploying Cisco would reduce onboarding friction. These are legitimate operational considerations. They do not change the architectural conclusion, but they deserve a direct response.</w:t>
      </w:r>
    </w:p>
    <w:p>
      <w:pPr>
        <w:pStyle w:val="Heading2"/>
        <w:spacing w:before="280" w:after="80"/>
      </w:pPr>
      <w:r>
        <w:rPr>
          <w:rFonts w:ascii="Arial" w:cs="Arial" w:eastAsia="Arial" w:hAnsi="Arial"/>
          <w:b/>
          <w:bCs/>
          <w:color w:val="2E75B6"/>
          <w:sz w:val="26"/>
          <w:szCs w:val="26"/>
        </w:rPr>
        <w:t xml:space="preserve">4.1 Familiarity Is a Transport Layer Advantage</w:t>
      </w:r>
    </w:p>
    <w:p>
      <w:pPr>
        <w:spacing w:before="60" w:after="120"/>
      </w:pPr>
      <w:r>
        <w:rPr>
          <w:rFonts w:ascii="Arial" w:cs="Arial" w:eastAsia="Arial" w:hAnsi="Arial"/>
          <w:sz w:val="22"/>
          <w:szCs w:val="22"/>
        </w:rPr>
        <w:t xml:space="preserve">Cisco operational familiarity is a genuine advantage — but it is an advantage for the transport layer, which is already settled. The PA-5400 handles the transport layer and is confirmed. The engineering challenge that defines the program — building the service plane above the transport layer — is identical in scope and complexity regardless of whether the transport layer runs on Cisco or Palo Alto hardware. Optimizing on the layer that is already solved while leaving the layer that defines the program's value unaddressed is not a sound architectural trade.</w:t>
      </w:r>
    </w:p>
    <w:p>
      <w:pPr>
        <w:pStyle w:val="Heading2"/>
        <w:spacing w:before="280" w:after="80"/>
      </w:pPr>
      <w:r>
        <w:rPr>
          <w:rFonts w:ascii="Arial" w:cs="Arial" w:eastAsia="Arial" w:hAnsi="Arial"/>
          <w:b/>
          <w:bCs/>
          <w:color w:val="2E75B6"/>
          <w:sz w:val="26"/>
          <w:szCs w:val="26"/>
        </w:rPr>
        <w:t xml:space="preserve">4.2 Cisco's Next-Generation Platform Is Still the Same Paradigm</w:t>
      </w:r>
    </w:p>
    <w:p>
      <w:pPr>
        <w:spacing w:before="60" w:after="120"/>
      </w:pPr>
      <w:r>
        <w:rPr>
          <w:rFonts w:ascii="Arial" w:cs="Arial" w:eastAsia="Arial" w:hAnsi="Arial"/>
          <w:sz w:val="22"/>
          <w:szCs w:val="22"/>
        </w:rPr>
        <w:t xml:space="preserve">Cisco Secure Access is a more capable and more modern product than the platforms it succeeds. But capability within a paradigm does not change the paradigm. A more capable network-centric platform is still a network-centric platform. It still authorizes adjacency. It still does not mediate the service. It still does not augment the identity of the legacy applications it is protecting. Deploying Cisco's next-generation stack would improve the transport layer over any previous-generation approach — and would still leave the service plane requirement entirely unaddressed. The program would then need to build the service plane anyway, on top of a Cisco transport that cannot integrate with or contribute to the service plane above it.</w:t>
      </w:r>
    </w:p>
    <w:p>
      <w:pPr>
        <w:pStyle w:val="Heading2"/>
        <w:spacing w:before="280" w:after="80"/>
      </w:pPr>
      <w:r>
        <w:rPr>
          <w:rFonts w:ascii="Arial" w:cs="Arial" w:eastAsia="Arial" w:hAnsi="Arial"/>
          <w:b/>
          <w:bCs/>
          <w:color w:val="2E75B6"/>
          <w:sz w:val="26"/>
          <w:szCs w:val="26"/>
        </w:rPr>
        <w:t xml:space="preserve">4.3 The Transport Layer Decision Is Confirmed</w:t>
      </w:r>
    </w:p>
    <w:p>
      <w:pPr>
        <w:spacing w:before="60" w:after="120"/>
      </w:pPr>
      <w:r>
        <w:rPr>
          <w:rFonts w:ascii="Arial" w:cs="Arial" w:eastAsia="Arial" w:hAnsi="Arial"/>
          <w:sz w:val="22"/>
          <w:szCs w:val="22"/>
        </w:rPr>
        <w:t xml:space="preserve">The PA-5400 single-VSYS, per-tenant VR and zone architecture is the confirmed transport layer. The decision is based on architecture: the PA-5400's per-tenant VR model, loopback-anchored IKE identity, and automation-first provisioning pipeline directly satisfy the transport isolation requirements. Revisiting this for Cisco familiarity reasons would require reversing a confirmed, architecturally grounded decision for organizational preference reasons — which is not an adequate basis.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single" w:color="7F6000" w:sz="6"/>
              <w:bottom w:val="single" w:color="7F6000" w:sz="6"/>
              <w:right w:val="single" w:color="7F6000" w:sz="6"/>
            </w:tcBorders>
            <w:shd w:fill="FFFACD" w:val="clear"/>
            <w:tcMar>
              <w:top w:type="dxa" w:w="140"/>
              <w:left w:type="dxa" w:w="200"/>
              <w:bottom w:type="dxa" w:w="140"/>
              <w:right w:type="dxa" w:w="200"/>
            </w:tcMar>
          </w:tcPr>
          <w:p>
            <w:pPr>
              <w:spacing w:before="0" w:after="40"/>
            </w:pPr>
            <w:r>
              <w:rPr>
                <w:rFonts w:ascii="Arial" w:cs="Arial" w:eastAsia="Arial" w:hAnsi="Arial"/>
                <w:b/>
                <w:bCs/>
                <w:color w:val="7F6000"/>
                <w:sz w:val="22"/>
                <w:szCs w:val="22"/>
              </w:rPr>
              <w:t xml:space="preserve">Bottom Line for Leadership</w:t>
            </w:r>
          </w:p>
          <w:p>
            <w:pPr>
              <w:spacing w:before="0" w:after="0"/>
            </w:pPr>
            <w:r>
              <w:rPr>
                <w:rFonts w:ascii="Arial" w:cs="Arial" w:eastAsia="Arial" w:hAnsi="Arial"/>
                <w:color w:val="404040"/>
                <w:sz w:val="22"/>
                <w:szCs w:val="22"/>
              </w:rPr>
              <w:t xml:space="preserve">The 3PLZ program's engineering challenge is building the service plane — the proxy mediation layer, per-tenant PKI, credential vault, DNS architecture, and lifecycle automation. That challenge is identical whether the transport layer is Cisco or Palo Alto. Cisco familiarity does not reduce that challenge. Selecting Cisco would introduce a paradigm mismatch at the platform level while providing no advantage on the problem that actually defines the program.</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5. Cisco's Continuing Role in the Architecture</w:t>
      </w:r>
    </w:p>
    <w:p>
      <w:pPr>
        <w:spacing w:before="60" w:after="120"/>
      </w:pPr>
      <w:r>
        <w:rPr>
          <w:rFonts w:ascii="Arial" w:cs="Arial" w:eastAsia="Arial" w:hAnsi="Arial"/>
          <w:sz w:val="22"/>
          <w:szCs w:val="22"/>
        </w:rPr>
        <w:t xml:space="preserve">Cisco's disqualification from the 3PLZ service plane selection is bounded and specific. It does not remove Cisco from the enterprise network architecture.</w:t>
      </w:r>
    </w:p>
    <w:p>
      <w:pPr>
        <w:spacing w:before="60" w:after="120"/>
      </w:pPr>
      <w:r>
        <w:rPr>
          <w:rFonts w:ascii="Arial" w:cs="Arial" w:eastAsia="Arial" w:hAnsi="Arial"/>
          <w:sz w:val="22"/>
          <w:szCs w:val="22"/>
        </w:rPr>
        <w:t xml:space="preserve">Cisco infrastructure continues to be appropriate for and present in:</w:t>
      </w:r>
    </w:p>
    <w:p>
      <w:pPr>
        <w:pStyle w:val="ListParagraph"/>
        <w:numPr>
          <w:ilvl w:val="0"/>
          <w:numId w:val="2"/>
        </w:numPr>
        <w:spacing w:before="40" w:after="40"/>
      </w:pPr>
      <w:r>
        <w:rPr>
          <w:rFonts w:ascii="Arial" w:cs="Arial" w:eastAsia="Arial" w:hAnsi="Arial"/>
          <w:sz w:val="22"/>
          <w:szCs w:val="22"/>
        </w:rPr>
        <w:t xml:space="preserve">The enterprise campus and data center network fabric — routing, switching, and segmentation where network adjacency control is the primary requirement</w:t>
      </w:r>
    </w:p>
    <w:p>
      <w:pPr>
        <w:pStyle w:val="ListParagraph"/>
        <w:numPr>
          <w:ilvl w:val="0"/>
          <w:numId w:val="2"/>
        </w:numPr>
        <w:spacing w:before="40" w:after="40"/>
      </w:pPr>
      <w:r>
        <w:rPr>
          <w:rFonts w:ascii="Arial" w:cs="Arial" w:eastAsia="Arial" w:hAnsi="Arial"/>
          <w:sz w:val="22"/>
          <w:szCs w:val="22"/>
        </w:rPr>
        <w:t xml:space="preserve">Upstream network infrastructure that the PA-5400 and the 3PLZ service plane sit on top of — BGP peering, summarized route advertisement, and upstream firewall layers</w:t>
      </w:r>
    </w:p>
    <w:p>
      <w:pPr>
        <w:pStyle w:val="ListParagraph"/>
        <w:numPr>
          <w:ilvl w:val="0"/>
          <w:numId w:val="2"/>
        </w:numPr>
        <w:spacing w:before="40" w:after="40"/>
      </w:pPr>
      <w:r>
        <w:rPr>
          <w:rFonts w:ascii="Arial" w:cs="Arial" w:eastAsia="Arial" w:hAnsi="Arial"/>
          <w:sz w:val="22"/>
          <w:szCs w:val="22"/>
        </w:rPr>
        <w:t xml:space="preserve">Site-to-site WAN connectivity and SD-WAN scenarios where Cisco's transport model is the correct primitive</w:t>
      </w:r>
    </w:p>
    <w:p>
      <w:pPr>
        <w:pStyle w:val="ListParagraph"/>
        <w:numPr>
          <w:ilvl w:val="0"/>
          <w:numId w:val="2"/>
        </w:numPr>
        <w:spacing w:before="40" w:after="40"/>
      </w:pPr>
      <w:r>
        <w:rPr>
          <w:rFonts w:ascii="Arial" w:cs="Arial" w:eastAsia="Arial" w:hAnsi="Arial"/>
          <w:sz w:val="22"/>
          <w:szCs w:val="22"/>
        </w:rPr>
        <w:t xml:space="preserve">Network environments where the application estate has modernized to the point where transport layer segmentation and adjacency control is sufficient</w:t>
      </w:r>
    </w:p>
    <w:p>
      <w:pPr>
        <w:spacing w:before="60" w:after="120"/>
      </w:pPr>
      <w:r>
        <w:rPr>
          <w:rFonts w:ascii="Arial" w:cs="Arial" w:eastAsia="Arial" w:hAnsi="Arial"/>
          <w:sz w:val="22"/>
          <w:szCs w:val="22"/>
        </w:rPr>
        <w:t xml:space="preserve">The 3PLZ service plane is built on top of enterprise network infrastructure. Cisco devices in the data center routing fabric remain part of the architecture. The disqualification is from the role of service plane platform — not from the network.</w:t>
      </w:r>
    </w:p>
    <w:p>
      <w:r>
        <w:br w:type="page"/>
      </w:r>
    </w:p>
    <w:p>
      <w:pPr>
        <w:pStyle w:val="Heading1"/>
        <w:spacing w:before="360" w:after="120"/>
      </w:pPr>
      <w:r>
        <w:rPr>
          <w:rFonts w:ascii="Arial" w:cs="Arial" w:eastAsia="Arial" w:hAnsi="Arial"/>
          <w:b/>
          <w:bCs/>
          <w:color w:val="1F3864"/>
          <w:sz w:val="32"/>
          <w:szCs w:val="32"/>
        </w:rPr>
        <w:t xml:space="preserve">6.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5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Vendor and product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Cisco Secure Access / next-generation stack — Network-Centric Enforcement paradigm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Vendor enforcement primitive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Network boundary control and routing adjacency — transport plane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3PLZ required enforcement primitive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Service plane: identity augmentation, proxy termination, security uplift, service-level visibility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Structural fit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MISALIGNED — network-centric paradigm, not service plane paradigm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What Cisco delivers well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Network segmentation, routing isolation, enforced crypto baseline, transport-layer telemetry, managed service delivery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What Cisco does not deliver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Identity augmentation at the service layer, proxy mediation for legacy apps, security uplift, per-tenant CA isolation, service-level visibility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1: Structural Containment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PASS — Cisco's genuine core strength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2: Mediated Capability Exposure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0000"/>
                <w:sz w:val="20"/>
                <w:szCs w:val="20"/>
              </w:rPr>
              <w:t xml:space="preserve">FAIL — no service mediation layer, no per-tenant proxy, no mTLS, no protocol normalization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3: Identity-Bound Authorization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transport identity solid, per-tenant service CA not native to Cisco's model</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4: Lifecycle Governance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managed service reduces operational friction, does not provide declarative automated lifecycle governance with deterministic teardown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Transport layer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Retained under PA-5400 — selected for per-tenant VR isolation and automation-first architecture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Decision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DISQUALIFIED as 3PLZ service plane platform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 Cisco Architectural Assessment &amp; Disqualification Rationale</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2026-03-06T16:56:01.031Z</dcterms:created>
  <dcterms:modified xsi:type="dcterms:W3CDTF">2026-03-06T16:56:01.032Z</dcterms:modified>
</cp:coreProperties>
</file>

<file path=docProps/custom.xml><?xml version="1.0" encoding="utf-8"?>
<Properties xmlns="http://schemas.openxmlformats.org/officeDocument/2006/custom-properties" xmlns:vt="http://schemas.openxmlformats.org/officeDocument/2006/docPropsVTypes"/>
</file>