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00467F"/>
          <w:sz w:val="52"/>
        </w:rPr>
        <w:t>Multi-VSYS IPsec Service Edge</w:t>
      </w:r>
    </w:p>
    <w:p>
      <w:pPr>
        <w:jc w:val="center"/>
      </w:pPr>
      <w:r>
        <w:rPr>
          <w:b w:val="0"/>
          <w:i w:val="0"/>
          <w:color w:val="595959"/>
          <w:sz w:val="28"/>
        </w:rPr>
        <w:t>Architecture Review, Design Challenge &amp; Recommendations</w:t>
      </w:r>
    </w:p>
    <w:p>
      <w:pPr>
        <w:jc w:val="center"/>
      </w:pPr>
      <w:r>
        <w:rPr>
          <w:b w:val="0"/>
          <w:i w:val="0"/>
          <w:color w:val="7F7F7F"/>
          <w:sz w:val="20"/>
        </w:rPr>
        <w:t>Prepared: March 2026  ·  Platform: PA-5400 Series HA A/P</w:t>
      </w:r>
    </w:p>
    <w:p/>
    <w:p>
      <w:pPr>
        <w:pBdr>
          <w:bottom w:val="single" w:sz="6" w:space="1" w:color="00467F"/>
        </w:pBdr>
        <w:spacing w:before="360" w:after="120"/>
      </w:pPr>
      <w:r>
        <w:rPr>
          <w:b/>
          <w:i w:val="0"/>
          <w:color w:val="00467F"/>
          <w:sz w:val="32"/>
        </w:rPr>
        <w:t>1. Core Design Principles</w:t>
      </w:r>
    </w:p>
    <w:p>
      <w:pPr>
        <w:spacing w:after="120"/>
      </w:pPr>
      <w:r>
        <w:rPr>
          <w:sz w:val="22"/>
        </w:rPr>
        <w:t>The following principles form the architectural foundation of this design. They are deliberately orthogonal — each addresses a distinct concern — and together define the service contract the platform provides to all stakeholders.</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00467F"/>
          </w:tcPr>
          <w:p>
            <w:r>
              <w:rPr>
                <w:b/>
                <w:i w:val="0"/>
                <w:color w:val="FFFFFF"/>
                <w:sz w:val="20"/>
              </w:rPr>
              <w:t>Principle</w:t>
            </w:r>
          </w:p>
        </w:tc>
        <w:tc>
          <w:tcPr>
            <w:tcW w:type="dxa" w:w="3600"/>
            <w:shd w:val="clear" w:color="auto" w:fill="00467F"/>
          </w:tcPr>
          <w:p>
            <w:r>
              <w:rPr>
                <w:b/>
                <w:i w:val="0"/>
                <w:color w:val="FFFFFF"/>
                <w:sz w:val="20"/>
              </w:rPr>
              <w:t>Mechanism</w:t>
            </w:r>
          </w:p>
        </w:tc>
        <w:tc>
          <w:tcPr>
            <w:tcW w:type="dxa" w:w="3600"/>
            <w:shd w:val="clear" w:color="auto" w:fill="00467F"/>
          </w:tcPr>
          <w:p>
            <w:r>
              <w:rPr>
                <w:b/>
                <w:i w:val="0"/>
                <w:color w:val="FFFFFF"/>
                <w:sz w:val="20"/>
              </w:rPr>
              <w:t>Stakeholder Benefit</w:t>
            </w:r>
          </w:p>
        </w:tc>
      </w:tr>
      <w:tr>
        <w:tc>
          <w:tcPr>
            <w:tcW w:type="dxa" w:w="2880"/>
            <w:shd w:val="clear" w:color="auto" w:fill="EEF3F8"/>
          </w:tcPr>
          <w:p>
            <w:r>
              <w:rPr>
                <w:b/>
                <w:i w:val="0"/>
                <w:sz w:val="20"/>
              </w:rPr>
              <w:t>Tenant-per-Tunnel Isolation</w:t>
            </w:r>
          </w:p>
        </w:tc>
        <w:tc>
          <w:tcPr>
            <w:tcW w:type="dxa" w:w="3600"/>
            <w:shd w:val="clear" w:color="auto" w:fill="EEF3F8"/>
          </w:tcPr>
          <w:p>
            <w:r>
              <w:rPr>
                <w:b w:val="0"/>
                <w:i w:val="0"/>
                <w:sz w:val="20"/>
              </w:rPr>
              <w:t>Dedicated VR, zones, and tunnel interface per IPsec connection</w:t>
            </w:r>
          </w:p>
        </w:tc>
        <w:tc>
          <w:tcPr>
            <w:tcW w:type="dxa" w:w="3600"/>
            <w:shd w:val="clear" w:color="auto" w:fill="EEF3F8"/>
          </w:tcPr>
          <w:p>
            <w:r>
              <w:rPr>
                <w:b w:val="0"/>
                <w:i w:val="0"/>
                <w:sz w:val="20"/>
              </w:rPr>
              <w:t>Fault containment; zero cross-tenant visibility</w:t>
            </w:r>
          </w:p>
        </w:tc>
      </w:tr>
      <w:tr>
        <w:tc>
          <w:tcPr>
            <w:tcW w:type="dxa" w:w="2880"/>
            <w:shd w:val="clear" w:color="auto" w:fill="FFFFFF"/>
          </w:tcPr>
          <w:p>
            <w:r>
              <w:rPr>
                <w:b/>
                <w:i w:val="0"/>
                <w:sz w:val="20"/>
              </w:rPr>
              <w:t>Multi-VSYS Sharding</w:t>
            </w:r>
          </w:p>
        </w:tc>
        <w:tc>
          <w:tcPr>
            <w:tcW w:type="dxa" w:w="3600"/>
            <w:shd w:val="clear" w:color="auto" w:fill="FFFFFF"/>
          </w:tcPr>
          <w:p>
            <w:r>
              <w:rPr>
                <w:b w:val="0"/>
                <w:i w:val="0"/>
                <w:sz w:val="20"/>
              </w:rPr>
              <w:t>Tunnels distributed ~90–120 per VSYS shard</w:t>
            </w:r>
          </w:p>
        </w:tc>
        <w:tc>
          <w:tcPr>
            <w:tcW w:type="dxa" w:w="3600"/>
            <w:shd w:val="clear" w:color="auto" w:fill="FFFFFF"/>
          </w:tcPr>
          <w:p>
            <w:r>
              <w:rPr>
                <w:b w:val="0"/>
                <w:i w:val="0"/>
                <w:sz w:val="20"/>
              </w:rPr>
              <w:t>Horizontal scale without platform redesign</w:t>
            </w:r>
          </w:p>
        </w:tc>
      </w:tr>
      <w:tr>
        <w:tc>
          <w:tcPr>
            <w:tcW w:type="dxa" w:w="2880"/>
            <w:shd w:val="clear" w:color="auto" w:fill="EEF3F8"/>
          </w:tcPr>
          <w:p>
            <w:r>
              <w:rPr>
                <w:b/>
                <w:i w:val="0"/>
                <w:sz w:val="20"/>
              </w:rPr>
              <w:t>Per-Tunnel Egress Identity</w:t>
            </w:r>
          </w:p>
        </w:tc>
        <w:tc>
          <w:tcPr>
            <w:tcW w:type="dxa" w:w="3600"/>
            <w:shd w:val="clear" w:color="auto" w:fill="EEF3F8"/>
          </w:tcPr>
          <w:p>
            <w:r>
              <w:rPr>
                <w:b w:val="0"/>
                <w:i w:val="0"/>
                <w:sz w:val="20"/>
              </w:rPr>
              <w:t>Dedicated SNAT /32 per tunnel anchored in DMZ zone</w:t>
            </w:r>
          </w:p>
        </w:tc>
        <w:tc>
          <w:tcPr>
            <w:tcW w:type="dxa" w:w="3600"/>
            <w:shd w:val="clear" w:color="auto" w:fill="EEF3F8"/>
          </w:tcPr>
          <w:p>
            <w:r>
              <w:rPr>
                <w:b w:val="0"/>
                <w:i w:val="0"/>
                <w:sz w:val="20"/>
              </w:rPr>
              <w:t>Deterministic audit trails; clean SIEM attribution</w:t>
            </w:r>
          </w:p>
        </w:tc>
      </w:tr>
      <w:tr>
        <w:tc>
          <w:tcPr>
            <w:tcW w:type="dxa" w:w="2880"/>
            <w:shd w:val="clear" w:color="auto" w:fill="FFFFFF"/>
          </w:tcPr>
          <w:p>
            <w:r>
              <w:rPr>
                <w:b/>
                <w:i w:val="0"/>
                <w:sz w:val="20"/>
              </w:rPr>
              <w:t>Summarized Routing Only</w:t>
            </w:r>
          </w:p>
        </w:tc>
        <w:tc>
          <w:tcPr>
            <w:tcW w:type="dxa" w:w="3600"/>
            <w:shd w:val="clear" w:color="auto" w:fill="FFFFFF"/>
          </w:tcPr>
          <w:p>
            <w:r>
              <w:rPr>
                <w:b w:val="0"/>
                <w:i w:val="0"/>
                <w:sz w:val="20"/>
              </w:rPr>
              <w:t>BGP advertises /24 SNAT blocks; OSPF handles loopback reachability</w:t>
            </w:r>
          </w:p>
        </w:tc>
        <w:tc>
          <w:tcPr>
            <w:tcW w:type="dxa" w:w="3600"/>
            <w:shd w:val="clear" w:color="auto" w:fill="FFFFFF"/>
          </w:tcPr>
          <w:p>
            <w:r>
              <w:rPr>
                <w:b w:val="0"/>
                <w:i w:val="0"/>
                <w:sz w:val="20"/>
              </w:rPr>
              <w:t>Core network insulated from tunnel churn</w:t>
            </w:r>
          </w:p>
        </w:tc>
      </w:tr>
      <w:tr>
        <w:tc>
          <w:tcPr>
            <w:tcW w:type="dxa" w:w="2880"/>
            <w:shd w:val="clear" w:color="auto" w:fill="EEF3F8"/>
          </w:tcPr>
          <w:p>
            <w:r>
              <w:rPr>
                <w:b/>
                <w:i w:val="0"/>
                <w:sz w:val="20"/>
              </w:rPr>
              <w:t>Zero-Trust Posture</w:t>
            </w:r>
          </w:p>
        </w:tc>
        <w:tc>
          <w:tcPr>
            <w:tcW w:type="dxa" w:w="3600"/>
            <w:shd w:val="clear" w:color="auto" w:fill="EEF3F8"/>
          </w:tcPr>
          <w:p>
            <w:r>
              <w:rPr>
                <w:b w:val="0"/>
                <w:i w:val="0"/>
                <w:sz w:val="20"/>
              </w:rPr>
              <w:t>All IPsec zones treated as UNTRUST; explicit allow policies only</w:t>
            </w:r>
          </w:p>
        </w:tc>
        <w:tc>
          <w:tcPr>
            <w:tcW w:type="dxa" w:w="3600"/>
            <w:shd w:val="clear" w:color="auto" w:fill="EEF3F8"/>
          </w:tcPr>
          <w:p>
            <w:r>
              <w:rPr>
                <w:b w:val="0"/>
                <w:i w:val="0"/>
                <w:sz w:val="20"/>
              </w:rPr>
              <w:t>Reduces blast radius of any partner compromise</w:t>
            </w:r>
          </w:p>
        </w:tc>
      </w:tr>
      <w:tr>
        <w:tc>
          <w:tcPr>
            <w:tcW w:type="dxa" w:w="2880"/>
            <w:shd w:val="clear" w:color="auto" w:fill="FFFFFF"/>
          </w:tcPr>
          <w:p>
            <w:r>
              <w:rPr>
                <w:b/>
                <w:i w:val="0"/>
                <w:sz w:val="20"/>
              </w:rPr>
              <w:t>DMZ Expansion Hook</w:t>
            </w:r>
          </w:p>
        </w:tc>
        <w:tc>
          <w:tcPr>
            <w:tcW w:type="dxa" w:w="3600"/>
            <w:shd w:val="clear" w:color="auto" w:fill="FFFFFF"/>
          </w:tcPr>
          <w:p>
            <w:r>
              <w:rPr>
                <w:b w:val="0"/>
                <w:i w:val="0"/>
                <w:sz w:val="20"/>
              </w:rPr>
              <w:t>DMZ zone is a stable L3 attachment point, intentionally left sparse</w:t>
            </w:r>
          </w:p>
        </w:tc>
        <w:tc>
          <w:tcPr>
            <w:tcW w:type="dxa" w:w="3600"/>
            <w:shd w:val="clear" w:color="auto" w:fill="FFFFFF"/>
          </w:tcPr>
          <w:p>
            <w:r>
              <w:rPr>
                <w:b w:val="0"/>
                <w:i w:val="0"/>
                <w:sz w:val="20"/>
              </w:rPr>
              <w:t>Enables future service insertion without redesign</w:t>
            </w:r>
          </w:p>
        </w:tc>
      </w:tr>
      <w:tr>
        <w:tc>
          <w:tcPr>
            <w:tcW w:type="dxa" w:w="2880"/>
            <w:shd w:val="clear" w:color="auto" w:fill="EEF3F8"/>
          </w:tcPr>
          <w:p>
            <w:r>
              <w:rPr>
                <w:b/>
                <w:i w:val="0"/>
                <w:sz w:val="20"/>
              </w:rPr>
              <w:t>HA Active/Passive Cluster</w:t>
            </w:r>
          </w:p>
        </w:tc>
        <w:tc>
          <w:tcPr>
            <w:tcW w:type="dxa" w:w="3600"/>
            <w:shd w:val="clear" w:color="auto" w:fill="EEF3F8"/>
          </w:tcPr>
          <w:p>
            <w:r>
              <w:rPr>
                <w:b w:val="0"/>
                <w:i w:val="0"/>
                <w:sz w:val="20"/>
              </w:rPr>
              <w:t>Cluster is the failure domain; summaries stable across failover</w:t>
            </w:r>
          </w:p>
        </w:tc>
        <w:tc>
          <w:tcPr>
            <w:tcW w:type="dxa" w:w="3600"/>
            <w:shd w:val="clear" w:color="auto" w:fill="EEF3F8"/>
          </w:tcPr>
          <w:p>
            <w:r>
              <w:rPr>
                <w:b w:val="0"/>
                <w:i w:val="0"/>
                <w:sz w:val="20"/>
              </w:rPr>
              <w:t>Predictable recovery; no routing reconvergence</w:t>
            </w:r>
          </w:p>
        </w:tc>
      </w:tr>
      <w:tr>
        <w:tc>
          <w:tcPr>
            <w:tcW w:type="dxa" w:w="2880"/>
            <w:shd w:val="clear" w:color="auto" w:fill="FFFFFF"/>
          </w:tcPr>
          <w:p>
            <w:r>
              <w:rPr>
                <w:b/>
                <w:i w:val="0"/>
                <w:sz w:val="20"/>
              </w:rPr>
              <w:t>Operational Templating</w:t>
            </w:r>
          </w:p>
        </w:tc>
        <w:tc>
          <w:tcPr>
            <w:tcW w:type="dxa" w:w="3600"/>
            <w:shd w:val="clear" w:color="auto" w:fill="FFFFFF"/>
          </w:tcPr>
          <w:p>
            <w:r>
              <w:rPr>
                <w:b w:val="0"/>
                <w:i w:val="0"/>
                <w:sz w:val="20"/>
              </w:rPr>
              <w:t>Panorama templates + variable dictionaries per tenant</w:t>
            </w:r>
          </w:p>
        </w:tc>
        <w:tc>
          <w:tcPr>
            <w:tcW w:type="dxa" w:w="3600"/>
            <w:shd w:val="clear" w:color="auto" w:fill="FFFFFF"/>
          </w:tcPr>
          <w:p>
            <w:r>
              <w:rPr>
                <w:b w:val="0"/>
                <w:i w:val="0"/>
                <w:sz w:val="20"/>
              </w:rPr>
              <w:t>Repeatable onboarding; eliminates manual config drift</w:t>
            </w:r>
          </w:p>
        </w:tc>
      </w:tr>
    </w:tbl>
    <w:p/>
    <w:p>
      <w:pPr>
        <w:pBdr>
          <w:bottom w:val="single" w:sz="6" w:space="1" w:color="00467F"/>
        </w:pBdr>
        <w:spacing w:before="360" w:after="120"/>
      </w:pPr>
      <w:r>
        <w:rPr>
          <w:b/>
          <w:i w:val="0"/>
          <w:color w:val="00467F"/>
          <w:sz w:val="32"/>
        </w:rPr>
        <w:t>2. Design Strengths</w:t>
      </w:r>
    </w:p>
    <w:p>
      <w:pPr>
        <w:spacing w:after="120"/>
      </w:pPr>
      <w:r>
        <w:rPr>
          <w:sz w:val="22"/>
        </w:rPr>
        <w:t>Before challenging the design, it is important to acknowledge what it does well.</w:t>
      </w:r>
    </w:p>
    <w:p>
      <w:pPr>
        <w:pStyle w:val="ListBullet"/>
        <w:spacing w:after="60"/>
      </w:pPr>
      <w:r>
        <w:rPr>
          <w:b/>
          <w:i w:val="0"/>
          <w:sz w:val="22"/>
        </w:rPr>
        <w:t xml:space="preserve">Strong isolation model. </w:t>
      </w:r>
      <w:r>
        <w:rPr>
          <w:b w:val="0"/>
          <w:i w:val="0"/>
          <w:sz w:val="22"/>
        </w:rPr>
        <w:t>The VR-per-tunnel model is best practice for this scale. Shared VRs at 500+ tunnels become unmanageable; dedicated VRs eliminate the risk of accidental route leakage between tenants.</w:t>
      </w:r>
    </w:p>
    <w:p>
      <w:pPr>
        <w:pStyle w:val="ListBullet"/>
        <w:spacing w:after="60"/>
      </w:pPr>
      <w:r>
        <w:rPr>
          <w:b/>
          <w:i w:val="0"/>
          <w:sz w:val="22"/>
        </w:rPr>
        <w:t xml:space="preserve">Summarized routing is architecturally sound. </w:t>
      </w:r>
      <w:r>
        <w:rPr>
          <w:b w:val="0"/>
          <w:i w:val="0"/>
          <w:sz w:val="22"/>
        </w:rPr>
        <w:t>Advertising only /24 summaries means the addition or removal of any individual tunnel is invisible to upstream routers. This is critical for a platform intended to host 1,000+ connections.</w:t>
      </w:r>
    </w:p>
    <w:p>
      <w:pPr>
        <w:pStyle w:val="ListBullet"/>
        <w:spacing w:after="60"/>
      </w:pPr>
      <w:r>
        <w:rPr>
          <w:b/>
          <w:i w:val="0"/>
          <w:sz w:val="22"/>
        </w:rPr>
        <w:t xml:space="preserve">Forward-looking DMZ hook. </w:t>
      </w:r>
      <w:r>
        <w:rPr>
          <w:b w:val="0"/>
          <w:i w:val="0"/>
          <w:sz w:val="22"/>
        </w:rPr>
        <w:t>The DMZ zone expansion hook is an elegant forward-looking design choice. By reserving a zone and SNAT pool today, the architecture avoids a forced redesign when proxy, DLP, or TLS inspection is eventually required.</w:t>
      </w:r>
    </w:p>
    <w:p>
      <w:pPr>
        <w:pStyle w:val="ListBullet"/>
        <w:spacing w:after="60"/>
      </w:pPr>
      <w:r>
        <w:rPr>
          <w:b/>
          <w:i w:val="0"/>
          <w:sz w:val="22"/>
        </w:rPr>
        <w:t xml:space="preserve">Rekey storm mitigation is explicit. </w:t>
      </w:r>
      <w:r>
        <w:rPr>
          <w:b w:val="0"/>
          <w:i w:val="0"/>
          <w:sz w:val="22"/>
        </w:rPr>
        <w:t>Cohort onboarding (20–50 at a time) and jittered IKE lifetimes are appropriate operational safeguards against rekey storms that are often overlooked in large-scale IPsec deployments.</w:t>
      </w:r>
    </w:p>
    <w:p>
      <w:pPr>
        <w:pStyle w:val="ListBullet"/>
        <w:spacing w:after="60"/>
      </w:pPr>
      <w:r>
        <w:rPr>
          <w:b/>
          <w:i w:val="0"/>
          <w:sz w:val="22"/>
        </w:rPr>
        <w:t xml:space="preserve">Panorama-driven automation. </w:t>
      </w:r>
      <w:r>
        <w:rPr>
          <w:b w:val="0"/>
          <w:i w:val="0"/>
          <w:sz w:val="22"/>
        </w:rPr>
        <w:t>Panorama templating with variable dictionaries is the correct approach for this scale. Manual per-device configuration at 500+ tenants is operationally untenable.</w:t>
      </w:r>
    </w:p>
    <w:p>
      <w:pPr>
        <w:pBdr>
          <w:bottom w:val="single" w:sz="6" w:space="1" w:color="00467F"/>
        </w:pBdr>
        <w:spacing w:before="360" w:after="120"/>
      </w:pPr>
      <w:r>
        <w:rPr>
          <w:b/>
          <w:i w:val="0"/>
          <w:color w:val="00467F"/>
          <w:sz w:val="32"/>
        </w:rPr>
        <w:t>3. Design Challenges &amp; Identified Gaps</w:t>
      </w:r>
    </w:p>
    <w:p>
      <w:pPr>
        <w:spacing w:after="120"/>
      </w:pPr>
      <w:r>
        <w:rPr>
          <w:sz w:val="22"/>
        </w:rPr>
        <w:t>The following challenges are raised as architectural and operational risks. Each is accompanied by a severity rating and recommended resolution.</w:t>
      </w:r>
    </w:p>
    <w:p>
      <w:pPr>
        <w:spacing w:before="240" w:after="80"/>
      </w:pPr>
      <w:r>
        <w:rPr>
          <w:b/>
          <w:i w:val="0"/>
          <w:color w:val="1F497D"/>
          <w:sz w:val="26"/>
        </w:rPr>
        <w:t>3.1  IKE Anchor Resilience — Loopback /32 as a Single Point of Failure</w:t>
      </w:r>
    </w:p>
    <w:p>
      <w:pPr>
        <w:spacing w:after="160"/>
        <w:ind w:left="432"/>
        <w:pBdr>
          <w:left w:val="single" w:sz="12" w:space="4" w:color="C0504D"/>
        </w:pBdr>
      </w:pPr>
      <w:r>
        <w:rPr>
          <w:b/>
          <w:i w:val="0"/>
          <w:color w:val="C0504D"/>
          <w:sz w:val="22"/>
        </w:rPr>
        <w:t xml:space="preserve">⚠  SEVERITY: HIGH  </w:t>
      </w:r>
      <w:r>
        <w:rPr>
          <w:b w:val="0"/>
          <w:i/>
          <w:sz w:val="22"/>
        </w:rPr>
        <w:t>Each IPsec tunnel is anchored to a single loopback /32. Loss of OSPF reachability to that loopback drops the tunnel entirely.</w:t>
      </w:r>
    </w:p>
    <w:p>
      <w:pPr>
        <w:spacing w:after="120"/>
      </w:pPr>
      <w:r>
        <w:rPr>
          <w:sz w:val="22"/>
        </w:rPr>
        <w:t>The design uses OSPF to distribute loopback /32 reachability internally, but does not address what happens when OSPF adjacency is lost or a specific loopback becomes unreachable independently of the firewall itself. In an HA A/P scenario, the passive node's loopbacks are administratively present but functionally silent — this is expected — but the documents do not describe the OSPF cost or preemption behavior during failover, nor the expected re-establishment window for IKE.</w:t>
      </w:r>
    </w:p>
    <w:p>
      <w:pPr>
        <w:pStyle w:val="ListBullet"/>
        <w:spacing w:after="60"/>
      </w:pPr>
      <w:r>
        <w:rPr>
          <w:b w:val="0"/>
          <w:i w:val="0"/>
          <w:sz w:val="22"/>
        </w:rPr>
        <w:t>Document the OSPF metric/cost for loopback interfaces and the expected convergence time post-failover.</w:t>
      </w:r>
    </w:p>
    <w:p>
      <w:pPr>
        <w:pStyle w:val="ListBullet"/>
        <w:spacing w:after="60"/>
      </w:pPr>
      <w:r>
        <w:rPr>
          <w:b w:val="0"/>
          <w:i w:val="0"/>
          <w:sz w:val="22"/>
        </w:rPr>
        <w:t>Define the target IKE re-establishment SLA (e.g., &lt;30 seconds) and validate it during HA testing.</w:t>
      </w:r>
    </w:p>
    <w:p>
      <w:pPr>
        <w:pStyle w:val="ListBullet"/>
        <w:spacing w:after="60"/>
      </w:pPr>
      <w:r>
        <w:rPr>
          <w:b w:val="0"/>
          <w:i w:val="0"/>
          <w:sz w:val="22"/>
        </w:rPr>
        <w:t>Consider dead peer detection (DPD) timer alignment with OSPF convergence to prevent asymmetric state.</w:t>
      </w:r>
    </w:p>
    <w:p>
      <w:pPr>
        <w:spacing w:before="240" w:after="80"/>
      </w:pPr>
      <w:r>
        <w:rPr>
          <w:b/>
          <w:i w:val="0"/>
          <w:color w:val="1F497D"/>
          <w:sz w:val="26"/>
        </w:rPr>
        <w:t>3.2  VSYS Capacity Guardrails Are Undefined</w:t>
      </w:r>
    </w:p>
    <w:p>
      <w:pPr>
        <w:spacing w:after="160"/>
        <w:ind w:left="432"/>
        <w:pBdr>
          <w:left w:val="single" w:sz="12" w:space="4" w:color="C0504D"/>
        </w:pBdr>
      </w:pPr>
      <w:r>
        <w:rPr>
          <w:b/>
          <w:i w:val="0"/>
          <w:color w:val="C0504D"/>
          <w:sz w:val="22"/>
        </w:rPr>
        <w:t xml:space="preserve">⚠  SEVERITY: HIGH  </w:t>
      </w:r>
      <w:r>
        <w:rPr>
          <w:b w:val="0"/>
          <w:i/>
          <w:sz w:val="22"/>
        </w:rPr>
        <w:t>The design states 'expand before capacity guardrails are exceeded' but never quantifies the guardrails.</w:t>
      </w:r>
    </w:p>
    <w:p>
      <w:pPr>
        <w:spacing w:after="120"/>
      </w:pPr>
      <w:r>
        <w:rPr>
          <w:sz w:val="22"/>
        </w:rPr>
        <w:t>The 90–120 tunnel target per VSYS is stated as an initial target, but there are no defined thresholds that trigger a VSYS expansion event. The PA-5400 series has published per-VSYS limits for IPsec SAs, NAT sessions, and security policies, but these are not mapped to the architecture. Without concrete thresholds, operators will either over-provision VSYS shards (wasted capacity) or miss the expansion trigger entirely (causing a performance cliff).</w:t>
      </w:r>
    </w:p>
    <w:p>
      <w:pPr>
        <w:pStyle w:val="ListBullet"/>
        <w:spacing w:after="60"/>
      </w:pPr>
      <w:r>
        <w:rPr>
          <w:b w:val="0"/>
          <w:i w:val="0"/>
          <w:sz w:val="22"/>
        </w:rPr>
        <w:t>Define explicit expansion triggers per VSYS: e.g., &gt;80 tunnels, &gt;70% dataplane utilization, or &gt;X IKE/Child SAs.</w:t>
      </w:r>
    </w:p>
    <w:p>
      <w:pPr>
        <w:pStyle w:val="ListBullet"/>
        <w:spacing w:after="60"/>
      </w:pPr>
      <w:r>
        <w:rPr>
          <w:b w:val="0"/>
          <w:i w:val="0"/>
          <w:sz w:val="22"/>
        </w:rPr>
        <w:t>Reference PA-5400 Series published VSYS limits in the LLD and map them to the addressing plan.</w:t>
      </w:r>
    </w:p>
    <w:p>
      <w:pPr>
        <w:pStyle w:val="ListBullet"/>
        <w:spacing w:after="60"/>
      </w:pPr>
      <w:r>
        <w:rPr>
          <w:b w:val="0"/>
          <w:i w:val="0"/>
          <w:sz w:val="22"/>
        </w:rPr>
        <w:t>Automate VSYS utilization alerting in the monitoring dashboard — this should be a Day 1 operational requirement, not a Phase 4 optimization.</w:t>
      </w:r>
    </w:p>
    <w:p>
      <w:pPr>
        <w:spacing w:before="240" w:after="80"/>
      </w:pPr>
      <w:r>
        <w:rPr>
          <w:b/>
          <w:i w:val="0"/>
          <w:color w:val="1F497D"/>
          <w:sz w:val="26"/>
        </w:rPr>
        <w:t>3.3  BGP Peering Architecture Is Underspecified</w:t>
      </w:r>
    </w:p>
    <w:p>
      <w:pPr>
        <w:spacing w:after="160"/>
        <w:ind w:left="432"/>
        <w:pBdr>
          <w:left w:val="single" w:sz="12" w:space="4" w:color="D68400"/>
        </w:pBdr>
      </w:pPr>
      <w:r>
        <w:rPr>
          <w:b/>
          <w:i w:val="0"/>
          <w:color w:val="D68400"/>
          <w:sz w:val="22"/>
        </w:rPr>
        <w:t xml:space="preserve">⚠  SEVERITY: MEDIUM-HIGH  </w:t>
      </w:r>
      <w:r>
        <w:rPr>
          <w:b w:val="0"/>
          <w:i/>
          <w:sz w:val="22"/>
        </w:rPr>
        <w:t>The documents describe BGP for SNAT advertisement but omit critical BGP design details.</w:t>
      </w:r>
    </w:p>
    <w:p>
      <w:pPr>
        <w:spacing w:after="120"/>
      </w:pPr>
      <w:r>
        <w:rPr>
          <w:sz w:val="22"/>
        </w:rPr>
        <w:t>The design references advertising summarized /24 SNAT blocks via BGP upstream but does not specify: the BGP peer topology (iBGP vs eBGP), whether the firewall cluster peers directly with the edge or via a route reflector, BGP timer configuration, or what happens to advertised prefixes during HA failover. A misconfigured BGP session could black-hole all SNAT-originated traffic silently.</w:t>
      </w:r>
    </w:p>
    <w:p>
      <w:pPr>
        <w:pStyle w:val="ListBullet"/>
        <w:spacing w:after="60"/>
      </w:pPr>
      <w:r>
        <w:rPr>
          <w:b w:val="0"/>
          <w:i w:val="0"/>
          <w:sz w:val="22"/>
        </w:rPr>
        <w:t>Specify BGP AS numbers, peer relationships (iBGP/eBGP), and whether a route reflector is in path.</w:t>
      </w:r>
    </w:p>
    <w:p>
      <w:pPr>
        <w:pStyle w:val="ListBullet"/>
        <w:spacing w:after="60"/>
      </w:pPr>
      <w:r>
        <w:rPr>
          <w:b w:val="0"/>
          <w:i w:val="0"/>
          <w:sz w:val="22"/>
        </w:rPr>
        <w:t>Define BGP hold-timer and keepalive values and their relationship to HA failover time.</w:t>
      </w:r>
    </w:p>
    <w:p>
      <w:pPr>
        <w:pStyle w:val="ListBullet"/>
        <w:spacing w:after="60"/>
      </w:pPr>
      <w:r>
        <w:rPr>
          <w:b w:val="0"/>
          <w:i w:val="0"/>
          <w:sz w:val="22"/>
        </w:rPr>
        <w:t>Document the BGP withdrawal behavior on failover — summaries should remain stable via the passive node or via a floating IP on the upstream router.</w:t>
      </w:r>
    </w:p>
    <w:p>
      <w:pPr>
        <w:pStyle w:val="ListBullet"/>
        <w:spacing w:after="60"/>
      </w:pPr>
      <w:r>
        <w:rPr>
          <w:b w:val="0"/>
          <w:i w:val="0"/>
          <w:sz w:val="22"/>
        </w:rPr>
        <w:t>Add BGP prefix filtering (outbound) to prevent accidental advertisement of tunnel /30s or remote partner prefixes.</w:t>
      </w:r>
    </w:p>
    <w:p>
      <w:pPr>
        <w:spacing w:before="240" w:after="80"/>
      </w:pPr>
      <w:r>
        <w:rPr>
          <w:b/>
          <w:i w:val="0"/>
          <w:color w:val="1F497D"/>
          <w:sz w:val="26"/>
        </w:rPr>
        <w:t>3.4  PSK Management at Scale Is a Security Risk</w:t>
      </w:r>
    </w:p>
    <w:p>
      <w:pPr>
        <w:spacing w:after="160"/>
        <w:ind w:left="432"/>
        <w:pBdr>
          <w:left w:val="single" w:sz="12" w:space="4" w:color="C0504D"/>
        </w:pBdr>
      </w:pPr>
      <w:r>
        <w:rPr>
          <w:b/>
          <w:i w:val="0"/>
          <w:color w:val="C0504D"/>
          <w:sz w:val="22"/>
        </w:rPr>
        <w:t xml:space="preserve">⚠  SEVERITY: HIGH  </w:t>
      </w:r>
      <w:r>
        <w:rPr>
          <w:b w:val="0"/>
          <w:i/>
          <w:sz w:val="22"/>
        </w:rPr>
        <w:t>PSK-per-tunnel across 500–1,000 tunnels is a significant secrets management challenge that is underaddressed.</w:t>
      </w:r>
    </w:p>
    <w:p>
      <w:pPr>
        <w:spacing w:after="120"/>
      </w:pPr>
      <w:r>
        <w:rPr>
          <w:sz w:val="22"/>
        </w:rPr>
        <w:t>The design correctly identifies PSK rotation as a governance requirement and references a 'key rotation runbook', but provides no detail on storage, distribution, or rotation automation. At 500+ tenants, manual PSK rotation is operationally impractical and creates a long-window exposure risk if a PSK is compromised. The RFP mentions 'secrets management' but does not require certificate-based IKE as an alternative.</w:t>
      </w:r>
    </w:p>
    <w:p>
      <w:pPr>
        <w:pStyle w:val="ListBullet"/>
        <w:spacing w:after="60"/>
      </w:pPr>
      <w:r>
        <w:rPr>
          <w:b w:val="0"/>
          <w:i w:val="0"/>
          <w:sz w:val="22"/>
        </w:rPr>
        <w:t>Evaluate IKEv2 certificate-based authentication as the primary method for new tunnel onboarding, reserving PSK for legacy partner compatibility only.</w:t>
      </w:r>
    </w:p>
    <w:p>
      <w:pPr>
        <w:pStyle w:val="ListBullet"/>
        <w:spacing w:after="60"/>
      </w:pPr>
      <w:r>
        <w:rPr>
          <w:b w:val="0"/>
          <w:i w:val="0"/>
          <w:sz w:val="22"/>
        </w:rPr>
        <w:t>Require PSK storage in a secrets vault (e.g., HashiCorp Vault, CyberArk) with API-driven rotation integrated into Panorama onboarding templates.</w:t>
      </w:r>
    </w:p>
    <w:p>
      <w:pPr>
        <w:pStyle w:val="ListBullet"/>
        <w:spacing w:after="60"/>
      </w:pPr>
      <w:r>
        <w:rPr>
          <w:b w:val="0"/>
          <w:i w:val="0"/>
          <w:sz w:val="22"/>
        </w:rPr>
        <w:t>Define a maximum PSK age policy (e.g., 365 days) and an automated rotation workflow.</w:t>
      </w:r>
    </w:p>
    <w:p>
      <w:pPr>
        <w:pStyle w:val="ListBullet"/>
        <w:spacing w:after="60"/>
      </w:pPr>
      <w:r>
        <w:rPr>
          <w:b w:val="0"/>
          <w:i w:val="0"/>
          <w:sz w:val="22"/>
        </w:rPr>
        <w:t>Implement PSK uniqueness enforcement — reused PSKs across tenants are a lateral movement risk.</w:t>
      </w:r>
    </w:p>
    <w:p>
      <w:pPr>
        <w:spacing w:before="240" w:after="80"/>
      </w:pPr>
      <w:r>
        <w:rPr>
          <w:b/>
          <w:i w:val="0"/>
          <w:color w:val="1F497D"/>
          <w:sz w:val="26"/>
        </w:rPr>
        <w:t>3.5  MTU/MSS Strategy Is Deferred — VDI Sensitivity Makes This Critical</w:t>
      </w:r>
    </w:p>
    <w:p>
      <w:pPr>
        <w:spacing w:after="160"/>
        <w:ind w:left="432"/>
        <w:pBdr>
          <w:left w:val="single" w:sz="12" w:space="4" w:color="D68400"/>
        </w:pBdr>
      </w:pPr>
      <w:r>
        <w:rPr>
          <w:b/>
          <w:i w:val="0"/>
          <w:color w:val="D68400"/>
          <w:sz w:val="22"/>
        </w:rPr>
        <w:t xml:space="preserve">⚠  SEVERITY: MEDIUM  </w:t>
      </w:r>
      <w:r>
        <w:rPr>
          <w:b w:val="0"/>
          <w:i/>
          <w:sz w:val="22"/>
        </w:rPr>
        <w:t>MTU/MSS tuning is listed as a Phase 4 optimization item, but IPsec encapsulation overhead affecting VDI flows should be validated at pilot, not optimization.</w:t>
      </w:r>
    </w:p>
    <w:p>
      <w:pPr>
        <w:spacing w:after="120"/>
      </w:pPr>
      <w:r>
        <w:rPr>
          <w:sz w:val="22"/>
        </w:rPr>
        <w:t>IPsec/GRE encapsulation with NAT-T adds significant header overhead (typically 70–80 bytes). For VDI protocols (RDP, PCoIP, Blast) that use large UDP frames, this can cause silent fragmentation or packet drops if MSS clamping is not applied from Day 1. VDI performance degradation is a high-visibility operational issue that will surface immediately with end users.</w:t>
      </w:r>
    </w:p>
    <w:p>
      <w:pPr>
        <w:pStyle w:val="ListBullet"/>
        <w:spacing w:after="60"/>
      </w:pPr>
      <w:r>
        <w:rPr>
          <w:b w:val="0"/>
          <w:i w:val="0"/>
          <w:sz w:val="22"/>
        </w:rPr>
        <w:t>Move MTU/MSS validation from Phase 4 to the Pilot phase validation checklist.</w:t>
      </w:r>
    </w:p>
    <w:p>
      <w:pPr>
        <w:pStyle w:val="ListBullet"/>
        <w:spacing w:after="60"/>
      </w:pPr>
      <w:r>
        <w:rPr>
          <w:b w:val="0"/>
          <w:i w:val="0"/>
          <w:sz w:val="22"/>
        </w:rPr>
        <w:t>Define a standard MSS clamp value (1350–1370 as referenced in the engineering doc) and apply it in Panorama templates from Day 1.</w:t>
      </w:r>
    </w:p>
    <w:p>
      <w:pPr>
        <w:pStyle w:val="ListBullet"/>
        <w:spacing w:after="60"/>
      </w:pPr>
      <w:r>
        <w:rPr>
          <w:b w:val="0"/>
          <w:i w:val="0"/>
          <w:sz w:val="22"/>
        </w:rPr>
        <w:t>Test specifically with VDI protocols (RDP/PCoIP/Blast) during pilot — not just generic ICMP path MTU discovery.</w:t>
      </w:r>
    </w:p>
    <w:p>
      <w:pPr>
        <w:spacing w:before="240" w:after="80"/>
      </w:pPr>
      <w:r>
        <w:rPr>
          <w:b/>
          <w:i w:val="0"/>
          <w:color w:val="1F497D"/>
          <w:sz w:val="26"/>
        </w:rPr>
        <w:t>3.6  Monitoring and Observability Are Insufficiently Defined</w:t>
      </w:r>
    </w:p>
    <w:p>
      <w:pPr>
        <w:spacing w:after="160"/>
        <w:ind w:left="432"/>
        <w:pBdr>
          <w:left w:val="single" w:sz="12" w:space="4" w:color="D68400"/>
        </w:pBdr>
      </w:pPr>
      <w:r>
        <w:rPr>
          <w:b/>
          <w:i w:val="0"/>
          <w:color w:val="D68400"/>
          <w:sz w:val="22"/>
        </w:rPr>
        <w:t xml:space="preserve">⚠  SEVERITY: MEDIUM  </w:t>
      </w:r>
      <w:r>
        <w:rPr>
          <w:b w:val="0"/>
          <w:i/>
          <w:sz w:val="22"/>
        </w:rPr>
        <w:t>KPIs are listed but no monitoring architecture, tooling, or alerting thresholds are specified.</w:t>
      </w:r>
    </w:p>
    <w:p>
      <w:pPr>
        <w:spacing w:after="120"/>
      </w:pPr>
      <w:r>
        <w:rPr>
          <w:sz w:val="22"/>
        </w:rPr>
        <w:t>The design mentions SIEM tagging, Panorama, tunnel flap rate, and dataplane utilization as KPIs but does not define the monitoring stack, alert thresholds, on-call runbooks, or how per-tenant SNAT hit counts are surfaced for billing or compliance purposes. At 500+ tenants, reactive monitoring is insufficient.</w:t>
      </w:r>
    </w:p>
    <w:p>
      <w:pPr>
        <w:pStyle w:val="ListBullet"/>
        <w:spacing w:after="60"/>
      </w:pPr>
      <w:r>
        <w:rPr>
          <w:b w:val="0"/>
          <w:i w:val="0"/>
          <w:sz w:val="22"/>
        </w:rPr>
        <w:t>Define the monitoring stack explicitly: Panorama + SIEM (e.g., Splunk/Sentinel) + network telemetry (e.g., sFlow/NetFlow).</w:t>
      </w:r>
    </w:p>
    <w:p>
      <w:pPr>
        <w:pStyle w:val="ListBullet"/>
        <w:spacing w:after="60"/>
      </w:pPr>
      <w:r>
        <w:rPr>
          <w:b w:val="0"/>
          <w:i w:val="0"/>
          <w:sz w:val="22"/>
        </w:rPr>
        <w:t>Specify per-tunnel alert thresholds: e.g., tunnel down &gt;60s = P2 alert; flap rate &gt;3/hour = P3 alert.</w:t>
      </w:r>
    </w:p>
    <w:p>
      <w:pPr>
        <w:pStyle w:val="ListBullet"/>
        <w:spacing w:after="60"/>
      </w:pPr>
      <w:r>
        <w:rPr>
          <w:b w:val="0"/>
          <w:i w:val="0"/>
          <w:sz w:val="22"/>
        </w:rPr>
        <w:t>Implement per-tenant SNAT hit count dashboards for compliance and capacity planning.</w:t>
      </w:r>
    </w:p>
    <w:p>
      <w:pPr>
        <w:pStyle w:val="ListBullet"/>
        <w:spacing w:after="60"/>
      </w:pPr>
      <w:r>
        <w:rPr>
          <w:b w:val="0"/>
          <w:i w:val="0"/>
          <w:sz w:val="22"/>
        </w:rPr>
        <w:t>Define a 'dark tunnel' detection policy — tunnels with zero traffic over X days should trigger review.</w:t>
      </w:r>
    </w:p>
    <w:p>
      <w:pPr>
        <w:spacing w:before="240" w:after="80"/>
      </w:pPr>
      <w:r>
        <w:rPr>
          <w:b/>
          <w:i w:val="0"/>
          <w:color w:val="1F497D"/>
          <w:sz w:val="26"/>
        </w:rPr>
        <w:t>3.7  No Multi-Region or Disaster Recovery Strategy</w:t>
      </w:r>
    </w:p>
    <w:p>
      <w:pPr>
        <w:spacing w:after="160"/>
        <w:ind w:left="432"/>
        <w:pBdr>
          <w:left w:val="single" w:sz="12" w:space="4" w:color="D68400"/>
        </w:pBdr>
      </w:pPr>
      <w:r>
        <w:rPr>
          <w:b/>
          <w:i w:val="0"/>
          <w:color w:val="D68400"/>
          <w:sz w:val="22"/>
        </w:rPr>
        <w:t xml:space="preserve">⚠  SEVERITY: MEDIUM  </w:t>
      </w:r>
      <w:r>
        <w:rPr>
          <w:b w:val="0"/>
          <w:i/>
          <w:sz w:val="22"/>
        </w:rPr>
        <w:t>The architecture is single-cluster. The PA-5400 HA A/P pair is the sole failure domain — a cluster-level failure drops all 500+ tenants simultaneously.</w:t>
      </w:r>
    </w:p>
    <w:p>
      <w:pPr>
        <w:spacing w:after="120"/>
      </w:pPr>
      <w:r>
        <w:rPr>
          <w:sz w:val="22"/>
        </w:rPr>
        <w:t>Active/Passive HA protects against single-node failure but not against cluster-level events such as a data centre power event, a software bug affecting both nodes simultaneously (split-brain), or planned maintenance requiring cluster downtime. The documents acknowledge 'the cluster is the failure domain' but do not address this risk from a business continuity perspective.</w:t>
      </w:r>
    </w:p>
    <w:p>
      <w:pPr>
        <w:pStyle w:val="ListBullet"/>
        <w:spacing w:after="60"/>
      </w:pPr>
      <w:r>
        <w:rPr>
          <w:b w:val="0"/>
          <w:i w:val="0"/>
          <w:sz w:val="22"/>
        </w:rPr>
        <w:t>Define an RTO/RPO for a cluster-level failure event.</w:t>
      </w:r>
    </w:p>
    <w:p>
      <w:pPr>
        <w:pStyle w:val="ListBullet"/>
        <w:spacing w:after="60"/>
      </w:pPr>
      <w:r>
        <w:rPr>
          <w:b w:val="0"/>
          <w:i w:val="0"/>
          <w:sz w:val="22"/>
        </w:rPr>
        <w:t>Evaluate a geographically dispersed secondary cluster for tier-1 tenants, with BGP anycast or DNS-based failover.</w:t>
      </w:r>
    </w:p>
    <w:p>
      <w:pPr>
        <w:pStyle w:val="ListBullet"/>
        <w:spacing w:after="60"/>
      </w:pPr>
      <w:r>
        <w:rPr>
          <w:b w:val="0"/>
          <w:i w:val="0"/>
          <w:sz w:val="22"/>
        </w:rPr>
        <w:t>Document the planned maintenance window strategy — can rolling upgrades be performed without dropping all tunnels?</w:t>
      </w:r>
    </w:p>
    <w:p>
      <w:pPr>
        <w:spacing w:before="240" w:after="80"/>
      </w:pPr>
      <w:r>
        <w:rPr>
          <w:b/>
          <w:i w:val="0"/>
          <w:color w:val="1F497D"/>
          <w:sz w:val="26"/>
        </w:rPr>
        <w:t>3.8  Bi-Directional NAT Complexity and Asymmetry Risk</w:t>
      </w:r>
    </w:p>
    <w:p>
      <w:pPr>
        <w:spacing w:after="160"/>
        <w:ind w:left="432"/>
        <w:pBdr>
          <w:left w:val="single" w:sz="12" w:space="4" w:color="599959"/>
        </w:pBdr>
      </w:pPr>
      <w:r>
        <w:rPr>
          <w:b/>
          <w:i w:val="0"/>
          <w:color w:val="599959"/>
          <w:sz w:val="22"/>
        </w:rPr>
        <w:t xml:space="preserve">⚠  SEVERITY: LOW-MEDIUM  </w:t>
      </w:r>
      <w:r>
        <w:rPr>
          <w:b w:val="0"/>
          <w:i/>
          <w:sz w:val="22"/>
        </w:rPr>
        <w:t>Optional bi-NAT (DNAT+SNAT) is included but the asymmetry and troubleshooting complexity at scale is not addressed.</w:t>
      </w:r>
    </w:p>
    <w:p>
      <w:pPr>
        <w:spacing w:after="120"/>
      </w:pPr>
      <w:r>
        <w:rPr>
          <w:sz w:val="22"/>
        </w:rPr>
        <w:t>Bi-directional NAT adds a second address space (+8 × /24) and requires that both inbound and outbound flows traverse the same cluster node to maintain session state. In an HA A/P design this is typically satisfied, but it complicates troubleshooting significantly — a technician must correlate pre-NAT and post-NAT addresses across both directions. At 500+ tenants with bi-NAT enabled, this becomes a support burden.</w:t>
      </w:r>
    </w:p>
    <w:p>
      <w:pPr>
        <w:pStyle w:val="ListBullet"/>
        <w:spacing w:after="60"/>
      </w:pPr>
      <w:r>
        <w:rPr>
          <w:b w:val="0"/>
          <w:i w:val="0"/>
          <w:sz w:val="22"/>
        </w:rPr>
        <w:t>Create a clear decision framework for when bi-NAT is required vs. when SNAT-only is sufficient.</w:t>
      </w:r>
    </w:p>
    <w:p>
      <w:pPr>
        <w:pStyle w:val="ListBullet"/>
        <w:spacing w:after="60"/>
      </w:pPr>
      <w:r>
        <w:rPr>
          <w:b w:val="0"/>
          <w:i w:val="0"/>
          <w:sz w:val="22"/>
        </w:rPr>
        <w:t>Build a NAT translation table lookup runbook so operators can quickly resolve pre/post-NAT addresses during incidents.</w:t>
      </w:r>
    </w:p>
    <w:p>
      <w:pPr>
        <w:pStyle w:val="ListBullet"/>
        <w:spacing w:after="60"/>
      </w:pPr>
      <w:r>
        <w:rPr>
          <w:b w:val="0"/>
          <w:i w:val="0"/>
          <w:sz w:val="22"/>
        </w:rPr>
        <w:t>Ensure SIEM logging captures both pre- and post-NAT addresses for forensic completeness.</w:t>
      </w:r>
    </w:p>
    <w:p>
      <w:pPr>
        <w:pBdr>
          <w:bottom w:val="single" w:sz="6" w:space="1" w:color="00467F"/>
        </w:pBdr>
        <w:spacing w:before="360" w:after="120"/>
      </w:pPr>
      <w:r>
        <w:rPr>
          <w:b/>
          <w:i w:val="0"/>
          <w:color w:val="00467F"/>
          <w:sz w:val="32"/>
        </w:rPr>
        <w:t>4. Prioritised Recommendations</w:t>
      </w:r>
    </w:p>
    <w:p>
      <w:pPr>
        <w:spacing w:after="120"/>
      </w:pPr>
      <w:r>
        <w:rPr>
          <w:sz w:val="22"/>
        </w:rPr>
        <w:t>The following table consolidates all recommendations by priority, mapped to the delivery phase where each should be addressed.</w:t>
      </w:r>
    </w:p>
    <w:tbl>
      <w:tblPr>
        <w:tblStyle w:val="TableGrid"/>
        <w:tblW w:type="auto" w:w="0"/>
        <w:tblLook w:firstColumn="1" w:firstRow="1" w:lastColumn="0" w:lastRow="0" w:noHBand="0" w:noVBand="1" w:val="04A0"/>
      </w:tblPr>
      <w:tblGrid>
        <w:gridCol w:w="2928"/>
        <w:gridCol w:w="2928"/>
        <w:gridCol w:w="2928"/>
      </w:tblGrid>
      <w:tr>
        <w:tc>
          <w:tcPr>
            <w:tcW w:type="dxa" w:w="2016"/>
            <w:shd w:val="clear" w:color="auto" w:fill="00467F"/>
          </w:tcPr>
          <w:p>
            <w:r>
              <w:rPr>
                <w:b/>
                <w:i w:val="0"/>
                <w:color w:val="FFFFFF"/>
                <w:sz w:val="20"/>
              </w:rPr>
              <w:t>Priority</w:t>
            </w:r>
          </w:p>
        </w:tc>
        <w:tc>
          <w:tcPr>
            <w:tcW w:type="dxa" w:w="6048"/>
            <w:shd w:val="clear" w:color="auto" w:fill="00467F"/>
          </w:tcPr>
          <w:p>
            <w:r>
              <w:rPr>
                <w:b/>
                <w:i w:val="0"/>
                <w:color w:val="FFFFFF"/>
                <w:sz w:val="20"/>
              </w:rPr>
              <w:t>Recommendation</w:t>
            </w:r>
          </w:p>
        </w:tc>
        <w:tc>
          <w:tcPr>
            <w:tcW w:type="dxa" w:w="2016"/>
            <w:shd w:val="clear" w:color="auto" w:fill="00467F"/>
          </w:tcPr>
          <w:p>
            <w:r>
              <w:rPr>
                <w:b/>
                <w:i w:val="0"/>
                <w:color w:val="FFFFFF"/>
                <w:sz w:val="20"/>
              </w:rPr>
              <w:t>Phase</w:t>
            </w:r>
          </w:p>
        </w:tc>
      </w:tr>
      <w:tr>
        <w:tc>
          <w:tcPr>
            <w:tcW w:type="dxa" w:w="2016"/>
            <w:shd w:val="clear" w:color="auto" w:fill="EEF3F8"/>
          </w:tcPr>
          <w:p>
            <w:r>
              <w:rPr>
                <w:b/>
                <w:i w:val="0"/>
                <w:sz w:val="20"/>
              </w:rPr>
              <w:t>P1 – Critical</w:t>
            </w:r>
          </w:p>
        </w:tc>
        <w:tc>
          <w:tcPr>
            <w:tcW w:type="dxa" w:w="6048"/>
            <w:shd w:val="clear" w:color="auto" w:fill="EEF3F8"/>
          </w:tcPr>
          <w:p>
            <w:r>
              <w:rPr>
                <w:b w:val="0"/>
                <w:i w:val="0"/>
                <w:sz w:val="20"/>
              </w:rPr>
              <w:t>Define PSK vault strategy and evaluate cert-based IKE for new onboarding</w:t>
            </w:r>
          </w:p>
        </w:tc>
        <w:tc>
          <w:tcPr>
            <w:tcW w:type="dxa" w:w="2016"/>
            <w:shd w:val="clear" w:color="auto" w:fill="EEF3F8"/>
          </w:tcPr>
          <w:p>
            <w:r>
              <w:rPr>
                <w:b w:val="0"/>
                <w:i w:val="0"/>
                <w:sz w:val="20"/>
              </w:rPr>
              <w:t>Foundation</w:t>
            </w:r>
          </w:p>
        </w:tc>
      </w:tr>
      <w:tr>
        <w:tc>
          <w:tcPr>
            <w:tcW w:type="dxa" w:w="2016"/>
            <w:shd w:val="clear" w:color="auto" w:fill="FFFFFF"/>
          </w:tcPr>
          <w:p>
            <w:r>
              <w:rPr>
                <w:b/>
                <w:i w:val="0"/>
                <w:sz w:val="20"/>
              </w:rPr>
              <w:t>P1 – Critical</w:t>
            </w:r>
          </w:p>
        </w:tc>
        <w:tc>
          <w:tcPr>
            <w:tcW w:type="dxa" w:w="6048"/>
            <w:shd w:val="clear" w:color="auto" w:fill="FFFFFF"/>
          </w:tcPr>
          <w:p>
            <w:r>
              <w:rPr>
                <w:b w:val="0"/>
                <w:i w:val="0"/>
                <w:sz w:val="20"/>
              </w:rPr>
              <w:t>Define concrete VSYS expansion triggers and automate capacity alerting</w:t>
            </w:r>
          </w:p>
        </w:tc>
        <w:tc>
          <w:tcPr>
            <w:tcW w:type="dxa" w:w="2016"/>
            <w:shd w:val="clear" w:color="auto" w:fill="FFFFFF"/>
          </w:tcPr>
          <w:p>
            <w:r>
              <w:rPr>
                <w:b w:val="0"/>
                <w:i w:val="0"/>
                <w:sz w:val="20"/>
              </w:rPr>
              <w:t>Foundation</w:t>
            </w:r>
          </w:p>
        </w:tc>
      </w:tr>
      <w:tr>
        <w:tc>
          <w:tcPr>
            <w:tcW w:type="dxa" w:w="2016"/>
            <w:shd w:val="clear" w:color="auto" w:fill="EEF3F8"/>
          </w:tcPr>
          <w:p>
            <w:r>
              <w:rPr>
                <w:b/>
                <w:i w:val="0"/>
                <w:sz w:val="20"/>
              </w:rPr>
              <w:t>P1 – Critical</w:t>
            </w:r>
          </w:p>
        </w:tc>
        <w:tc>
          <w:tcPr>
            <w:tcW w:type="dxa" w:w="6048"/>
            <w:shd w:val="clear" w:color="auto" w:fill="EEF3F8"/>
          </w:tcPr>
          <w:p>
            <w:r>
              <w:rPr>
                <w:b w:val="0"/>
                <w:i w:val="0"/>
                <w:sz w:val="20"/>
              </w:rPr>
              <w:t>Fully specify BGP peer topology, timers, and failover withdrawal behaviour</w:t>
            </w:r>
          </w:p>
        </w:tc>
        <w:tc>
          <w:tcPr>
            <w:tcW w:type="dxa" w:w="2016"/>
            <w:shd w:val="clear" w:color="auto" w:fill="EEF3F8"/>
          </w:tcPr>
          <w:p>
            <w:r>
              <w:rPr>
                <w:b w:val="0"/>
                <w:i w:val="0"/>
                <w:sz w:val="20"/>
              </w:rPr>
              <w:t>Foundation</w:t>
            </w:r>
          </w:p>
        </w:tc>
      </w:tr>
      <w:tr>
        <w:tc>
          <w:tcPr>
            <w:tcW w:type="dxa" w:w="2016"/>
            <w:shd w:val="clear" w:color="auto" w:fill="FFFFFF"/>
          </w:tcPr>
          <w:p>
            <w:r>
              <w:rPr>
                <w:b/>
                <w:i w:val="0"/>
                <w:sz w:val="20"/>
              </w:rPr>
              <w:t>P1 – Critical</w:t>
            </w:r>
          </w:p>
        </w:tc>
        <w:tc>
          <w:tcPr>
            <w:tcW w:type="dxa" w:w="6048"/>
            <w:shd w:val="clear" w:color="auto" w:fill="FFFFFF"/>
          </w:tcPr>
          <w:p>
            <w:r>
              <w:rPr>
                <w:b w:val="0"/>
                <w:i w:val="0"/>
                <w:sz w:val="20"/>
              </w:rPr>
              <w:t>Document OSPF failover convergence time and align DPD timers accordingly</w:t>
            </w:r>
          </w:p>
        </w:tc>
        <w:tc>
          <w:tcPr>
            <w:tcW w:type="dxa" w:w="2016"/>
            <w:shd w:val="clear" w:color="auto" w:fill="FFFFFF"/>
          </w:tcPr>
          <w:p>
            <w:r>
              <w:rPr>
                <w:b w:val="0"/>
                <w:i w:val="0"/>
                <w:sz w:val="20"/>
              </w:rPr>
              <w:t>Foundation</w:t>
            </w:r>
          </w:p>
        </w:tc>
      </w:tr>
      <w:tr>
        <w:tc>
          <w:tcPr>
            <w:tcW w:type="dxa" w:w="2016"/>
            <w:shd w:val="clear" w:color="auto" w:fill="EEF3F8"/>
          </w:tcPr>
          <w:p>
            <w:r>
              <w:rPr>
                <w:b/>
                <w:i w:val="0"/>
                <w:sz w:val="20"/>
              </w:rPr>
              <w:t>P2 – Important</w:t>
            </w:r>
          </w:p>
        </w:tc>
        <w:tc>
          <w:tcPr>
            <w:tcW w:type="dxa" w:w="6048"/>
            <w:shd w:val="clear" w:color="auto" w:fill="EEF3F8"/>
          </w:tcPr>
          <w:p>
            <w:r>
              <w:rPr>
                <w:b w:val="0"/>
                <w:i w:val="0"/>
                <w:sz w:val="20"/>
              </w:rPr>
              <w:t>Move MTU/MSS validation and VDI protocol testing to Pilot phase</w:t>
            </w:r>
          </w:p>
        </w:tc>
        <w:tc>
          <w:tcPr>
            <w:tcW w:type="dxa" w:w="2016"/>
            <w:shd w:val="clear" w:color="auto" w:fill="EEF3F8"/>
          </w:tcPr>
          <w:p>
            <w:r>
              <w:rPr>
                <w:b w:val="0"/>
                <w:i w:val="0"/>
                <w:sz w:val="20"/>
              </w:rPr>
              <w:t>Pilot</w:t>
            </w:r>
          </w:p>
        </w:tc>
      </w:tr>
      <w:tr>
        <w:tc>
          <w:tcPr>
            <w:tcW w:type="dxa" w:w="2016"/>
            <w:shd w:val="clear" w:color="auto" w:fill="FFFFFF"/>
          </w:tcPr>
          <w:p>
            <w:r>
              <w:rPr>
                <w:b/>
                <w:i w:val="0"/>
                <w:sz w:val="20"/>
              </w:rPr>
              <w:t>P2 – Important</w:t>
            </w:r>
          </w:p>
        </w:tc>
        <w:tc>
          <w:tcPr>
            <w:tcW w:type="dxa" w:w="6048"/>
            <w:shd w:val="clear" w:color="auto" w:fill="FFFFFF"/>
          </w:tcPr>
          <w:p>
            <w:r>
              <w:rPr>
                <w:b w:val="0"/>
                <w:i w:val="0"/>
                <w:sz w:val="20"/>
              </w:rPr>
              <w:t>Define monitoring stack, per-tunnel alert thresholds, and dark tunnel detection</w:t>
            </w:r>
          </w:p>
        </w:tc>
        <w:tc>
          <w:tcPr>
            <w:tcW w:type="dxa" w:w="2016"/>
            <w:shd w:val="clear" w:color="auto" w:fill="FFFFFF"/>
          </w:tcPr>
          <w:p>
            <w:r>
              <w:rPr>
                <w:b w:val="0"/>
                <w:i w:val="0"/>
                <w:sz w:val="20"/>
              </w:rPr>
              <w:t>Pilot</w:t>
            </w:r>
          </w:p>
        </w:tc>
      </w:tr>
      <w:tr>
        <w:tc>
          <w:tcPr>
            <w:tcW w:type="dxa" w:w="2016"/>
            <w:shd w:val="clear" w:color="auto" w:fill="EEF3F8"/>
          </w:tcPr>
          <w:p>
            <w:r>
              <w:rPr>
                <w:b/>
                <w:i w:val="0"/>
                <w:sz w:val="20"/>
              </w:rPr>
              <w:t>P3 – Recommended</w:t>
            </w:r>
          </w:p>
        </w:tc>
        <w:tc>
          <w:tcPr>
            <w:tcW w:type="dxa" w:w="6048"/>
            <w:shd w:val="clear" w:color="auto" w:fill="EEF3F8"/>
          </w:tcPr>
          <w:p>
            <w:r>
              <w:rPr>
                <w:b w:val="0"/>
                <w:i w:val="0"/>
                <w:sz w:val="20"/>
              </w:rPr>
              <w:t>Define RTO/RPO for cluster-level failure; evaluate secondary cluster for tier-1 tenants</w:t>
            </w:r>
          </w:p>
        </w:tc>
        <w:tc>
          <w:tcPr>
            <w:tcW w:type="dxa" w:w="2016"/>
            <w:shd w:val="clear" w:color="auto" w:fill="EEF3F8"/>
          </w:tcPr>
          <w:p>
            <w:r>
              <w:rPr>
                <w:b w:val="0"/>
                <w:i w:val="0"/>
                <w:sz w:val="20"/>
              </w:rPr>
              <w:t>Scale</w:t>
            </w:r>
          </w:p>
        </w:tc>
      </w:tr>
      <w:tr>
        <w:tc>
          <w:tcPr>
            <w:tcW w:type="dxa" w:w="2016"/>
            <w:shd w:val="clear" w:color="auto" w:fill="FFFFFF"/>
          </w:tcPr>
          <w:p>
            <w:r>
              <w:rPr>
                <w:b/>
                <w:i w:val="0"/>
                <w:sz w:val="20"/>
              </w:rPr>
              <w:t>P3 – Recommended</w:t>
            </w:r>
          </w:p>
        </w:tc>
        <w:tc>
          <w:tcPr>
            <w:tcW w:type="dxa" w:w="6048"/>
            <w:shd w:val="clear" w:color="auto" w:fill="FFFFFF"/>
          </w:tcPr>
          <w:p>
            <w:r>
              <w:rPr>
                <w:b w:val="0"/>
                <w:i w:val="0"/>
                <w:sz w:val="20"/>
              </w:rPr>
              <w:t>Build bi-NAT decision framework and NAT lookup runbook</w:t>
            </w:r>
          </w:p>
        </w:tc>
        <w:tc>
          <w:tcPr>
            <w:tcW w:type="dxa" w:w="2016"/>
            <w:shd w:val="clear" w:color="auto" w:fill="FFFFFF"/>
          </w:tcPr>
          <w:p>
            <w:r>
              <w:rPr>
                <w:b w:val="0"/>
                <w:i w:val="0"/>
                <w:sz w:val="20"/>
              </w:rPr>
              <w:t>Scale</w:t>
            </w:r>
          </w:p>
        </w:tc>
      </w:tr>
      <w:tr>
        <w:tc>
          <w:tcPr>
            <w:tcW w:type="dxa" w:w="2016"/>
            <w:shd w:val="clear" w:color="auto" w:fill="EEF3F8"/>
          </w:tcPr>
          <w:p>
            <w:r>
              <w:rPr>
                <w:b/>
                <w:i w:val="0"/>
                <w:sz w:val="20"/>
              </w:rPr>
              <w:t>P4 – Enhancement</w:t>
            </w:r>
          </w:p>
        </w:tc>
        <w:tc>
          <w:tcPr>
            <w:tcW w:type="dxa" w:w="6048"/>
            <w:shd w:val="clear" w:color="auto" w:fill="EEF3F8"/>
          </w:tcPr>
          <w:p>
            <w:r>
              <w:rPr>
                <w:b w:val="0"/>
                <w:i w:val="0"/>
                <w:sz w:val="20"/>
              </w:rPr>
              <w:t>Implement per-tenant SNAT compliance dashboards for billing and audit</w:t>
            </w:r>
          </w:p>
        </w:tc>
        <w:tc>
          <w:tcPr>
            <w:tcW w:type="dxa" w:w="2016"/>
            <w:shd w:val="clear" w:color="auto" w:fill="EEF3F8"/>
          </w:tcPr>
          <w:p>
            <w:r>
              <w:rPr>
                <w:b w:val="0"/>
                <w:i w:val="0"/>
                <w:sz w:val="20"/>
              </w:rPr>
              <w:t>Optimize</w:t>
            </w:r>
          </w:p>
        </w:tc>
      </w:tr>
    </w:tbl>
    <w:p/>
    <w:p>
      <w:pPr>
        <w:pBdr>
          <w:bottom w:val="single" w:sz="6" w:space="1" w:color="00467F"/>
        </w:pBdr>
        <w:spacing w:before="360" w:after="120"/>
      </w:pPr>
      <w:r>
        <w:rPr>
          <w:b/>
          <w:i w:val="0"/>
          <w:color w:val="00467F"/>
          <w:sz w:val="32"/>
        </w:rPr>
        <w:t>5. Overall Verdict</w:t>
      </w:r>
    </w:p>
    <w:p>
      <w:pPr>
        <w:spacing w:after="120"/>
      </w:pPr>
      <w:r>
        <w:rPr>
          <w:sz w:val="22"/>
        </w:rPr>
        <w:t>This is a well-conceived and technically sound architecture for enterprise-scale IPsec connectivity. The core principles — tenant isolation via VR-per-tunnel, VSYS sharding, summarized routing, and the DMZ expansion hook — reflect genuine expertise and a mature understanding of PAN-OS at scale.</w:t>
      </w:r>
    </w:p>
    <w:p>
      <w:pPr>
        <w:spacing w:after="120"/>
      </w:pPr>
      <w:r>
        <w:rPr>
          <w:sz w:val="22"/>
        </w:rPr>
        <w:t>The primary risks are not in the data-plane design but in the operational and control-plane governance: PSK management at scale, undefined capacity thresholds, an underspecified BGP design, and deferred observability. These are solvable problems and should be addressed before the pilot phase, not after it.</w:t>
      </w:r>
    </w:p>
    <w:p>
      <w:pPr>
        <w:spacing w:after="160"/>
        <w:ind w:left="432"/>
        <w:pBdr>
          <w:left w:val="single" w:sz="12" w:space="4" w:color="008000"/>
        </w:pBdr>
      </w:pPr>
      <w:r>
        <w:rPr>
          <w:b/>
          <w:i w:val="0"/>
          <w:color w:val="008000"/>
          <w:sz w:val="22"/>
        </w:rPr>
        <w:t xml:space="preserve">✔  Recommended for progression to pilot  </w:t>
      </w:r>
      <w:r>
        <w:rPr>
          <w:b w:val="0"/>
          <w:i/>
          <w:sz w:val="22"/>
        </w:rPr>
        <w:t>subject to resolution of all P1 items and incorporation of P2 items into the pilot validation checklist.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