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pacing w:after="80"/>
        <w:jc w:val="center"/>
      </w:pPr>
      <w:r>
        <w:rPr>
          <w:rFonts w:ascii="Arial" w:cs="Arial" w:eastAsia="Arial" w:hAnsi="Arial"/>
          <w:b/>
          <w:bCs/>
          <w:color w:val="1A3A5C"/>
          <w:sz w:val="72"/>
          <w:szCs w:val="72"/>
        </w:rPr>
        <w:t xml:space="preserve">PA-5400</w:t>
      </w:r>
    </w:p>
    <w:p>
      <w:pPr>
        <w:spacing w:after="80"/>
        <w:jc w:val="center"/>
      </w:pPr>
      <w:r>
        <w:rPr>
          <w:rFonts w:ascii="Arial" w:cs="Arial" w:eastAsia="Arial" w:hAnsi="Arial"/>
          <w:b w:val="false"/>
          <w:bCs w:val="false"/>
          <w:color w:val="2E6DA4"/>
          <w:sz w:val="48"/>
          <w:szCs w:val="48"/>
        </w:rPr>
        <w:t xml:space="preserve">Multi-Tenant Firewall Platform</w:t>
      </w:r>
    </w:p>
    <w:p>
      <w:pPr>
        <w:spacing w:after="320"/>
        <w:jc w:val="center"/>
      </w:pPr>
      <w:r>
        <w:rPr>
          <w:rFonts w:ascii="Arial" w:cs="Arial" w:eastAsia="Arial" w:hAnsi="Arial"/>
          <w:color w:val="4A6A8A"/>
          <w:sz w:val="36"/>
          <w:szCs w:val="36"/>
        </w:rPr>
        <w:t xml:space="preserve">Architecture Design Document</w:t>
      </w:r>
    </w:p>
    <w:p>
      <w:pPr>
        <w:pBdr>
          <w:bottom w:val="single" w:color="2E6DA4" w:sz="8" w:space="1"/>
        </w:pBdr>
        <w:spacing w:after="240"/>
      </w:pPr>
      <w:r>
        <w:rPr>
          <w:rFonts w:ascii="Arial" w:cs="Arial" w:eastAsia="Arial" w:hAnsi="Arial"/>
          <w:color w:val="0F1923"/>
          <w:sz w:val="22"/>
          <w:szCs w:val="22"/>
        </w:rPr>
        <w:t xml:space="preserve"/>
      </w:r>
    </w:p>
    <w:p>
      <w:pPr>
        <w:spacing w:after="80"/>
        <w:jc w:val="center"/>
      </w:pPr>
      <w:r>
        <w:rPr>
          <w:rFonts w:ascii="Arial" w:cs="Arial" w:eastAsia="Arial" w:hAnsi="Arial"/>
          <w:color w:val="4A6A8A"/>
          <w:sz w:val="22"/>
          <w:szCs w:val="22"/>
        </w:rPr>
        <w:t xml:space="preserve">Classification: Confidential</w:t>
      </w:r>
    </w:p>
    <w:p>
      <w:pPr>
        <w:spacing w:after="80"/>
        <w:jc w:val="center"/>
      </w:pPr>
      <w:r>
        <w:rPr>
          <w:rFonts w:ascii="Arial" w:cs="Arial" w:eastAsia="Arial" w:hAnsi="Arial"/>
          <w:color w:val="4A6A8A"/>
          <w:sz w:val="22"/>
          <w:szCs w:val="22"/>
        </w:rPr>
        <w:t xml:space="preserve">Version: 1.0</w:t>
      </w:r>
    </w:p>
    <w:p>
      <w:pPr>
        <w:spacing w:after="80"/>
        <w:jc w:val="center"/>
      </w:pPr>
      <w:r>
        <w:rPr>
          <w:rFonts w:ascii="Arial" w:cs="Arial" w:eastAsia="Arial" w:hAnsi="Arial"/>
          <w:color w:val="4A6A8A"/>
          <w:sz w:val="22"/>
          <w:szCs w:val="22"/>
        </w:rPr>
        <w:t xml:space="preserve">Platform: Palo Alto PA-5400 Series</w:t>
      </w:r>
    </w:p>
    <w:p>
      <w:pPr>
        <w:spacing w:after="80"/>
        <w:jc w:val="center"/>
      </w:pPr>
      <w:r>
        <w:rPr>
          <w:rFonts w:ascii="Arial" w:cs="Arial" w:eastAsia="Arial" w:hAnsi="Arial"/>
          <w:color w:val="4A6A8A"/>
          <w:sz w:val="22"/>
          <w:szCs w:val="22"/>
        </w:rPr>
        <w:t xml:space="preserve">Discipline: Network Security Architecture</w:t>
      </w:r>
    </w:p>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pacing w:after="0"/>
      </w:pPr>
      <w:r>
        <w:br w:type="page"/>
      </w:r>
    </w:p>
    <w:p>
      <w:pPr>
        <w:pStyle w:val="Heading1"/>
        <w:shd w:fill="1A3A5C" w:val="clear"/>
        <w:spacing w:before="240" w:after="200"/>
      </w:pPr>
      <w:r>
        <w:rPr>
          <w:rFonts w:ascii="Arial" w:cs="Arial" w:eastAsia="Arial" w:hAnsi="Arial"/>
          <w:b/>
          <w:bCs/>
          <w:color w:val="FFFFFF"/>
          <w:sz w:val="36"/>
          <w:szCs w:val="36"/>
        </w:rPr>
        <w:t xml:space="preserve">1.  Executive Summary</w:t>
      </w:r>
    </w:p>
    <w:p>
      <w:pPr>
        <w:spacing w:after="120"/>
      </w:pPr>
      <w:r>
        <w:rPr>
          <w:rFonts w:ascii="Arial" w:cs="Arial" w:eastAsia="Arial" w:hAnsi="Arial"/>
          <w:color w:val="0F1923"/>
          <w:sz w:val="22"/>
          <w:szCs w:val="22"/>
        </w:rPr>
        <w:t xml:space="preserve">This document describes the network security architecture for a multi-tenant partner connectivity platform implemented on the Palo Alto Networks PA-5400 series firewall cluster. The design supports up to 1,000 concurrent tenant connections, delivering secure, isolated, and auditable access between remote partner networks and internal intranet services.</w:t>
      </w:r>
    </w:p>
    <w:p>
      <w:pPr>
        <w:spacing w:after="120"/>
      </w:pPr>
      <w:r>
        <w:rPr>
          <w:rFonts w:ascii="Arial" w:cs="Arial" w:eastAsia="Arial" w:hAnsi="Arial"/>
          <w:color w:val="0F1923"/>
          <w:sz w:val="22"/>
          <w:szCs w:val="22"/>
        </w:rPr>
        <w:t xml:space="preserve">The architecture is built on four governing principles:</w:t>
      </w:r>
    </w:p>
    <w:p>
      <w:pPr>
        <w:pStyle w:val="ListParagraph"/>
        <w:numPr>
          <w:ilvl w:val="0"/>
          <w:numId w:val="2"/>
        </w:numPr>
        <w:spacing w:after="80"/>
      </w:pPr>
      <w:r>
        <w:rPr>
          <w:rFonts w:ascii="Arial" w:cs="Arial" w:eastAsia="Arial" w:hAnsi="Arial"/>
          <w:b/>
          <w:bCs/>
          <w:color w:val="0F1923"/>
          <w:sz w:val="22"/>
          <w:szCs w:val="22"/>
        </w:rPr>
        <w:t xml:space="preserve">Automation-first: </w:t>
      </w:r>
      <w:r>
        <w:rPr>
          <w:rFonts w:ascii="Arial" w:cs="Arial" w:eastAsia="Arial" w:hAnsi="Arial"/>
          <w:color w:val="0F1923"/>
          <w:sz w:val="22"/>
          <w:szCs w:val="22"/>
        </w:rPr>
        <w:t xml:space="preserve">All tenant configuration is delivered exclusively through a validated automation pipeline. The firewall is a rendering target — it is never modified directly.</w:t>
      </w:r>
    </w:p>
    <w:p>
      <w:pPr>
        <w:pStyle w:val="ListParagraph"/>
        <w:numPr>
          <w:ilvl w:val="0"/>
          <w:numId w:val="2"/>
        </w:numPr>
        <w:spacing w:after="80"/>
      </w:pPr>
      <w:r>
        <w:rPr>
          <w:rFonts w:ascii="Arial" w:cs="Arial" w:eastAsia="Arial" w:hAnsi="Arial"/>
          <w:b/>
          <w:bCs/>
          <w:color w:val="0F1923"/>
          <w:sz w:val="22"/>
          <w:szCs w:val="22"/>
        </w:rPr>
        <w:t xml:space="preserve">Zone-level isolation: </w:t>
      </w:r>
      <w:r>
        <w:rPr>
          <w:rFonts w:ascii="Arial" w:cs="Arial" w:eastAsia="Arial" w:hAnsi="Arial"/>
          <w:color w:val="0F1923"/>
          <w:sz w:val="22"/>
          <w:szCs w:val="22"/>
        </w:rPr>
        <w:t xml:space="preserve">Per-tenant zones provide platform-enforced audit boundaries at every tenant ingress and egress point, satisfying compliance requirements without relying on configuration discipline alone.</w:t>
      </w:r>
    </w:p>
    <w:p>
      <w:pPr>
        <w:pStyle w:val="ListParagraph"/>
        <w:numPr>
          <w:ilvl w:val="0"/>
          <w:numId w:val="2"/>
        </w:numPr>
        <w:spacing w:after="80"/>
      </w:pPr>
      <w:r>
        <w:rPr>
          <w:rFonts w:ascii="Arial" w:cs="Arial" w:eastAsia="Arial" w:hAnsi="Arial"/>
          <w:b/>
          <w:bCs/>
          <w:color w:val="0F1923"/>
          <w:sz w:val="22"/>
          <w:szCs w:val="22"/>
        </w:rPr>
        <w:t xml:space="preserve">Bidirectional identity masking: </w:t>
      </w:r>
      <w:r>
        <w:rPr>
          <w:rFonts w:ascii="Arial" w:cs="Arial" w:eastAsia="Arial" w:hAnsi="Arial"/>
          <w:color w:val="0F1923"/>
          <w:sz w:val="22"/>
          <w:szCs w:val="22"/>
        </w:rPr>
        <w:t xml:space="preserve">Source NAT in both directions ensures that neither the remote tenant nor the internal network can observe the real addressing of the other party.</w:t>
      </w:r>
    </w:p>
    <w:p>
      <w:pPr>
        <w:pStyle w:val="ListParagraph"/>
        <w:numPr>
          <w:ilvl w:val="0"/>
          <w:numId w:val="2"/>
        </w:numPr>
        <w:spacing w:after="80"/>
      </w:pPr>
      <w:r>
        <w:rPr>
          <w:rFonts w:ascii="Arial" w:cs="Arial" w:eastAsia="Arial" w:hAnsi="Arial"/>
          <w:b/>
          <w:bCs/>
          <w:color w:val="0F1923"/>
          <w:sz w:val="22"/>
          <w:szCs w:val="22"/>
        </w:rPr>
        <w:t xml:space="preserve">DNS-anchored service access: </w:t>
      </w:r>
      <w:r>
        <w:rPr>
          <w:rFonts w:ascii="Arial" w:cs="Arial" w:eastAsia="Arial" w:hAnsi="Arial"/>
          <w:color w:val="0F1923"/>
          <w:sz w:val="22"/>
          <w:szCs w:val="22"/>
        </w:rPr>
        <w:t xml:space="preserve">Remote hosts resolve internal service names through a per-tenant DNS proxy that rewrites responses to the SNAT inbound identity, ensuring real internal addressing is never disclosed.</w:t>
      </w:r>
    </w:p>
    <w:p>
      <w:pPr>
        <w:spacing w:after="60"/>
      </w:pPr>
      <w:r>
        <w:rPr>
          <w:rFonts w:ascii="Arial" w:cs="Arial" w:eastAsia="Arial" w:hAnsi="Arial"/>
          <w:color w:val="0F1923"/>
          <w:sz w:val="22"/>
          <w:szCs w:val="22"/>
        </w:rPr>
        <w:t xml:space="preserve"/>
      </w:r>
    </w:p>
    <w:p>
      <w:pPr>
        <w:pStyle w:val="Heading1"/>
        <w:shd w:fill="1A3A5C" w:val="clear"/>
        <w:spacing w:before="240" w:after="200"/>
      </w:pPr>
      <w:r>
        <w:rPr>
          <w:rFonts w:ascii="Arial" w:cs="Arial" w:eastAsia="Arial" w:hAnsi="Arial"/>
          <w:b/>
          <w:bCs/>
          <w:color w:val="FFFFFF"/>
          <w:sz w:val="36"/>
          <w:szCs w:val="36"/>
        </w:rPr>
        <w:t xml:space="preserve">2.  Key Design Decisions</w:t>
      </w:r>
    </w:p>
    <w:p>
      <w:pPr>
        <w:pStyle w:val="Heading2"/>
        <w:pBdr>
          <w:bottom w:val="single" w:color="2E6DA4" w:sz="6" w:space="1"/>
        </w:pBdr>
        <w:spacing w:before="320" w:after="120"/>
      </w:pPr>
      <w:r>
        <w:rPr>
          <w:rFonts w:ascii="Arial" w:cs="Arial" w:eastAsia="Arial" w:hAnsi="Arial"/>
          <w:b/>
          <w:bCs/>
          <w:color w:val="1A3A5C"/>
          <w:sz w:val="28"/>
          <w:szCs w:val="28"/>
        </w:rPr>
        <w:t xml:space="preserve">2.1  Single-VSYS with Per-Tenant Zones</w:t>
      </w:r>
    </w:p>
    <w:p>
      <w:pPr>
        <w:spacing w:after="120"/>
      </w:pPr>
      <w:r>
        <w:rPr>
          <w:rFonts w:ascii="Arial" w:cs="Arial" w:eastAsia="Arial" w:hAnsi="Arial"/>
          <w:color w:val="0F1923"/>
          <w:sz w:val="22"/>
          <w:szCs w:val="22"/>
        </w:rPr>
        <w:t xml:space="preserve">The platform operates as a single VSYS on the PA-5400 cluster. Multi-VSYS was evaluated and rejected for the following reasons:</w:t>
      </w:r>
    </w:p>
    <w:p>
      <w:pPr>
        <w:pStyle w:val="ListParagraph"/>
        <w:numPr>
          <w:ilvl w:val="0"/>
          <w:numId w:val="2"/>
        </w:numPr>
        <w:spacing w:after="80"/>
      </w:pPr>
      <w:r>
        <w:rPr>
          <w:rFonts w:ascii="Arial" w:cs="Arial" w:eastAsia="Arial" w:hAnsi="Arial"/>
          <w:color w:val="0F1923"/>
          <w:sz w:val="22"/>
          <w:szCs w:val="22"/>
        </w:rPr>
        <w:t xml:space="preserve">Inter-VSYS traffic requires an external zone handoff, introducing session doubling and complexity at scale.</w:t>
      </w:r>
    </w:p>
    <w:p>
      <w:pPr>
        <w:pStyle w:val="ListParagraph"/>
        <w:numPr>
          <w:ilvl w:val="0"/>
          <w:numId w:val="2"/>
        </w:numPr>
        <w:spacing w:after="80"/>
      </w:pPr>
      <w:r>
        <w:rPr>
          <w:rFonts w:ascii="Arial" w:cs="Arial" w:eastAsia="Arial" w:hAnsi="Arial"/>
          <w:color w:val="0F1923"/>
          <w:sz w:val="22"/>
          <w:szCs w:val="22"/>
        </w:rPr>
        <w:t xml:space="preserve">The cross-VSYS IKE anchor problem requires loopback interfaces to be in a different VSYS from the IPsec tunnel, complicating the security association binding model.</w:t>
      </w:r>
    </w:p>
    <w:p>
      <w:pPr>
        <w:pStyle w:val="ListParagraph"/>
        <w:numPr>
          <w:ilvl w:val="0"/>
          <w:numId w:val="2"/>
        </w:numPr>
        <w:spacing w:after="80"/>
      </w:pPr>
      <w:r>
        <w:rPr>
          <w:rFonts w:ascii="Arial" w:cs="Arial" w:eastAsia="Arial" w:hAnsi="Arial"/>
          <w:color w:val="0F1923"/>
          <w:sz w:val="22"/>
          <w:szCs w:val="22"/>
        </w:rPr>
        <w:t xml:space="preserve">At 1,000 tenants, multi-VSYS does not provide meaningfully stronger isolation than the zone model when the configuration pipeline enforces correctness.</w:t>
      </w:r>
    </w:p>
    <w:p>
      <w:pPr>
        <w:spacing w:after="120"/>
      </w:pPr>
      <w:r>
        <w:rPr>
          <w:rFonts w:ascii="Arial" w:cs="Arial" w:eastAsia="Arial" w:hAnsi="Arial"/>
          <w:color w:val="0F1923"/>
          <w:sz w:val="22"/>
          <w:szCs w:val="22"/>
        </w:rPr>
        <w:t xml:space="preserve">Tenant isolation is enforced through per-tenant security zones on the data plane boundary, per-tenant virtual routers for routing context isolation, and per-tenant SNAT identities for forensic attribution.</w:t>
      </w:r>
    </w:p>
    <w:p>
      <w:pPr>
        <w:pStyle w:val="Heading2"/>
        <w:pBdr>
          <w:bottom w:val="single" w:color="2E6DA4" w:sz="6" w:space="1"/>
        </w:pBdr>
        <w:spacing w:before="320" w:after="120"/>
      </w:pPr>
      <w:r>
        <w:rPr>
          <w:rFonts w:ascii="Arial" w:cs="Arial" w:eastAsia="Arial" w:hAnsi="Arial"/>
          <w:b/>
          <w:bCs/>
          <w:color w:val="1A3A5C"/>
          <w:sz w:val="28"/>
          <w:szCs w:val="28"/>
        </w:rPr>
        <w:t xml:space="preserve">2.2  Zone Architecture</w:t>
      </w:r>
    </w:p>
    <w:p>
      <w:pPr>
        <w:spacing w:after="120"/>
      </w:pPr>
      <w:r>
        <w:rPr>
          <w:rFonts w:ascii="Arial" w:cs="Arial" w:eastAsia="Arial" w:hAnsi="Arial"/>
          <w:color w:val="0F1923"/>
          <w:sz w:val="22"/>
          <w:szCs w:val="22"/>
        </w:rPr>
        <w:t xml:space="preserve">The zone model uses a hybrid approach: per-tenant zones at the tenant boundary and shared zones for platform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Zone</w:t>
            </w:r>
          </w:p>
        </w:tc>
        <w:tc>
          <w:tcPr>
            <w:tcW w:type="dxa" w:w="16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6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2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tz-{TID}-ipsec</w:t>
            </w:r>
          </w:p>
        </w:tc>
        <w:tc>
          <w:tcPr>
            <w:tcW w:type="dxa" w:w="16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Per-tenant</w:t>
            </w:r>
          </w:p>
        </w:tc>
        <w:tc>
          <w:tcPr>
            <w:tcW w:type="dxa" w:w="55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IPsec tunnel data plane ingress/egress. Per-tenant audit boundary. Hosts tunnel.{TID}.</w:t>
            </w:r>
          </w:p>
        </w:tc>
      </w:tr>
      <w:tr>
        <w:tc>
          <w:tcPr>
            <w:tcW w:type="dxa" w:w="2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dmz-{TID}</w:t>
            </w:r>
          </w:p>
        </w:tc>
        <w:tc>
          <w:tcPr>
            <w:tcW w:type="dxa" w:w="1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Per-tenant</w:t>
            </w:r>
          </w:p>
        </w:tc>
        <w:tc>
          <w:tcPr>
            <w:tcW w:type="dxa" w:w="5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Tenant DMZ segment boundary. Hosts the DMZ 802.1Q sub-interface. Per-tenant audit boundary.</w:t>
            </w:r>
          </w:p>
        </w:tc>
      </w:tr>
      <w:tr>
        <w:tc>
          <w:tcPr>
            <w:tcW w:type="dxa" w:w="22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shared-ike</w:t>
            </w:r>
          </w:p>
        </w:tc>
        <w:tc>
          <w:tcPr>
            <w:tcW w:type="dxa" w:w="16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Shared</w:t>
            </w:r>
          </w:p>
        </w:tc>
        <w:tc>
          <w:tcPr>
            <w:tcW w:type="dxa" w:w="55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IKE control plane termination. Hosts all loopback.{TID} interfaces. Shared because IKE is a platform service, not a tenant data boundary.</w:t>
            </w:r>
          </w:p>
        </w:tc>
      </w:tr>
      <w:tr>
        <w:tc>
          <w:tcPr>
            <w:tcW w:type="dxa" w:w="2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shared-sidecar</w:t>
            </w:r>
          </w:p>
        </w:tc>
        <w:tc>
          <w:tcPr>
            <w:tcW w:type="dxa" w:w="1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Shared</w:t>
            </w:r>
          </w:p>
        </w:tc>
        <w:tc>
          <w:tcPr>
            <w:tcW w:type="dxa" w:w="5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NAT translation corridor between the tenant zone and the intranet zone. All per-tenant SNAT rules fire at this zone crossing.</w:t>
            </w:r>
          </w:p>
        </w:tc>
      </w:tr>
      <w:tr>
        <w:tc>
          <w:tcPr>
            <w:tcW w:type="dxa" w:w="22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shared-intranet</w:t>
            </w:r>
          </w:p>
        </w:tc>
        <w:tc>
          <w:tcPr>
            <w:tcW w:type="dxa" w:w="16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Shared</w:t>
            </w:r>
          </w:p>
        </w:tc>
        <w:tc>
          <w:tcPr>
            <w:tcW w:type="dxa" w:w="55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Trust zone representing the internal network. Shared because the intranet is a single domain — all tenants peer with it under the same controlled conditions.</w:t>
            </w:r>
          </w:p>
        </w:tc>
      </w:tr>
    </w:tbl>
    <w:p>
      <w:pPr>
        <w:spacing w:after="60"/>
      </w:pPr>
      <w:r>
        <w:rPr>
          <w:rFonts w:ascii="Arial" w:cs="Arial" w:eastAsia="Arial" w:hAnsi="Arial"/>
          <w:color w:val="0F1923"/>
          <w:sz w:val="22"/>
          <w:szCs w:val="22"/>
        </w:rPr>
        <w:t xml:space="preserve"/>
      </w:r>
    </w:p>
    <w:p>
      <w:pPr>
        <w:pBdr>
          <w:left w:val="single" w:color="2E6DA4" w:sz="12" w:space="4"/>
        </w:pBdr>
        <w:spacing w:before="80" w:after="120"/>
        <w:ind w:left="720"/>
      </w:pPr>
      <w:r>
        <w:rPr>
          <w:rFonts w:ascii="Arial" w:cs="Arial" w:eastAsia="Arial" w:hAnsi="Arial"/>
          <w:b/>
          <w:bCs/>
          <w:color w:val="1A3A5C"/>
          <w:sz w:val="22"/>
          <w:szCs w:val="22"/>
        </w:rPr>
        <w:t xml:space="preserve">Note: </w:t>
      </w:r>
      <w:r>
        <w:rPr>
          <w:rFonts w:ascii="Arial" w:cs="Arial" w:eastAsia="Arial" w:hAnsi="Arial"/>
          <w:color w:val="4A6A8A"/>
          <w:sz w:val="22"/>
          <w:szCs w:val="22"/>
        </w:rPr>
        <w:t xml:space="preserve">Per-tenant zones are solid-bordered in diagrams. Shared zones are dashed-bordered. The distinction indicates audit boundary status, not traffic volume or criticality.</w:t>
      </w:r>
    </w:p>
    <w:p>
      <w:pPr>
        <w:pStyle w:val="Heading2"/>
        <w:pBdr>
          <w:bottom w:val="single" w:color="2E6DA4" w:sz="6" w:space="1"/>
        </w:pBdr>
        <w:spacing w:before="320" w:after="120"/>
      </w:pPr>
      <w:r>
        <w:rPr>
          <w:rFonts w:ascii="Arial" w:cs="Arial" w:eastAsia="Arial" w:hAnsi="Arial"/>
          <w:b/>
          <w:bCs/>
          <w:color w:val="1A3A5C"/>
          <w:sz w:val="28"/>
          <w:szCs w:val="28"/>
        </w:rPr>
        <w:t xml:space="preserve">2.3  Automation Pipeline as Enforcement Boundary</w:t>
      </w:r>
    </w:p>
    <w:p>
      <w:pPr>
        <w:spacing w:after="120"/>
      </w:pPr>
      <w:r>
        <w:rPr>
          <w:rFonts w:ascii="Arial" w:cs="Arial" w:eastAsia="Arial" w:hAnsi="Arial"/>
          <w:color w:val="0F1923"/>
          <w:sz w:val="22"/>
          <w:szCs w:val="22"/>
        </w:rPr>
        <w:t xml:space="preserve">The automation pipeline is the sole path through which firewall configuration is created, modified, or removed. Direct access to Panorama or the firewall CLI is prohibited for tenant configuration changes. This constraint is enforced by access control, not convention.</w:t>
      </w:r>
    </w:p>
    <w:p>
      <w:pPr>
        <w:spacing w:after="120"/>
      </w:pPr>
      <w:r>
        <w:rPr>
          <w:rFonts w:ascii="Arial" w:cs="Arial" w:eastAsia="Arial" w:hAnsi="Arial"/>
          <w:color w:val="0F1923"/>
          <w:sz w:val="22"/>
          <w:szCs w:val="22"/>
        </w:rPr>
        <w:t xml:space="preserve">The pipeline performs the following for every tenant lifecycle event:</w:t>
      </w:r>
    </w:p>
    <w:p>
      <w:pPr>
        <w:pStyle w:val="ListParagraph"/>
        <w:numPr>
          <w:ilvl w:val="0"/>
          <w:numId w:val="3"/>
        </w:numPr>
        <w:spacing w:after="80"/>
      </w:pPr>
      <w:r>
        <w:rPr>
          <w:rFonts w:ascii="Arial" w:cs="Arial" w:eastAsia="Arial" w:hAnsi="Arial"/>
          <w:color w:val="0F1923"/>
          <w:sz w:val="22"/>
          <w:szCs w:val="22"/>
        </w:rPr>
        <w:t xml:space="preserve">Validates the tenant profile against the schema and validation service before rendering any configuration.</w:t>
      </w:r>
    </w:p>
    <w:p>
      <w:pPr>
        <w:pStyle w:val="ListParagraph"/>
        <w:numPr>
          <w:ilvl w:val="0"/>
          <w:numId w:val="3"/>
        </w:numPr>
        <w:spacing w:after="80"/>
      </w:pPr>
      <w:r>
        <w:rPr>
          <w:rFonts w:ascii="Arial" w:cs="Arial" w:eastAsia="Arial" w:hAnsi="Arial"/>
          <w:color w:val="0F1923"/>
          <w:sz w:val="22"/>
          <w:szCs w:val="22"/>
        </w:rPr>
        <w:t xml:space="preserve">Allocates addresses from IPAM and generates secrets via the Secrets Manager — neither is handled manually.</w:t>
      </w:r>
    </w:p>
    <w:p>
      <w:pPr>
        <w:pStyle w:val="ListParagraph"/>
        <w:numPr>
          <w:ilvl w:val="0"/>
          <w:numId w:val="3"/>
        </w:numPr>
        <w:spacing w:after="80"/>
      </w:pPr>
      <w:r>
        <w:rPr>
          <w:rFonts w:ascii="Arial" w:cs="Arial" w:eastAsia="Arial" w:hAnsi="Arial"/>
          <w:color w:val="0F1923"/>
          <w:sz w:val="22"/>
          <w:szCs w:val="22"/>
        </w:rPr>
        <w:t xml:space="preserve">Renders configuration templates deterministically from the tenant profile.</w:t>
      </w:r>
    </w:p>
    <w:p>
      <w:pPr>
        <w:pStyle w:val="ListParagraph"/>
        <w:numPr>
          <w:ilvl w:val="0"/>
          <w:numId w:val="3"/>
        </w:numPr>
        <w:spacing w:after="80"/>
      </w:pPr>
      <w:r>
        <w:rPr>
          <w:rFonts w:ascii="Arial" w:cs="Arial" w:eastAsia="Arial" w:hAnsi="Arial"/>
          <w:color w:val="0F1923"/>
          <w:sz w:val="22"/>
          <w:szCs w:val="22"/>
        </w:rPr>
        <w:t xml:space="preserve">Submits the rendered bundle to the validation service — halts on failure, never commits partial configurations.</w:t>
      </w:r>
    </w:p>
    <w:p>
      <w:pPr>
        <w:pStyle w:val="ListParagraph"/>
        <w:numPr>
          <w:ilvl w:val="0"/>
          <w:numId w:val="3"/>
        </w:numPr>
        <w:spacing w:after="80"/>
      </w:pPr>
      <w:r>
        <w:rPr>
          <w:rFonts w:ascii="Arial" w:cs="Arial" w:eastAsia="Arial" w:hAnsi="Arial"/>
          <w:color w:val="0F1923"/>
          <w:sz w:val="22"/>
          <w:szCs w:val="22"/>
        </w:rPr>
        <w:t xml:space="preserve">Executes a scoped commit against the tenant device group only.</w:t>
      </w:r>
    </w:p>
    <w:p>
      <w:pPr>
        <w:pStyle w:val="ListParagraph"/>
        <w:numPr>
          <w:ilvl w:val="0"/>
          <w:numId w:val="3"/>
        </w:numPr>
        <w:spacing w:after="80"/>
      </w:pPr>
      <w:r>
        <w:rPr>
          <w:rFonts w:ascii="Arial" w:cs="Arial" w:eastAsia="Arial" w:hAnsi="Arial"/>
          <w:color w:val="0F1923"/>
          <w:sz w:val="22"/>
          <w:szCs w:val="22"/>
        </w:rPr>
        <w:t xml:space="preserve">Runs acceptance tests post-commit to verify IKE establishment, tunnel state, NAT activity, DNS proxy function, and log forwarding.</w:t>
      </w:r>
    </w:p>
    <w:p>
      <w:pPr>
        <w:pStyle w:val="ListParagraph"/>
        <w:numPr>
          <w:ilvl w:val="0"/>
          <w:numId w:val="3"/>
        </w:numPr>
        <w:spacing w:after="80"/>
      </w:pPr>
      <w:r>
        <w:rPr>
          <w:rFonts w:ascii="Arial" w:cs="Arial" w:eastAsia="Arial" w:hAnsi="Arial"/>
          <w:color w:val="0F1923"/>
          <w:sz w:val="22"/>
          <w:szCs w:val="22"/>
        </w:rPr>
        <w:t xml:space="preserve">Sets tenant state to active only after all acceptance tests pass.</w:t>
      </w:r>
    </w:p>
    <w:p>
      <w:pPr>
        <w:spacing w:after="0"/>
      </w:pPr>
      <w:r>
        <w:br w:type="page"/>
      </w:r>
    </w:p>
    <w:p>
      <w:pPr>
        <w:pStyle w:val="Heading1"/>
        <w:shd w:fill="1A3A5C" w:val="clear"/>
        <w:spacing w:before="240" w:after="200"/>
      </w:pPr>
      <w:r>
        <w:rPr>
          <w:rFonts w:ascii="Arial" w:cs="Arial" w:eastAsia="Arial" w:hAnsi="Arial"/>
          <w:b/>
          <w:bCs/>
          <w:color w:val="FFFFFF"/>
          <w:sz w:val="36"/>
          <w:szCs w:val="36"/>
        </w:rPr>
        <w:t xml:space="preserve">3.  Platform Components</w:t>
      </w:r>
    </w:p>
    <w:p>
      <w:pPr>
        <w:pStyle w:val="Heading2"/>
        <w:pBdr>
          <w:bottom w:val="single" w:color="2E6DA4" w:sz="6" w:space="1"/>
        </w:pBdr>
        <w:spacing w:before="320" w:after="120"/>
      </w:pPr>
      <w:r>
        <w:rPr>
          <w:rFonts w:ascii="Arial" w:cs="Arial" w:eastAsia="Arial" w:hAnsi="Arial"/>
          <w:b/>
          <w:bCs/>
          <w:color w:val="1A3A5C"/>
          <w:sz w:val="28"/>
          <w:szCs w:val="28"/>
        </w:rPr>
        <w:t xml:space="preserve">3.1  Firewall Cluster</w:t>
      </w:r>
    </w:p>
    <w:p>
      <w:pPr>
        <w:spacing w:after="120"/>
      </w:pPr>
      <w:r>
        <w:rPr>
          <w:rFonts w:ascii="Arial" w:cs="Arial" w:eastAsia="Arial" w:hAnsi="Arial"/>
          <w:color w:val="0F1923"/>
          <w:sz w:val="22"/>
          <w:szCs w:val="22"/>
        </w:rPr>
        <w:t xml:space="preserve">The platform runs on a PA-5400 series Active/Passive high availability pair. Both nodes maintain synchronised state across all relevant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Attribute</w:t>
            </w:r>
          </w:p>
        </w:tc>
        <w:tc>
          <w:tcPr>
            <w:tcW w:type="dxa" w:w="636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3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Platform</w:t>
            </w:r>
          </w:p>
        </w:tc>
        <w:tc>
          <w:tcPr>
            <w:tcW w:type="dxa" w:w="63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Palo Alto Networks PA-5400 Series</w:t>
            </w:r>
          </w:p>
        </w:tc>
      </w:tr>
      <w:tr>
        <w:tc>
          <w:tcPr>
            <w:tcW w:type="dxa" w:w="3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HA Mode</w:t>
            </w:r>
          </w:p>
        </w:tc>
        <w:tc>
          <w:tcPr>
            <w:tcW w:type="dxa" w:w="63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Active / Passive</w:t>
            </w:r>
          </w:p>
        </w:tc>
      </w:tr>
      <w:tr>
        <w:tc>
          <w:tcPr>
            <w:tcW w:type="dxa" w:w="3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VSYS Count</w:t>
            </w:r>
          </w:p>
        </w:tc>
        <w:tc>
          <w:tcPr>
            <w:tcW w:type="dxa" w:w="63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Single VSYS</w:t>
            </w:r>
          </w:p>
        </w:tc>
      </w:tr>
      <w:tr>
        <w:tc>
          <w:tcPr>
            <w:tcW w:type="dxa" w:w="3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Management</w:t>
            </w:r>
          </w:p>
        </w:tc>
        <w:tc>
          <w:tcPr>
            <w:tcW w:type="dxa" w:w="63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Panorama — all configuration delivered via device groups</w:t>
            </w:r>
          </w:p>
        </w:tc>
      </w:tr>
      <w:tr>
        <w:tc>
          <w:tcPr>
            <w:tcW w:type="dxa" w:w="3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HA Sync</w:t>
            </w:r>
          </w:p>
        </w:tc>
        <w:tc>
          <w:tcPr>
            <w:tcW w:type="dxa" w:w="63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Session table, IPsec SA, NAT table, ARP table, route table</w:t>
            </w:r>
          </w:p>
        </w:tc>
      </w:tr>
      <w:tr>
        <w:tc>
          <w:tcPr>
            <w:tcW w:type="dxa" w:w="3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Tenant Capacity</w:t>
            </w:r>
          </w:p>
        </w:tc>
        <w:tc>
          <w:tcPr>
            <w:tcW w:type="dxa" w:w="63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Up to 1,000 concurrent tenants (subject to platform zone limit confirmation)</w:t>
            </w:r>
          </w:p>
        </w:tc>
      </w:tr>
    </w:tbl>
    <w:p>
      <w:pPr>
        <w:spacing w:after="60"/>
      </w:pPr>
      <w:r>
        <w:rPr>
          <w:rFonts w:ascii="Arial" w:cs="Arial" w:eastAsia="Arial" w:hAnsi="Arial"/>
          <w:color w:val="0F1923"/>
          <w:sz w:val="22"/>
          <w:szCs w:val="22"/>
        </w:rPr>
        <w:t xml:space="preserve"/>
      </w:r>
    </w:p>
    <w:p>
      <w:pPr>
        <w:pStyle w:val="Heading2"/>
        <w:pBdr>
          <w:bottom w:val="single" w:color="2E6DA4" w:sz="6" w:space="1"/>
        </w:pBdr>
        <w:spacing w:before="320" w:after="120"/>
      </w:pPr>
      <w:r>
        <w:rPr>
          <w:rFonts w:ascii="Arial" w:cs="Arial" w:eastAsia="Arial" w:hAnsi="Arial"/>
          <w:b/>
          <w:bCs/>
          <w:color w:val="1A3A5C"/>
          <w:sz w:val="28"/>
          <w:szCs w:val="28"/>
        </w:rPr>
        <w:t xml:space="preserve">3.2  Per-Tenant Interface Objects</w:t>
      </w:r>
    </w:p>
    <w:p>
      <w:pPr>
        <w:spacing w:after="120"/>
      </w:pPr>
      <w:r>
        <w:rPr>
          <w:rFonts w:ascii="Arial" w:cs="Arial" w:eastAsia="Arial" w:hAnsi="Arial"/>
          <w:color w:val="0F1923"/>
          <w:sz w:val="22"/>
          <w:szCs w:val="22"/>
        </w:rPr>
        <w:t xml:space="preserve">Each tenant provisioned on the platform receives the following dedicated interface objects, created by the automation pipeline at onboarding and destroyed at offboarding.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c>
          <w:tcPr>
            <w:tcW w:type="dxa" w:w="24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Object</w:t>
            </w:r>
          </w:p>
        </w:tc>
        <w:tc>
          <w:tcPr>
            <w:tcW w:type="dxa" w:w="256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Naming</w:t>
            </w:r>
          </w:p>
        </w:tc>
        <w:tc>
          <w:tcPr>
            <w:tcW w:type="dxa" w:w="44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r>
      <w:tr>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Loopback Interface</w:t>
            </w:r>
          </w:p>
        </w:tc>
        <w:tc>
          <w:tcPr>
            <w:tcW w:type="dxa" w:w="25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loopback.{TID}</w:t>
            </w:r>
          </w:p>
        </w:tc>
        <w:tc>
          <w:tcPr>
            <w:tcW w:type="dxa" w:w="4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IKE local identity. Anchors the IPsec security association. Resides in shared-ike zone. Address from 192.168.0.0/19 pool.</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Tunnel Interface</w:t>
            </w:r>
          </w:p>
        </w:tc>
        <w:tc>
          <w:tcPr>
            <w:tcW w:type="dxa" w:w="2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tunnel.{TID}</w:t>
            </w:r>
          </w:p>
        </w:tc>
        <w:tc>
          <w:tcPr>
            <w:tcW w:type="dxa" w:w="4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Virtual tunnel interface for IPsec data plane. Resides in tz-{TID}-ipsec zone. VTI P2P address from 172.30.8.0/20 pool.</w:t>
            </w:r>
          </w:p>
        </w:tc>
      </w:tr>
      <w:tr>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DMZ Sub-Interface</w:t>
            </w:r>
          </w:p>
        </w:tc>
        <w:tc>
          <w:tcPr>
            <w:tcW w:type="dxa" w:w="25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dmz-{TID}.{vlan}</w:t>
            </w:r>
          </w:p>
        </w:tc>
        <w:tc>
          <w:tcPr>
            <w:tcW w:type="dxa" w:w="4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802.1Q sub-interface providing the L3 gateway for the tenant DMZ segment. Resides in dmz-{TID} zone. VLAN ID allocated by IPAM.</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Virtual Router</w:t>
            </w:r>
          </w:p>
        </w:tc>
        <w:tc>
          <w:tcPr>
            <w:tcW w:type="dxa" w:w="2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vr-{TID}</w:t>
            </w:r>
          </w:p>
        </w:tc>
        <w:tc>
          <w:tcPr>
            <w:tcW w:type="dxa" w:w="4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Per-tenant routing context. Contains only static routes provisioned for this tenant. No dynamic routing protocols. No cross-tenant route leakage.</w:t>
            </w:r>
          </w:p>
        </w:tc>
      </w:tr>
    </w:tbl>
    <w:p>
      <w:pPr>
        <w:spacing w:after="60"/>
      </w:pPr>
      <w:r>
        <w:rPr>
          <w:rFonts w:ascii="Arial" w:cs="Arial" w:eastAsia="Arial" w:hAnsi="Arial"/>
          <w:color w:val="0F1923"/>
          <w:sz w:val="22"/>
          <w:szCs w:val="22"/>
        </w:rPr>
        <w:t xml:space="preserve"/>
      </w:r>
    </w:p>
    <w:p>
      <w:pPr>
        <w:pStyle w:val="Heading2"/>
        <w:pBdr>
          <w:bottom w:val="single" w:color="2E6DA4" w:sz="6" w:space="1"/>
        </w:pBdr>
        <w:spacing w:before="320" w:after="120"/>
      </w:pPr>
      <w:r>
        <w:rPr>
          <w:rFonts w:ascii="Arial" w:cs="Arial" w:eastAsia="Arial" w:hAnsi="Arial"/>
          <w:b/>
          <w:bCs/>
          <w:color w:val="1A3A5C"/>
          <w:sz w:val="28"/>
          <w:szCs w:val="28"/>
        </w:rPr>
        <w:t xml:space="preserve">3.3  IPAM Address Allocation</w:t>
      </w:r>
    </w:p>
    <w:p>
      <w:pPr>
        <w:spacing w:after="120"/>
      </w:pPr>
      <w:r>
        <w:rPr>
          <w:rFonts w:ascii="Arial" w:cs="Arial" w:eastAsia="Arial" w:hAnsi="Arial"/>
          <w:color w:val="0F1923"/>
          <w:sz w:val="22"/>
          <w:szCs w:val="22"/>
        </w:rPr>
        <w:t xml:space="preserve">All addresses are allocated by the IPAM service at onboarding. No manual address assignment is permitted. The IPAM service maintains an allocation registry and returns addresses to pools on offboarding.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1200"/>
        <w:gridCol w:w="3600"/>
      </w:tblGrid>
      <w:tr>
        <w:tc>
          <w:tcPr>
            <w:tcW w:type="dxa" w:w="24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Pool</w:t>
            </w:r>
          </w:p>
        </w:tc>
        <w:tc>
          <w:tcPr>
            <w:tcW w:type="dxa" w:w="216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Range</w:t>
            </w:r>
          </w:p>
        </w:tc>
        <w:tc>
          <w:tcPr>
            <w:tcW w:type="dxa" w:w="12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Stride</w:t>
            </w:r>
          </w:p>
        </w:tc>
        <w:tc>
          <w:tcPr>
            <w:tcW w:type="dxa" w:w="36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Assigned To</w:t>
            </w:r>
          </w:p>
        </w:tc>
      </w:tr>
      <w:tr>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IKE Loopback</w:t>
            </w:r>
          </w:p>
        </w:tc>
        <w:tc>
          <w:tcPr>
            <w:tcW w:type="dxa" w:w="21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192.168.0.0/19</w:t>
            </w:r>
          </w:p>
        </w:tc>
        <w:tc>
          <w:tcPr>
            <w:tcW w:type="dxa" w:w="12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/32</w:t>
            </w:r>
          </w:p>
        </w:tc>
        <w:tc>
          <w:tcPr>
            <w:tcW w:type="dxa" w:w="36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loopback.{TID} — IKE anchor identity</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VTI P2P</w:t>
            </w:r>
          </w:p>
        </w:tc>
        <w:tc>
          <w:tcPr>
            <w:tcW w:type="dxa" w:w="21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172.30.8.0/20</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/30</w:t>
            </w:r>
          </w:p>
        </w:tc>
        <w:tc>
          <w:tcPr>
            <w:tcW w:type="dxa" w:w="3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tunnel.{TID} local and remote VTI addresses</w:t>
            </w:r>
          </w:p>
        </w:tc>
      </w:tr>
      <w:tr>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SNAT Inbound</w:t>
            </w:r>
          </w:p>
        </w:tc>
        <w:tc>
          <w:tcPr>
            <w:tcW w:type="dxa" w:w="21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172.30.0.0/20</w:t>
            </w:r>
          </w:p>
        </w:tc>
        <w:tc>
          <w:tcPr>
            <w:tcW w:type="dxa" w:w="12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/30</w:t>
            </w:r>
          </w:p>
        </w:tc>
        <w:tc>
          <w:tcPr>
            <w:tcW w:type="dxa" w:w="36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Tenant-to-intranet identity visible to internal hosts</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SNAT Outbound</w:t>
            </w:r>
          </w:p>
        </w:tc>
        <w:tc>
          <w:tcPr>
            <w:tcW w:type="dxa" w:w="21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172.29.0.0/20</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/30</w:t>
            </w:r>
          </w:p>
        </w:tc>
        <w:tc>
          <w:tcPr>
            <w:tcW w:type="dxa" w:w="3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Intranet-to-tenant identity visible to remote hosts</w:t>
            </w:r>
          </w:p>
        </w:tc>
      </w:tr>
      <w:tr>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DMZ Segments</w:t>
            </w:r>
          </w:p>
        </w:tc>
        <w:tc>
          <w:tcPr>
            <w:tcW w:type="dxa" w:w="21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172.30.128.0/17</w:t>
            </w:r>
          </w:p>
        </w:tc>
        <w:tc>
          <w:tcPr>
            <w:tcW w:type="dxa" w:w="12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/26</w:t>
            </w:r>
          </w:p>
        </w:tc>
        <w:tc>
          <w:tcPr>
            <w:tcW w:type="dxa" w:w="36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Per-tenant DMZ L3 segment including gateway address</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DMZ VLANs</w:t>
            </w:r>
          </w:p>
        </w:tc>
        <w:tc>
          <w:tcPr>
            <w:tcW w:type="dxa" w:w="21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Configured range</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1</w:t>
            </w:r>
          </w:p>
        </w:tc>
        <w:tc>
          <w:tcPr>
            <w:tcW w:type="dxa" w:w="3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802.1Q VLAN ID for the DMZ sub-interface — tenant-exclusive</w:t>
            </w:r>
          </w:p>
        </w:tc>
      </w:tr>
    </w:tbl>
    <w:p>
      <w:pPr>
        <w:spacing w:after="60"/>
      </w:pPr>
      <w:r>
        <w:rPr>
          <w:rFonts w:ascii="Arial" w:cs="Arial" w:eastAsia="Arial" w:hAnsi="Arial"/>
          <w:color w:val="0F1923"/>
          <w:sz w:val="22"/>
          <w:szCs w:val="22"/>
        </w:rPr>
        <w:t xml:space="preserve"/>
      </w:r>
    </w:p>
    <w:p>
      <w:pPr>
        <w:spacing w:after="0"/>
      </w:pPr>
      <w:r>
        <w:br w:type="page"/>
      </w:r>
    </w:p>
    <w:p>
      <w:pPr>
        <w:pStyle w:val="Heading1"/>
        <w:shd w:fill="1A3A5C" w:val="clear"/>
        <w:spacing w:before="240" w:after="200"/>
      </w:pPr>
      <w:r>
        <w:rPr>
          <w:rFonts w:ascii="Arial" w:cs="Arial" w:eastAsia="Arial" w:hAnsi="Arial"/>
          <w:b/>
          <w:bCs/>
          <w:color w:val="FFFFFF"/>
          <w:sz w:val="36"/>
          <w:szCs w:val="36"/>
        </w:rPr>
        <w:t xml:space="preserve">4.  Traffic Flows</w:t>
      </w:r>
    </w:p>
    <w:p>
      <w:pPr>
        <w:pStyle w:val="Heading2"/>
        <w:pBdr>
          <w:bottom w:val="single" w:color="2E6DA4" w:sz="6" w:space="1"/>
        </w:pBdr>
        <w:spacing w:before="320" w:after="120"/>
      </w:pPr>
      <w:r>
        <w:rPr>
          <w:rFonts w:ascii="Arial" w:cs="Arial" w:eastAsia="Arial" w:hAnsi="Arial"/>
          <w:b/>
          <w:bCs/>
          <w:color w:val="1A3A5C"/>
          <w:sz w:val="28"/>
          <w:szCs w:val="28"/>
        </w:rPr>
        <w:t xml:space="preserve">4.1  IKE Tunnel Establishment</w:t>
      </w:r>
    </w:p>
    <w:p>
      <w:pPr>
        <w:spacing w:after="120"/>
      </w:pPr>
      <w:r>
        <w:rPr>
          <w:rFonts w:ascii="Arial" w:cs="Arial" w:eastAsia="Arial" w:hAnsi="Arial"/>
          <w:color w:val="0F1923"/>
          <w:sz w:val="22"/>
          <w:szCs w:val="22"/>
        </w:rPr>
        <w:t xml:space="preserve">IKE negotiation is a control plane event initiated by the tenant gateway. It does not carry data and is logically separate from the data plane flows that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3000"/>
        <w:gridCol w:w="3600"/>
      </w:tblGrid>
      <w:tr>
        <w:tc>
          <w:tcPr>
            <w:tcW w:type="dxa" w:w="36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4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Actor</w:t>
            </w:r>
          </w:p>
        </w:tc>
        <w:tc>
          <w:tcPr>
            <w:tcW w:type="dxa" w:w="30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Function</w:t>
            </w:r>
          </w:p>
        </w:tc>
        <w:tc>
          <w:tcPr>
            <w:tcW w:type="dxa" w:w="36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Outcome</w:t>
            </w:r>
          </w:p>
        </w:tc>
      </w:tr>
      <w:tr>
        <w:tc>
          <w:tcPr>
            <w:tcW w:type="dxa" w:w="3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1</w:t>
            </w:r>
          </w:p>
        </w:tc>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Tenant Gateway</w:t>
            </w:r>
          </w:p>
        </w:tc>
        <w:tc>
          <w:tcPr>
            <w:tcW w:type="dxa" w:w="3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Sends IKEv2 SA_INIT on UDP 500</w:t>
            </w:r>
          </w:p>
        </w:tc>
        <w:tc>
          <w:tcPr>
            <w:tcW w:type="dxa" w:w="36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Arrives at carrier uplink — shared-ike zone</w:t>
            </w:r>
          </w:p>
        </w:tc>
      </w:tr>
      <w:tr>
        <w:tc>
          <w:tcPr>
            <w:tcW w:type="dxa" w:w="3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2</w:t>
            </w:r>
          </w:p>
        </w:tc>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EP1 — shared-ike</w:t>
            </w:r>
          </w:p>
        </w:tc>
        <w:tc>
          <w:tcPr>
            <w:tcW w:type="dxa" w:w="3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Source validation — permits known peer IPs only</w:t>
            </w:r>
          </w:p>
        </w:tc>
        <w:tc>
          <w:tcPr>
            <w:tcW w:type="dxa" w:w="3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Unknown peers denied</w:t>
            </w:r>
          </w:p>
        </w:tc>
      </w:tr>
      <w:tr>
        <w:tc>
          <w:tcPr>
            <w:tcW w:type="dxa" w:w="3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3</w:t>
            </w:r>
          </w:p>
        </w:tc>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loopback.{TID}</w:t>
            </w:r>
          </w:p>
        </w:tc>
        <w:tc>
          <w:tcPr>
            <w:tcW w:type="dxa" w:w="3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IKEv2 Phase 1 — PSK resolved from Vault</w:t>
            </w:r>
          </w:p>
        </w:tc>
        <w:tc>
          <w:tcPr>
            <w:tcW w:type="dxa" w:w="36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IKE SA established</w:t>
            </w:r>
          </w:p>
        </w:tc>
      </w:tr>
      <w:tr>
        <w:tc>
          <w:tcPr>
            <w:tcW w:type="dxa" w:w="3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4</w:t>
            </w:r>
          </w:p>
        </w:tc>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loopback.{TID}</w:t>
            </w:r>
          </w:p>
        </w:tc>
        <w:tc>
          <w:tcPr>
            <w:tcW w:type="dxa" w:w="3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IKEv2 Phase 2 — Child SA negotiation</w:t>
            </w:r>
          </w:p>
        </w:tc>
        <w:tc>
          <w:tcPr>
            <w:tcW w:type="dxa" w:w="3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IPsec SA created — AES-256-GCM, PFS DH19</w:t>
            </w:r>
          </w:p>
        </w:tc>
      </w:tr>
      <w:tr>
        <w:tc>
          <w:tcPr>
            <w:tcW w:type="dxa" w:w="3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5</w:t>
            </w:r>
          </w:p>
        </w:tc>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tunnel.{TID}</w:t>
            </w:r>
          </w:p>
        </w:tc>
        <w:tc>
          <w:tcPr>
            <w:tcW w:type="dxa" w:w="3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SA bound to tunnel interface</w:t>
            </w:r>
          </w:p>
        </w:tc>
        <w:tc>
          <w:tcPr>
            <w:tcW w:type="dxa" w:w="36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Data plane ready — vr-{TID} routing active</w:t>
            </w:r>
          </w:p>
        </w:tc>
      </w:tr>
    </w:tbl>
    <w:p>
      <w:pPr>
        <w:spacing w:after="60"/>
      </w:pPr>
      <w:r>
        <w:rPr>
          <w:rFonts w:ascii="Arial" w:cs="Arial" w:eastAsia="Arial" w:hAnsi="Arial"/>
          <w:color w:val="0F1923"/>
          <w:sz w:val="22"/>
          <w:szCs w:val="22"/>
        </w:rPr>
        <w:t xml:space="preserve"/>
      </w:r>
    </w:p>
    <w:p>
      <w:pPr>
        <w:pBdr>
          <w:left w:val="single" w:color="2E6DA4" w:sz="12" w:space="4"/>
        </w:pBdr>
        <w:spacing w:before="80" w:after="120"/>
        <w:ind w:left="720"/>
      </w:pPr>
      <w:r>
        <w:rPr>
          <w:rFonts w:ascii="Arial" w:cs="Arial" w:eastAsia="Arial" w:hAnsi="Arial"/>
          <w:b/>
          <w:bCs/>
          <w:color w:val="1A3A5C"/>
          <w:sz w:val="22"/>
          <w:szCs w:val="22"/>
        </w:rPr>
        <w:t xml:space="preserve">Note: </w:t>
      </w:r>
      <w:r>
        <w:rPr>
          <w:rFonts w:ascii="Arial" w:cs="Arial" w:eastAsia="Arial" w:hAnsi="Arial"/>
          <w:color w:val="4A6A8A"/>
          <w:sz w:val="22"/>
          <w:szCs w:val="22"/>
        </w:rPr>
        <w:t xml:space="preserve">The loopback address 192.168.0.{TID}/32 is the permanent IKE identity for this tenant. Physical uplink changes, carrier changes, and HA failover do not affect this identity because loopback interfaces have no physical dependency.</w:t>
      </w:r>
    </w:p>
    <w:p>
      <w:pPr>
        <w:pStyle w:val="Heading2"/>
        <w:pBdr>
          <w:bottom w:val="single" w:color="2E6DA4" w:sz="6" w:space="1"/>
        </w:pBdr>
        <w:spacing w:before="320" w:after="120"/>
      </w:pPr>
      <w:r>
        <w:rPr>
          <w:rFonts w:ascii="Arial" w:cs="Arial" w:eastAsia="Arial" w:hAnsi="Arial"/>
          <w:b/>
          <w:bCs/>
          <w:color w:val="1A3A5C"/>
          <w:sz w:val="28"/>
          <w:szCs w:val="28"/>
        </w:rPr>
        <w:t xml:space="preserve">4.2  Remote Host to Internal Host (Inbound)</w:t>
      </w:r>
    </w:p>
    <w:p>
      <w:pPr>
        <w:spacing w:after="120"/>
      </w:pPr>
      <w:r>
        <w:rPr>
          <w:rFonts w:ascii="Arial" w:cs="Arial" w:eastAsia="Arial" w:hAnsi="Arial"/>
          <w:color w:val="0F1923"/>
          <w:sz w:val="22"/>
          <w:szCs w:val="22"/>
        </w:rPr>
        <w:t xml:space="preserve">Tenant-originated data traffic traverses the IPsec tunnel, is inspected and SNATed at the shared-sidecar zone crossing, and is delivered to the permitted internal host. The internal host sees only the SNAT inbound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80"/>
        <w:gridCol w:w="2380"/>
        <w:gridCol w:w="2000"/>
      </w:tblGrid>
      <w:tr>
        <w:tc>
          <w:tcPr>
            <w:tcW w:type="dxa" w:w="26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Zone</w:t>
            </w:r>
          </w:p>
        </w:tc>
        <w:tc>
          <w:tcPr>
            <w:tcW w:type="dxa" w:w="238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 IP</w:t>
            </w:r>
          </w:p>
        </w:tc>
        <w:tc>
          <w:tcPr>
            <w:tcW w:type="dxa" w:w="238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Destination IP</w:t>
            </w:r>
          </w:p>
        </w:tc>
        <w:tc>
          <w:tcPr>
            <w:tcW w:type="dxa" w:w="20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State</w:t>
            </w:r>
          </w:p>
        </w:tc>
      </w:tr>
      <w:tr>
        <w:tc>
          <w:tcPr>
            <w:tcW w:type="dxa" w:w="26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tz-{TID}-ipsec</w:t>
            </w:r>
          </w:p>
        </w:tc>
        <w:tc>
          <w:tcPr>
            <w:tcW w:type="dxa" w:w="238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147.225.88.60</w:t>
            </w:r>
          </w:p>
        </w:tc>
        <w:tc>
          <w:tcPr>
            <w:tcW w:type="dxa" w:w="238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124.89.11.44</w:t>
            </w:r>
          </w:p>
        </w:tc>
        <w:tc>
          <w:tcPr>
            <w:tcW w:type="dxa" w:w="2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Decrypted — real tenant address</w:t>
            </w:r>
          </w:p>
        </w:tc>
      </w:tr>
      <w:tr>
        <w:tc>
          <w:tcPr>
            <w:tcW w:type="dxa" w:w="2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shared-sidecar</w:t>
            </w:r>
          </w:p>
        </w:tc>
        <w:tc>
          <w:tcPr>
            <w:tcW w:type="dxa" w:w="238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99.11.88.70</w:t>
            </w:r>
          </w:p>
        </w:tc>
        <w:tc>
          <w:tcPr>
            <w:tcW w:type="dxa" w:w="238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124.89.11.44</w:t>
            </w:r>
          </w:p>
        </w:tc>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SNAT inbound applied — identity assigned</w:t>
            </w:r>
          </w:p>
        </w:tc>
      </w:tr>
      <w:tr>
        <w:tc>
          <w:tcPr>
            <w:tcW w:type="dxa" w:w="26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shared-intranet</w:t>
            </w:r>
          </w:p>
        </w:tc>
        <w:tc>
          <w:tcPr>
            <w:tcW w:type="dxa" w:w="238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99.11.88.70</w:t>
            </w:r>
          </w:p>
        </w:tc>
        <w:tc>
          <w:tcPr>
            <w:tcW w:type="dxa" w:w="238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124.89.11.44</w:t>
            </w:r>
          </w:p>
        </w:tc>
        <w:tc>
          <w:tcPr>
            <w:tcW w:type="dxa" w:w="2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Delivered — real remote IP never visible</w:t>
            </w:r>
          </w:p>
        </w:tc>
      </w:tr>
    </w:tbl>
    <w:p>
      <w:pPr>
        <w:spacing w:after="60"/>
      </w:pPr>
      <w:r>
        <w:rPr>
          <w:rFonts w:ascii="Arial" w:cs="Arial" w:eastAsia="Arial" w:hAnsi="Arial"/>
          <w:color w:val="0F1923"/>
          <w:sz w:val="22"/>
          <w:szCs w:val="22"/>
        </w:rPr>
        <w:t xml:space="preserve"/>
      </w:r>
    </w:p>
    <w:p>
      <w:pPr>
        <w:pStyle w:val="Heading2"/>
        <w:pBdr>
          <w:bottom w:val="single" w:color="2E6DA4" w:sz="6" w:space="1"/>
        </w:pBdr>
        <w:spacing w:before="320" w:after="120"/>
      </w:pPr>
      <w:r>
        <w:rPr>
          <w:rFonts w:ascii="Arial" w:cs="Arial" w:eastAsia="Arial" w:hAnsi="Arial"/>
          <w:b/>
          <w:bCs/>
          <w:color w:val="1A3A5C"/>
          <w:sz w:val="28"/>
          <w:szCs w:val="28"/>
        </w:rPr>
        <w:t xml:space="preserve">4.3  Internal Host to Remote Host (Outbound)</w:t>
      </w:r>
    </w:p>
    <w:p>
      <w:pPr>
        <w:spacing w:after="120"/>
      </w:pPr>
      <w:r>
        <w:rPr>
          <w:rFonts w:ascii="Arial" w:cs="Arial" w:eastAsia="Arial" w:hAnsi="Arial"/>
          <w:color w:val="0F1923"/>
          <w:sz w:val="22"/>
          <w:szCs w:val="22"/>
        </w:rPr>
        <w:t xml:space="preserve">Internally-originated traffic is SNATed to the outbound identity at the shared-sidecar zone crossing, routed into vr-{TID}, and encrypted through the IPsec tunnel. The remote host sees only the SNAT outbound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80"/>
        <w:gridCol w:w="2380"/>
        <w:gridCol w:w="2000"/>
      </w:tblGrid>
      <w:tr>
        <w:tc>
          <w:tcPr>
            <w:tcW w:type="dxa" w:w="26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Zone</w:t>
            </w:r>
          </w:p>
        </w:tc>
        <w:tc>
          <w:tcPr>
            <w:tcW w:type="dxa" w:w="238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 IP</w:t>
            </w:r>
          </w:p>
        </w:tc>
        <w:tc>
          <w:tcPr>
            <w:tcW w:type="dxa" w:w="238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Destination IP</w:t>
            </w:r>
          </w:p>
        </w:tc>
        <w:tc>
          <w:tcPr>
            <w:tcW w:type="dxa" w:w="20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State</w:t>
            </w:r>
          </w:p>
        </w:tc>
      </w:tr>
      <w:tr>
        <w:tc>
          <w:tcPr>
            <w:tcW w:type="dxa" w:w="26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shared-intranet</w:t>
            </w:r>
          </w:p>
        </w:tc>
        <w:tc>
          <w:tcPr>
            <w:tcW w:type="dxa" w:w="238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10.254.254.Z</w:t>
            </w:r>
          </w:p>
        </w:tc>
        <w:tc>
          <w:tcPr>
            <w:tcW w:type="dxa" w:w="238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10.T.x.x</w:t>
            </w:r>
          </w:p>
        </w:tc>
        <w:tc>
          <w:tcPr>
            <w:tcW w:type="dxa" w:w="2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Real internal address</w:t>
            </w:r>
          </w:p>
        </w:tc>
      </w:tr>
      <w:tr>
        <w:tc>
          <w:tcPr>
            <w:tcW w:type="dxa" w:w="2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shared-sidecar</w:t>
            </w:r>
          </w:p>
        </w:tc>
        <w:tc>
          <w:tcPr>
            <w:tcW w:type="dxa" w:w="238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172.29.0.{TID}</w:t>
            </w:r>
          </w:p>
        </w:tc>
        <w:tc>
          <w:tcPr>
            <w:tcW w:type="dxa" w:w="238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10.T.x.x</w:t>
            </w:r>
          </w:p>
        </w:tc>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SNAT outbound applied — identity assigned</w:t>
            </w:r>
          </w:p>
        </w:tc>
      </w:tr>
      <w:tr>
        <w:tc>
          <w:tcPr>
            <w:tcW w:type="dxa" w:w="26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tz-{TID}-ipsec</w:t>
            </w:r>
          </w:p>
        </w:tc>
        <w:tc>
          <w:tcPr>
            <w:tcW w:type="dxa" w:w="238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172.29.0.{TID}</w:t>
            </w:r>
          </w:p>
        </w:tc>
        <w:tc>
          <w:tcPr>
            <w:tcW w:type="dxa" w:w="238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10.T.x.x</w:t>
            </w:r>
          </w:p>
        </w:tc>
        <w:tc>
          <w:tcPr>
            <w:tcW w:type="dxa" w:w="2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Encrypted — delivered to tenant</w:t>
            </w:r>
          </w:p>
        </w:tc>
      </w:tr>
    </w:tbl>
    <w:p>
      <w:pPr>
        <w:spacing w:after="60"/>
      </w:pPr>
      <w:r>
        <w:rPr>
          <w:rFonts w:ascii="Arial" w:cs="Arial" w:eastAsia="Arial" w:hAnsi="Arial"/>
          <w:color w:val="0F1923"/>
          <w:sz w:val="22"/>
          <w:szCs w:val="22"/>
        </w:rPr>
        <w:t xml:space="preserve"/>
      </w:r>
    </w:p>
    <w:p>
      <w:pPr>
        <w:pStyle w:val="Heading2"/>
        <w:pBdr>
          <w:bottom w:val="single" w:color="2E6DA4" w:sz="6" w:space="1"/>
        </w:pBdr>
        <w:spacing w:before="320" w:after="120"/>
      </w:pPr>
      <w:r>
        <w:rPr>
          <w:rFonts w:ascii="Arial" w:cs="Arial" w:eastAsia="Arial" w:hAnsi="Arial"/>
          <w:b/>
          <w:bCs/>
          <w:color w:val="1A3A5C"/>
          <w:sz w:val="28"/>
          <w:szCs w:val="28"/>
        </w:rPr>
        <w:t xml:space="preserve">4.4  Remote Host to Tenant DMZ Segment</w:t>
      </w:r>
    </w:p>
    <w:p>
      <w:pPr>
        <w:spacing w:after="120"/>
      </w:pPr>
      <w:r>
        <w:rPr>
          <w:rFonts w:ascii="Arial" w:cs="Arial" w:eastAsia="Arial" w:hAnsi="Arial"/>
          <w:color w:val="0F1923"/>
          <w:sz w:val="22"/>
          <w:szCs w:val="22"/>
        </w:rPr>
        <w:t xml:space="preserve">Traffic destined for the DMZ segment traverses the IPsec tunnel and is delivered directly into the tenant DMZ zone via the DMZ sub-interface. No SNAT is applied on this path — the remote host IP is visible to DMZ hosts. This is by design: the DMZ segment is tenant-exclusive and not accessible from the intranet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80"/>
        <w:gridCol w:w="2380"/>
        <w:gridCol w:w="2000"/>
      </w:tblGrid>
      <w:tr>
        <w:tc>
          <w:tcPr>
            <w:tcW w:type="dxa" w:w="26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Zone</w:t>
            </w:r>
          </w:p>
        </w:tc>
        <w:tc>
          <w:tcPr>
            <w:tcW w:type="dxa" w:w="238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 IP</w:t>
            </w:r>
          </w:p>
        </w:tc>
        <w:tc>
          <w:tcPr>
            <w:tcW w:type="dxa" w:w="238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Destination IP</w:t>
            </w:r>
          </w:p>
        </w:tc>
        <w:tc>
          <w:tcPr>
            <w:tcW w:type="dxa" w:w="20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State</w:t>
            </w:r>
          </w:p>
        </w:tc>
      </w:tr>
      <w:tr>
        <w:tc>
          <w:tcPr>
            <w:tcW w:type="dxa" w:w="26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tz-{TID}-ipsec</w:t>
            </w:r>
          </w:p>
        </w:tc>
        <w:tc>
          <w:tcPr>
            <w:tcW w:type="dxa" w:w="238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147.225.89.20</w:t>
            </w:r>
          </w:p>
        </w:tc>
        <w:tc>
          <w:tcPr>
            <w:tcW w:type="dxa" w:w="238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172.30.8.22</w:t>
            </w:r>
          </w:p>
        </w:tc>
        <w:tc>
          <w:tcPr>
            <w:tcW w:type="dxa" w:w="2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Decrypted — real addresses</w:t>
            </w:r>
          </w:p>
        </w:tc>
      </w:tr>
      <w:tr>
        <w:tc>
          <w:tcPr>
            <w:tcW w:type="dxa" w:w="2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dmz-{TID}</w:t>
            </w:r>
          </w:p>
        </w:tc>
        <w:tc>
          <w:tcPr>
            <w:tcW w:type="dxa" w:w="238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147.225.89.20</w:t>
            </w:r>
          </w:p>
        </w:tc>
        <w:tc>
          <w:tcPr>
            <w:tcW w:type="dxa" w:w="238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172.30.8.22</w:t>
            </w:r>
          </w:p>
        </w:tc>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Routed via DMZ gateway — no SNAT</w:t>
            </w:r>
          </w:p>
        </w:tc>
      </w:tr>
      <w:tr>
        <w:tc>
          <w:tcPr>
            <w:tcW w:type="dxa" w:w="26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DMZ host</w:t>
            </w:r>
          </w:p>
        </w:tc>
        <w:tc>
          <w:tcPr>
            <w:tcW w:type="dxa" w:w="238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147.225.89.20</w:t>
            </w:r>
          </w:p>
        </w:tc>
        <w:tc>
          <w:tcPr>
            <w:tcW w:type="dxa" w:w="238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172.30.8.22</w:t>
            </w:r>
          </w:p>
        </w:tc>
        <w:tc>
          <w:tcPr>
            <w:tcW w:type="dxa" w:w="2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Delivered — remote IP visible on segment</w:t>
            </w:r>
          </w:p>
        </w:tc>
      </w:tr>
    </w:tbl>
    <w:p>
      <w:pPr>
        <w:spacing w:after="60"/>
      </w:pPr>
      <w:r>
        <w:rPr>
          <w:rFonts w:ascii="Arial" w:cs="Arial" w:eastAsia="Arial" w:hAnsi="Arial"/>
          <w:color w:val="0F1923"/>
          <w:sz w:val="22"/>
          <w:szCs w:val="22"/>
        </w:rPr>
        <w:t xml:space="preserve"/>
      </w:r>
    </w:p>
    <w:p>
      <w:pPr>
        <w:pBdr>
          <w:left w:val="single" w:color="2E6DA4" w:sz="12" w:space="4"/>
        </w:pBdr>
        <w:spacing w:before="80" w:after="120"/>
        <w:ind w:left="720"/>
      </w:pPr>
      <w:r>
        <w:rPr>
          <w:rFonts w:ascii="Arial" w:cs="Arial" w:eastAsia="Arial" w:hAnsi="Arial"/>
          <w:b/>
          <w:bCs/>
          <w:color w:val="1A3A5C"/>
          <w:sz w:val="22"/>
          <w:szCs w:val="22"/>
        </w:rPr>
        <w:t xml:space="preserve">Note: </w:t>
      </w:r>
      <w:r>
        <w:rPr>
          <w:rFonts w:ascii="Arial" w:cs="Arial" w:eastAsia="Arial" w:hAnsi="Arial"/>
          <w:color w:val="4A6A8A"/>
          <w:sz w:val="22"/>
          <w:szCs w:val="22"/>
        </w:rPr>
        <w:t xml:space="preserve">The DMZ VLAN extends outside the firewall to the physical switching infrastructure. Tenant hosts on the same VLAN communicate with DMZ devices via L2 — the firewall is not in path for this local traffic. The firewall is only in path for routed traffic leaving the DMZ segment toward the intranet.</w:t>
      </w:r>
    </w:p>
    <w:p>
      <w:pPr>
        <w:spacing w:after="0"/>
      </w:pPr>
      <w:r>
        <w:br w:type="page"/>
      </w:r>
    </w:p>
    <w:p>
      <w:pPr>
        <w:pStyle w:val="Heading1"/>
        <w:shd w:fill="1A3A5C" w:val="clear"/>
        <w:spacing w:before="240" w:after="200"/>
      </w:pPr>
      <w:r>
        <w:rPr>
          <w:rFonts w:ascii="Arial" w:cs="Arial" w:eastAsia="Arial" w:hAnsi="Arial"/>
          <w:b/>
          <w:bCs/>
          <w:color w:val="FFFFFF"/>
          <w:sz w:val="36"/>
          <w:szCs w:val="36"/>
        </w:rPr>
        <w:t xml:space="preserve">5.  NAT Model</w:t>
      </w:r>
    </w:p>
    <w:p>
      <w:pPr>
        <w:pStyle w:val="Heading2"/>
        <w:pBdr>
          <w:bottom w:val="single" w:color="2E6DA4" w:sz="6" w:space="1"/>
        </w:pBdr>
        <w:spacing w:before="320" w:after="120"/>
      </w:pPr>
      <w:r>
        <w:rPr>
          <w:rFonts w:ascii="Arial" w:cs="Arial" w:eastAsia="Arial" w:hAnsi="Arial"/>
          <w:b/>
          <w:bCs/>
          <w:color w:val="1A3A5C"/>
          <w:sz w:val="28"/>
          <w:szCs w:val="28"/>
        </w:rPr>
        <w:t xml:space="preserve">5.1  Shared-Sidecar as NAT Corridor</w:t>
      </w:r>
    </w:p>
    <w:p>
      <w:pPr>
        <w:spacing w:after="120"/>
      </w:pPr>
      <w:r>
        <w:rPr>
          <w:rFonts w:ascii="Arial" w:cs="Arial" w:eastAsia="Arial" w:hAnsi="Arial"/>
          <w:color w:val="0F1923"/>
          <w:sz w:val="22"/>
          <w:szCs w:val="22"/>
        </w:rPr>
        <w:t xml:space="preserve">All bidirectional SNAT between the tenant zone and the intranet zone fires at the shared-sidecar zone boundary. The shared-sidecar zone contains no hosts and no interfaces of its own — it exists solely to provide a zone boundary for the NAT engine to fire against.</w:t>
      </w:r>
    </w:p>
    <w:p>
      <w:pPr>
        <w:spacing w:after="120"/>
      </w:pPr>
      <w:r>
        <w:rPr>
          <w:rFonts w:ascii="Arial" w:cs="Arial" w:eastAsia="Arial" w:hAnsi="Arial"/>
          <w:color w:val="0F1923"/>
          <w:sz w:val="22"/>
          <w:szCs w:val="22"/>
        </w:rPr>
        <w:t xml:space="preserve">Each tenant has exactly two SNAT rules in the shared-sidecar zone:</w:t>
      </w:r>
    </w:p>
    <w:p>
      <w:pPr>
        <w:pStyle w:val="ListParagraph"/>
        <w:numPr>
          <w:ilvl w:val="0"/>
          <w:numId w:val="2"/>
        </w:numPr>
        <w:spacing w:after="80"/>
      </w:pPr>
      <w:r>
        <w:rPr>
          <w:rFonts w:ascii="Arial" w:cs="Arial" w:eastAsia="Arial" w:hAnsi="Arial"/>
          <w:b/>
          <w:bCs/>
          <w:color w:val="0F1923"/>
          <w:sz w:val="22"/>
          <w:szCs w:val="22"/>
        </w:rPr>
        <w:t xml:space="preserve">nat-{TID}-inbound: </w:t>
      </w:r>
      <w:r>
        <w:rPr>
          <w:rFonts w:ascii="Arial" w:cs="Arial" w:eastAsia="Arial" w:hAnsi="Arial"/>
          <w:color w:val="0F1923"/>
          <w:sz w:val="22"/>
          <w:szCs w:val="22"/>
        </w:rPr>
        <w:t xml:space="preserve">Fires when traffic crosses from tz-{TID}-ipsec into shared-sidecar. Translates the real remote source address to the tenant inbound SNAT identity ({snat_inbound_ip}/32). Keyed on src-zone = tz-{TID}-ipsec — this zone is per-tenant, so the rule fires exclusively for this tenant's traffic.</w:t>
      </w:r>
    </w:p>
    <w:p>
      <w:pPr>
        <w:pStyle w:val="ListParagraph"/>
        <w:numPr>
          <w:ilvl w:val="0"/>
          <w:numId w:val="2"/>
        </w:numPr>
        <w:spacing w:after="80"/>
      </w:pPr>
      <w:r>
        <w:rPr>
          <w:rFonts w:ascii="Arial" w:cs="Arial" w:eastAsia="Arial" w:hAnsi="Arial"/>
          <w:b/>
          <w:bCs/>
          <w:color w:val="0F1923"/>
          <w:sz w:val="22"/>
          <w:szCs w:val="22"/>
        </w:rPr>
        <w:t xml:space="preserve">nat-{TID}-outbound: </w:t>
      </w:r>
      <w:r>
        <w:rPr>
          <w:rFonts w:ascii="Arial" w:cs="Arial" w:eastAsia="Arial" w:hAnsi="Arial"/>
          <w:color w:val="0F1923"/>
          <w:sz w:val="22"/>
          <w:szCs w:val="22"/>
        </w:rPr>
        <w:t xml:space="preserve">Fires when traffic crosses from shared-intranet into shared-sidecar bound for the tenant network. Translates the real internal source address to the tenant outbound SNAT identity ({snat_outbound_ip}/32). Keyed on dst = 10.T.x.x/24 — the tenant's specific remote network, unique across all tenants in vr-{TID}.</w:t>
      </w:r>
    </w:p>
    <w:p>
      <w:pPr>
        <w:spacing w:after="60"/>
      </w:pPr>
      <w:r>
        <w:rPr>
          <w:rFonts w:ascii="Arial" w:cs="Arial" w:eastAsia="Arial" w:hAnsi="Arial"/>
          <w:color w:val="0F1923"/>
          <w:sz w:val="22"/>
          <w:szCs w:val="22"/>
        </w:rPr>
        <w:t xml:space="preserve"/>
      </w:r>
    </w:p>
    <w:p>
      <w:pPr>
        <w:pStyle w:val="Heading2"/>
        <w:pBdr>
          <w:bottom w:val="single" w:color="2E6DA4" w:sz="6" w:space="1"/>
        </w:pBdr>
        <w:spacing w:before="320" w:after="120"/>
      </w:pPr>
      <w:r>
        <w:rPr>
          <w:rFonts w:ascii="Arial" w:cs="Arial" w:eastAsia="Arial" w:hAnsi="Arial"/>
          <w:b/>
          <w:bCs/>
          <w:color w:val="1A3A5C"/>
          <w:sz w:val="28"/>
          <w:szCs w:val="28"/>
        </w:rPr>
        <w:t xml:space="preserve">5.2  SNAT and PNAT Service Models</w:t>
      </w:r>
    </w:p>
    <w:p>
      <w:pPr>
        <w:spacing w:after="120"/>
      </w:pPr>
      <w:r>
        <w:rPr>
          <w:rFonts w:ascii="Arial" w:cs="Arial" w:eastAsia="Arial" w:hAnsi="Arial"/>
          <w:color w:val="0F1923"/>
          <w:sz w:val="22"/>
          <w:szCs w:val="22"/>
        </w:rPr>
        <w:t xml:space="preserve">Two service delivery models are supported per tenant, configured independently per service entry in the tenant profile.</w:t>
      </w:r>
    </w:p>
    <w:p>
      <w:pPr>
        <w:pStyle w:val="Heading3"/>
        <w:spacing w:before="240" w:after="80"/>
      </w:pPr>
      <w:r>
        <w:rPr>
          <w:rFonts w:ascii="Arial" w:cs="Arial" w:eastAsia="Arial" w:hAnsi="Arial"/>
          <w:b/>
          <w:bCs/>
          <w:color w:val="2E6DA4"/>
          <w:sz w:val="24"/>
          <w:szCs w:val="24"/>
        </w:rPr>
        <w:t xml:space="preserve">5.2.1  Direct IP (SNAT only)</w:t>
      </w:r>
    </w:p>
    <w:p>
      <w:pPr>
        <w:spacing w:after="120"/>
      </w:pPr>
      <w:r>
        <w:rPr>
          <w:rFonts w:ascii="Arial" w:cs="Arial" w:eastAsia="Arial" w:hAnsi="Arial"/>
          <w:color w:val="0F1923"/>
          <w:sz w:val="22"/>
          <w:szCs w:val="22"/>
        </w:rPr>
        <w:t xml:space="preserve">Source NAT is applied to the remote host address. Destination is delivered as-is to the internal host. Port is preserved. Used when one SNAT identity maps to one internal host and port transparency 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Translation</w:t>
            </w:r>
          </w:p>
        </w:tc>
        <w:tc>
          <w:tcPr>
            <w:tcW w:type="dxa" w:w="24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Before</w:t>
            </w:r>
          </w:p>
        </w:tc>
        <w:tc>
          <w:tcPr>
            <w:tcW w:type="dxa" w:w="24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After</w:t>
            </w:r>
          </w:p>
        </w:tc>
        <w:tc>
          <w:tcPr>
            <w:tcW w:type="dxa" w:w="256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w:t>
            </w:r>
          </w:p>
        </w:tc>
      </w:tr>
      <w:tr>
        <w:tc>
          <w:tcPr>
            <w:tcW w:type="dxa" w:w="2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Source IP</w:t>
            </w:r>
          </w:p>
        </w:tc>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147.225.88.60</w:t>
            </w:r>
          </w:p>
        </w:tc>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99.11.88.70</w:t>
            </w:r>
          </w:p>
        </w:tc>
        <w:tc>
          <w:tcPr>
            <w:tcW w:type="dxa" w:w="25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Tenant identity assigned</w:t>
            </w:r>
          </w:p>
        </w:tc>
      </w:tr>
      <w:tr>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Destination IP</w:t>
            </w:r>
          </w:p>
        </w:tc>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99.11.88.70</w:t>
            </w:r>
          </w:p>
        </w:tc>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124.89.11.44</w:t>
            </w:r>
          </w:p>
        </w:tc>
        <w:tc>
          <w:tcPr>
            <w:tcW w:type="dxa" w:w="2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Real host resolved from SNAT identity</w:t>
            </w:r>
          </w:p>
        </w:tc>
      </w:tr>
      <w:tr>
        <w:tc>
          <w:tcPr>
            <w:tcW w:type="dxa" w:w="2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Port</w:t>
            </w:r>
          </w:p>
        </w:tc>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Any</w:t>
            </w:r>
          </w:p>
        </w:tc>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Unchanged</w:t>
            </w:r>
          </w:p>
        </w:tc>
        <w:tc>
          <w:tcPr>
            <w:tcW w:type="dxa" w:w="25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Preserved end-to-end</w:t>
            </w:r>
          </w:p>
        </w:tc>
      </w:tr>
    </w:tbl>
    <w:p>
      <w:pPr>
        <w:spacing w:after="60"/>
      </w:pPr>
      <w:r>
        <w:rPr>
          <w:rFonts w:ascii="Arial" w:cs="Arial" w:eastAsia="Arial" w:hAnsi="Arial"/>
          <w:color w:val="0F1923"/>
          <w:sz w:val="22"/>
          <w:szCs w:val="22"/>
        </w:rPr>
        <w:t xml:space="preserve"/>
      </w:r>
    </w:p>
    <w:p>
      <w:pPr>
        <w:pStyle w:val="Heading3"/>
        <w:spacing w:before="240" w:after="80"/>
      </w:pPr>
      <w:r>
        <w:rPr>
          <w:rFonts w:ascii="Arial" w:cs="Arial" w:eastAsia="Arial" w:hAnsi="Arial"/>
          <w:b/>
          <w:bCs/>
          <w:color w:val="2E6DA4"/>
          <w:sz w:val="24"/>
          <w:szCs w:val="24"/>
        </w:rPr>
        <w:t xml:space="preserve">5.2.2  Port NAT (SNAT + DNAT + Port translation)</w:t>
      </w:r>
    </w:p>
    <w:p>
      <w:pPr>
        <w:spacing w:after="120"/>
      </w:pPr>
      <w:r>
        <w:rPr>
          <w:rFonts w:ascii="Arial" w:cs="Arial" w:eastAsia="Arial" w:hAnsi="Arial"/>
          <w:color w:val="0F1923"/>
          <w:sz w:val="22"/>
          <w:szCs w:val="22"/>
        </w:rPr>
        <w:t xml:space="preserve">Source NAT and destination NAT are combined with port translation. Multiple internal hosts are reachable behind a single SNAT inbound IP, differentiated by external port number. Used when a tenant requires access to multiple internal services and IPAM address conservation 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Translation</w:t>
            </w:r>
          </w:p>
        </w:tc>
        <w:tc>
          <w:tcPr>
            <w:tcW w:type="dxa" w:w="24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Before</w:t>
            </w:r>
          </w:p>
        </w:tc>
        <w:tc>
          <w:tcPr>
            <w:tcW w:type="dxa" w:w="24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After</w:t>
            </w:r>
          </w:p>
        </w:tc>
        <w:tc>
          <w:tcPr>
            <w:tcW w:type="dxa" w:w="256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w:t>
            </w:r>
          </w:p>
        </w:tc>
      </w:tr>
      <w:tr>
        <w:tc>
          <w:tcPr>
            <w:tcW w:type="dxa" w:w="2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Source IP</w:t>
            </w:r>
          </w:p>
        </w:tc>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147.225.88.60</w:t>
            </w:r>
          </w:p>
        </w:tc>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99.11.88.70</w:t>
            </w:r>
          </w:p>
        </w:tc>
        <w:tc>
          <w:tcPr>
            <w:tcW w:type="dxa" w:w="25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Same SNAT identity for all services</w:t>
            </w:r>
          </w:p>
        </w:tc>
      </w:tr>
      <w:tr>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Destination IP</w:t>
            </w:r>
          </w:p>
        </w:tc>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99.11.88.70</w:t>
            </w:r>
          </w:p>
        </w:tc>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124.89.11.44</w:t>
            </w:r>
          </w:p>
        </w:tc>
        <w:tc>
          <w:tcPr>
            <w:tcW w:type="dxa" w:w="2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Service-specific internal host</w:t>
            </w:r>
          </w:p>
        </w:tc>
      </w:tr>
      <w:tr>
        <w:tc>
          <w:tcPr>
            <w:tcW w:type="dxa" w:w="2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External Port</w:t>
            </w:r>
          </w:p>
        </w:tc>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8443</w:t>
            </w:r>
          </w:p>
        </w:tc>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443</w:t>
            </w:r>
          </w:p>
        </w:tc>
        <w:tc>
          <w:tcPr>
            <w:tcW w:type="dxa" w:w="25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Maps to internal service port</w:t>
            </w:r>
          </w:p>
        </w:tc>
      </w:tr>
    </w:tbl>
    <w:p>
      <w:pPr>
        <w:spacing w:after="60"/>
      </w:pPr>
      <w:r>
        <w:rPr>
          <w:rFonts w:ascii="Arial" w:cs="Arial" w:eastAsia="Arial" w:hAnsi="Arial"/>
          <w:color w:val="0F1923"/>
          <w:sz w:val="22"/>
          <w:szCs w:val="22"/>
        </w:rPr>
        <w:t xml:space="preserve"/>
      </w:r>
    </w:p>
    <w:p>
      <w:pPr>
        <w:pBdr>
          <w:left w:val="single" w:color="2E6DA4" w:sz="12" w:space="4"/>
        </w:pBdr>
        <w:spacing w:before="80" w:after="120"/>
        <w:ind w:left="720"/>
      </w:pPr>
      <w:r>
        <w:rPr>
          <w:rFonts w:ascii="Arial" w:cs="Arial" w:eastAsia="Arial" w:hAnsi="Arial"/>
          <w:b/>
          <w:bCs/>
          <w:color w:val="1A3A5C"/>
          <w:sz w:val="22"/>
          <w:szCs w:val="22"/>
        </w:rPr>
        <w:t xml:space="preserve">Note: </w:t>
      </w:r>
      <w:r>
        <w:rPr>
          <w:rFonts w:ascii="Arial" w:cs="Arial" w:eastAsia="Arial" w:hAnsi="Arial"/>
          <w:color w:val="4A6A8A"/>
          <w:sz w:val="22"/>
          <w:szCs w:val="22"/>
        </w:rPr>
        <w:t xml:space="preserve">External port uniqueness is enforced by the automation pipeline at validation time. Two services on the same tenant cannot share the same external port on the same SNAT inbound IP. The pipeline rejects the tenant profile before any configuration reaches Panorama if a port conflict is detected.</w:t>
      </w:r>
    </w:p>
    <w:p>
      <w:pPr>
        <w:spacing w:after="0"/>
      </w:pPr>
      <w:r>
        <w:br w:type="page"/>
      </w:r>
    </w:p>
    <w:p>
      <w:pPr>
        <w:pStyle w:val="Heading1"/>
        <w:shd w:fill="1A3A5C" w:val="clear"/>
        <w:spacing w:before="240" w:after="200"/>
      </w:pPr>
      <w:r>
        <w:rPr>
          <w:rFonts w:ascii="Arial" w:cs="Arial" w:eastAsia="Arial" w:hAnsi="Arial"/>
          <w:b/>
          <w:bCs/>
          <w:color w:val="FFFFFF"/>
          <w:sz w:val="36"/>
          <w:szCs w:val="36"/>
        </w:rPr>
        <w:t xml:space="preserve">6.  DNS Architecture</w:t>
      </w:r>
    </w:p>
    <w:p>
      <w:pPr>
        <w:pStyle w:val="Heading2"/>
        <w:pBdr>
          <w:bottom w:val="single" w:color="2E6DA4" w:sz="6" w:space="1"/>
        </w:pBdr>
        <w:spacing w:before="320" w:after="120"/>
      </w:pPr>
      <w:r>
        <w:rPr>
          <w:rFonts w:ascii="Arial" w:cs="Arial" w:eastAsia="Arial" w:hAnsi="Arial"/>
          <w:b/>
          <w:bCs/>
          <w:color w:val="1A3A5C"/>
          <w:sz w:val="28"/>
          <w:szCs w:val="28"/>
        </w:rPr>
        <w:t xml:space="preserve">6.1  Role of DNS in the Platform</w:t>
      </w:r>
    </w:p>
    <w:p>
      <w:pPr>
        <w:spacing w:after="120"/>
      </w:pPr>
      <w:r>
        <w:rPr>
          <w:rFonts w:ascii="Arial" w:cs="Arial" w:eastAsia="Arial" w:hAnsi="Arial"/>
          <w:color w:val="0F1923"/>
          <w:sz w:val="22"/>
          <w:szCs w:val="22"/>
        </w:rPr>
        <w:t xml:space="preserve">Remote hosts are expected to know internal service names, not IP addresses. The DNS proxy is therefore a load-bearing component for inbound connectivity, not an optional enhancement.</w:t>
      </w:r>
    </w:p>
    <w:p>
      <w:pPr>
        <w:spacing w:after="120"/>
      </w:pPr>
      <w:r>
        <w:rPr>
          <w:rFonts w:ascii="Arial" w:cs="Arial" w:eastAsia="Arial" w:hAnsi="Arial"/>
          <w:color w:val="0F1923"/>
          <w:sz w:val="22"/>
          <w:szCs w:val="22"/>
        </w:rPr>
        <w:t xml:space="preserve">Without DNS rewriting, a remote host that resolves an internal name receives the real internal IP address. That address is not reachable from the remote side — the connection would fail because the firewall's inbound SNAT and zone policy are built around the SNAT inbound identity, not the real internal address. DNS rewriting corrects this by returning the SNAT inbound identity instead of the real IP.</w:t>
      </w:r>
    </w:p>
    <w:p>
      <w:pPr>
        <w:pStyle w:val="Heading2"/>
        <w:pBdr>
          <w:bottom w:val="single" w:color="2E6DA4" w:sz="6" w:space="1"/>
        </w:pBdr>
        <w:spacing w:before="320" w:after="120"/>
      </w:pPr>
      <w:r>
        <w:rPr>
          <w:rFonts w:ascii="Arial" w:cs="Arial" w:eastAsia="Arial" w:hAnsi="Arial"/>
          <w:b/>
          <w:bCs/>
          <w:color w:val="1A3A5C"/>
          <w:sz w:val="28"/>
          <w:szCs w:val="28"/>
        </w:rPr>
        <w:t xml:space="preserve">6.2  DNS Proxy — dns-{TID}</w:t>
      </w:r>
    </w:p>
    <w:p>
      <w:pPr>
        <w:spacing w:after="120"/>
      </w:pPr>
      <w:r>
        <w:rPr>
          <w:rFonts w:ascii="Arial" w:cs="Arial" w:eastAsia="Arial" w:hAnsi="Arial"/>
          <w:color w:val="0F1923"/>
          <w:sz w:val="22"/>
          <w:szCs w:val="22"/>
        </w:rPr>
        <w:t xml:space="preserve">Each tenant receives a dedicated DNS proxy object (dns-{TID}) provisioned by the automation pipeline. The proxy performs the following functions:</w:t>
      </w:r>
    </w:p>
    <w:p>
      <w:pPr>
        <w:pStyle w:val="ListParagraph"/>
        <w:numPr>
          <w:ilvl w:val="0"/>
          <w:numId w:val="2"/>
        </w:numPr>
        <w:spacing w:after="80"/>
      </w:pPr>
      <w:r>
        <w:rPr>
          <w:rFonts w:ascii="Arial" w:cs="Arial" w:eastAsia="Arial" w:hAnsi="Arial"/>
          <w:b/>
          <w:bCs/>
          <w:color w:val="0F1923"/>
          <w:sz w:val="22"/>
          <w:szCs w:val="22"/>
        </w:rPr>
        <w:t xml:space="preserve">Conditional forwarding: </w:t>
      </w:r>
      <w:r>
        <w:rPr>
          <w:rFonts w:ascii="Arial" w:cs="Arial" w:eastAsia="Arial" w:hAnsi="Arial"/>
          <w:color w:val="0F1923"/>
          <w:sz w:val="22"/>
          <w:szCs w:val="22"/>
        </w:rPr>
        <w:t xml:space="preserve">Queries for internal domain suffixes (e.g. corp.local) are forwarded to the internal DNS resolver. Queries for external names are forwarded to an external resolver. Forwarding rules are provisioned per tenant from the tenant profile.</w:t>
      </w:r>
    </w:p>
    <w:p>
      <w:pPr>
        <w:pStyle w:val="ListParagraph"/>
        <w:numPr>
          <w:ilvl w:val="0"/>
          <w:numId w:val="2"/>
        </w:numPr>
        <w:spacing w:after="80"/>
      </w:pPr>
      <w:r>
        <w:rPr>
          <w:rFonts w:ascii="Arial" w:cs="Arial" w:eastAsia="Arial" w:hAnsi="Arial"/>
          <w:b/>
          <w:bCs/>
          <w:color w:val="0F1923"/>
          <w:sz w:val="22"/>
          <w:szCs w:val="22"/>
        </w:rPr>
        <w:t xml:space="preserve">A-record rewriting: </w:t>
      </w:r>
      <w:r>
        <w:rPr>
          <w:rFonts w:ascii="Arial" w:cs="Arial" w:eastAsia="Arial" w:hAnsi="Arial"/>
          <w:color w:val="0F1923"/>
          <w:sz w:val="22"/>
          <w:szCs w:val="22"/>
        </w:rPr>
        <w:t xml:space="preserve">Responses from the internal resolver containing real internal IP addresses are intercepted. The A record is replaced with the tenant's SNAT inbound identity. The real IP is discarded and is never returned to the remote host.</w:t>
      </w:r>
    </w:p>
    <w:p>
      <w:pPr>
        <w:pStyle w:val="ListParagraph"/>
        <w:numPr>
          <w:ilvl w:val="0"/>
          <w:numId w:val="2"/>
        </w:numPr>
        <w:spacing w:after="80"/>
      </w:pPr>
      <w:r>
        <w:rPr>
          <w:rFonts w:ascii="Arial" w:cs="Arial" w:eastAsia="Arial" w:hAnsi="Arial"/>
          <w:b/>
          <w:bCs/>
          <w:color w:val="0F1923"/>
          <w:sz w:val="22"/>
          <w:szCs w:val="22"/>
        </w:rPr>
        <w:t xml:space="preserve">Per-service mapping: </w:t>
      </w:r>
      <w:r>
        <w:rPr>
          <w:rFonts w:ascii="Arial" w:cs="Arial" w:eastAsia="Arial" w:hAnsi="Arial"/>
          <w:color w:val="0F1923"/>
          <w:sz w:val="22"/>
          <w:szCs w:val="22"/>
        </w:rPr>
        <w:t xml:space="preserve">Each service entry in the tenant profile generates one DNS rewrite rule. The dns_name field (e.g. app.corp.local) maps to the SNAT inbound IP. For PNAT services, the remote host must also know the external port from its application configuration or connection string.</w:t>
      </w:r>
    </w:p>
    <w:p>
      <w:pPr>
        <w:spacing w:after="60"/>
      </w:pPr>
      <w:r>
        <w:rPr>
          <w:rFonts w:ascii="Arial" w:cs="Arial" w:eastAsia="Arial" w:hAnsi="Arial"/>
          <w:color w:val="0F1923"/>
          <w:sz w:val="22"/>
          <w:szCs w:val="22"/>
        </w:rPr>
        <w:t xml:space="preserve"/>
      </w:r>
    </w:p>
    <w:p>
      <w:pPr>
        <w:pStyle w:val="Heading2"/>
        <w:pBdr>
          <w:bottom w:val="single" w:color="2E6DA4" w:sz="6" w:space="1"/>
        </w:pBdr>
        <w:spacing w:before="320" w:after="120"/>
      </w:pPr>
      <w:r>
        <w:rPr>
          <w:rFonts w:ascii="Arial" w:cs="Arial" w:eastAsia="Arial" w:hAnsi="Arial"/>
          <w:b/>
          <w:bCs/>
          <w:color w:val="1A3A5C"/>
          <w:sz w:val="28"/>
          <w:szCs w:val="28"/>
        </w:rPr>
        <w:t xml:space="preserve">6.3  DNS Resolution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3400"/>
        <w:gridCol w:w="2960"/>
      </w:tblGrid>
      <w:tr>
        <w:tc>
          <w:tcPr>
            <w:tcW w:type="dxa" w:w="36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4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Actor</w:t>
            </w:r>
          </w:p>
        </w:tc>
        <w:tc>
          <w:tcPr>
            <w:tcW w:type="dxa" w:w="34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296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Result</w:t>
            </w:r>
          </w:p>
        </w:tc>
      </w:tr>
      <w:tr>
        <w:tc>
          <w:tcPr>
            <w:tcW w:type="dxa" w:w="3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1</w:t>
            </w:r>
          </w:p>
        </w:tc>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Remote Host</w:t>
            </w:r>
          </w:p>
        </w:tc>
        <w:tc>
          <w:tcPr>
            <w:tcW w:type="dxa" w:w="3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Sends DNS query for app.corp.local — UDP 53 via tunnel.{TID}</w:t>
            </w:r>
          </w:p>
        </w:tc>
        <w:tc>
          <w:tcPr>
            <w:tcW w:type="dxa" w:w="29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Query arrives in tz-{TID}-ipsec</w:t>
            </w:r>
          </w:p>
        </w:tc>
      </w:tr>
      <w:tr>
        <w:tc>
          <w:tcPr>
            <w:tcW w:type="dxa" w:w="3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2</w:t>
            </w:r>
          </w:p>
        </w:tc>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Zone policy</w:t>
            </w:r>
          </w:p>
        </w:tc>
        <w:tc>
          <w:tcPr>
            <w:tcW w:type="dxa" w:w="3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EP-DNS: permit DNS from tz-{TID}-ipsec — log-{TID}</w:t>
            </w:r>
          </w:p>
        </w:tc>
        <w:tc>
          <w:tcPr>
            <w:tcW w:type="dxa" w:w="2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Permitted</w:t>
            </w:r>
          </w:p>
        </w:tc>
      </w:tr>
      <w:tr>
        <w:tc>
          <w:tcPr>
            <w:tcW w:type="dxa" w:w="3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3</w:t>
            </w:r>
          </w:p>
        </w:tc>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dns-{TID}</w:t>
            </w:r>
          </w:p>
        </w:tc>
        <w:tc>
          <w:tcPr>
            <w:tcW w:type="dxa" w:w="3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Matches forwarding rule — app.corp.local forwards to 10.254.254.53</w:t>
            </w:r>
          </w:p>
        </w:tc>
        <w:tc>
          <w:tcPr>
            <w:tcW w:type="dxa" w:w="29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Query forwarded to internal DNS</w:t>
            </w:r>
          </w:p>
        </w:tc>
      </w:tr>
      <w:tr>
        <w:tc>
          <w:tcPr>
            <w:tcW w:type="dxa" w:w="3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4</w:t>
            </w:r>
          </w:p>
        </w:tc>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Internal DNS</w:t>
            </w:r>
          </w:p>
        </w:tc>
        <w:tc>
          <w:tcPr>
            <w:tcW w:type="dxa" w:w="3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Resolves app.corp.local — returns A record 124.89.11.44</w:t>
            </w:r>
          </w:p>
        </w:tc>
        <w:tc>
          <w:tcPr>
            <w:tcW w:type="dxa" w:w="2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Real IP returned to proxy</w:t>
            </w:r>
          </w:p>
        </w:tc>
      </w:tr>
      <w:tr>
        <w:tc>
          <w:tcPr>
            <w:tcW w:type="dxa" w:w="3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5</w:t>
            </w:r>
          </w:p>
        </w:tc>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dns-{TID}</w:t>
            </w:r>
          </w:p>
        </w:tc>
        <w:tc>
          <w:tcPr>
            <w:tcW w:type="dxa" w:w="3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A record rewrite — 124.89.11.44 replaced with 99.11.88.70</w:t>
            </w:r>
          </w:p>
        </w:tc>
        <w:tc>
          <w:tcPr>
            <w:tcW w:type="dxa" w:w="29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Real IP discarded</w:t>
            </w:r>
          </w:p>
        </w:tc>
      </w:tr>
      <w:tr>
        <w:tc>
          <w:tcPr>
            <w:tcW w:type="dxa" w:w="3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6</w:t>
            </w:r>
          </w:p>
        </w:tc>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Remote Host</w:t>
            </w:r>
          </w:p>
        </w:tc>
        <w:tc>
          <w:tcPr>
            <w:tcW w:type="dxa" w:w="3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Receives A record 99.11.88.70 — connects on appropriate port</w:t>
            </w:r>
          </w:p>
        </w:tc>
        <w:tc>
          <w:tcPr>
            <w:tcW w:type="dxa" w:w="2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Enters inbound flow — SNAT path active</w:t>
            </w:r>
          </w:p>
        </w:tc>
      </w:tr>
    </w:tbl>
    <w:p>
      <w:pPr>
        <w:spacing w:after="60"/>
      </w:pPr>
      <w:r>
        <w:rPr>
          <w:rFonts w:ascii="Arial" w:cs="Arial" w:eastAsia="Arial" w:hAnsi="Arial"/>
          <w:color w:val="0F1923"/>
          <w:sz w:val="22"/>
          <w:szCs w:val="22"/>
        </w:rPr>
        <w:t xml:space="preserve"/>
      </w:r>
    </w:p>
    <w:p>
      <w:pPr>
        <w:spacing w:after="0"/>
      </w:pPr>
      <w:r>
        <w:br w:type="page"/>
      </w:r>
    </w:p>
    <w:p>
      <w:pPr>
        <w:pStyle w:val="Heading1"/>
        <w:shd w:fill="1A3A5C" w:val="clear"/>
        <w:spacing w:before="240" w:after="200"/>
      </w:pPr>
      <w:r>
        <w:rPr>
          <w:rFonts w:ascii="Arial" w:cs="Arial" w:eastAsia="Arial" w:hAnsi="Arial"/>
          <w:b/>
          <w:bCs/>
          <w:color w:val="FFFFFF"/>
          <w:sz w:val="36"/>
          <w:szCs w:val="36"/>
        </w:rPr>
        <w:t xml:space="preserve">7.  Security Policy Model</w:t>
      </w:r>
    </w:p>
    <w:p>
      <w:pPr>
        <w:pStyle w:val="Heading2"/>
        <w:pBdr>
          <w:bottom w:val="single" w:color="2E6DA4" w:sz="6" w:space="1"/>
        </w:pBdr>
        <w:spacing w:before="320" w:after="120"/>
      </w:pPr>
      <w:r>
        <w:rPr>
          <w:rFonts w:ascii="Arial" w:cs="Arial" w:eastAsia="Arial" w:hAnsi="Arial"/>
          <w:b/>
          <w:bCs/>
          <w:color w:val="1A3A5C"/>
          <w:sz w:val="28"/>
          <w:szCs w:val="28"/>
        </w:rPr>
        <w:t xml:space="preserve">7.1  Enforcement Points</w:t>
      </w:r>
    </w:p>
    <w:p>
      <w:pPr>
        <w:spacing w:after="120"/>
      </w:pPr>
      <w:r>
        <w:rPr>
          <w:rFonts w:ascii="Arial" w:cs="Arial" w:eastAsia="Arial" w:hAnsi="Arial"/>
          <w:color w:val="0F1923"/>
          <w:sz w:val="22"/>
          <w:szCs w:val="22"/>
        </w:rPr>
        <w:t xml:space="preserve">Five enforcement points (EPs) are evaluated for every packet traversing the platform. Each EP is a zone boundary crossing with an associated security policy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2240"/>
        <w:gridCol w:w="4400"/>
      </w:tblGrid>
      <w:tr>
        <w:tc>
          <w:tcPr>
            <w:tcW w:type="dxa" w:w="72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EP</w:t>
            </w:r>
          </w:p>
        </w:tc>
        <w:tc>
          <w:tcPr>
            <w:tcW w:type="dxa" w:w="20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Zone Crossing</w:t>
            </w:r>
          </w:p>
        </w:tc>
        <w:tc>
          <w:tcPr>
            <w:tcW w:type="dxa" w:w="224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Rule Name</w:t>
            </w:r>
          </w:p>
        </w:tc>
        <w:tc>
          <w:tcPr>
            <w:tcW w:type="dxa" w:w="44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Function</w:t>
            </w:r>
          </w:p>
        </w:tc>
      </w:tr>
      <w:tr>
        <w:tc>
          <w:tcPr>
            <w:tcW w:type="dxa" w:w="72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EP1</w:t>
            </w:r>
          </w:p>
        </w:tc>
        <w:tc>
          <w:tcPr>
            <w:tcW w:type="dxa" w:w="2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Internet → shared-ike</w:t>
            </w:r>
          </w:p>
        </w:tc>
        <w:tc>
          <w:tcPr>
            <w:tcW w:type="dxa" w:w="224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pol-ike-inbound</w:t>
            </w:r>
          </w:p>
        </w:tc>
        <w:tc>
          <w:tcPr>
            <w:tcW w:type="dxa" w:w="4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Permits IKE UDP 500/4500 from known peer IPs only. Denies all other traffic.</w:t>
            </w:r>
          </w:p>
        </w:tc>
      </w:tr>
      <w:tr>
        <w:tc>
          <w:tcPr>
            <w:tcW w:type="dxa" w:w="72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EP2</w:t>
            </w:r>
          </w:p>
        </w:tc>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tz-{TID}-ipsec → shared-sidecar</w:t>
            </w:r>
          </w:p>
        </w:tc>
        <w:tc>
          <w:tcPr>
            <w:tcW w:type="dxa" w:w="224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pol-{TID}-inbound</w:t>
            </w:r>
          </w:p>
        </w:tc>
        <w:tc>
          <w:tcPr>
            <w:tcW w:type="dxa" w:w="4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Permits traffic from tunnel.{TID} to explicitly permitted internal hosts only. Applies full threat prevention profile. Logged to log-{TID}.</w:t>
            </w:r>
          </w:p>
        </w:tc>
      </w:tr>
      <w:tr>
        <w:tc>
          <w:tcPr>
            <w:tcW w:type="dxa" w:w="72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EP3</w:t>
            </w:r>
          </w:p>
        </w:tc>
        <w:tc>
          <w:tcPr>
            <w:tcW w:type="dxa" w:w="2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shared-sidecar → shared-intranet</w:t>
            </w:r>
          </w:p>
        </w:tc>
        <w:tc>
          <w:tcPr>
            <w:tcW w:type="dxa" w:w="224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pol-sidecar-intranet</w:t>
            </w:r>
          </w:p>
        </w:tc>
        <w:tc>
          <w:tcPr>
            <w:tcW w:type="dxa" w:w="4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Permits SNAT identity range ({snat_inbound} pool) to intranet. Default deny all other sources.</w:t>
            </w:r>
          </w:p>
        </w:tc>
      </w:tr>
      <w:tr>
        <w:tc>
          <w:tcPr>
            <w:tcW w:type="dxa" w:w="72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EP4</w:t>
            </w:r>
          </w:p>
        </w:tc>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tz-{TID}-ipsec → dmz-{TID}</w:t>
            </w:r>
          </w:p>
        </w:tc>
        <w:tc>
          <w:tcPr>
            <w:tcW w:type="dxa" w:w="224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pol-{TID}-dmz-in</w:t>
            </w:r>
          </w:p>
        </w:tc>
        <w:tc>
          <w:tcPr>
            <w:tcW w:type="dxa" w:w="4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Permits traffic from tunnel.{TID} to the tenant DMZ segment. Threat inspection applied. No SNAT on this path.</w:t>
            </w:r>
          </w:p>
        </w:tc>
      </w:tr>
      <w:tr>
        <w:tc>
          <w:tcPr>
            <w:tcW w:type="dxa" w:w="72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EP5</w:t>
            </w:r>
          </w:p>
        </w:tc>
        <w:tc>
          <w:tcPr>
            <w:tcW w:type="dxa" w:w="2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shared-intranet → shared-sidecar</w:t>
            </w:r>
          </w:p>
        </w:tc>
        <w:tc>
          <w:tcPr>
            <w:tcW w:type="dxa" w:w="224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pol-{TID}-outbound</w:t>
            </w:r>
          </w:p>
        </w:tc>
        <w:tc>
          <w:tcPr>
            <w:tcW w:type="dxa" w:w="4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Permits explicitly authorised internal hosts to reach the tenant network. SNAT outbound fires at this crossing.</w:t>
            </w:r>
          </w:p>
        </w:tc>
      </w:tr>
    </w:tbl>
    <w:p>
      <w:pPr>
        <w:spacing w:after="60"/>
      </w:pPr>
      <w:r>
        <w:rPr>
          <w:rFonts w:ascii="Arial" w:cs="Arial" w:eastAsia="Arial" w:hAnsi="Arial"/>
          <w:color w:val="0F1923"/>
          <w:sz w:val="22"/>
          <w:szCs w:val="22"/>
        </w:rPr>
        <w:t xml:space="preserve"/>
      </w:r>
    </w:p>
    <w:p>
      <w:pPr>
        <w:pStyle w:val="Heading2"/>
        <w:pBdr>
          <w:bottom w:val="single" w:color="2E6DA4" w:sz="6" w:space="1"/>
        </w:pBdr>
        <w:spacing w:before="320" w:after="120"/>
      </w:pPr>
      <w:r>
        <w:rPr>
          <w:rFonts w:ascii="Arial" w:cs="Arial" w:eastAsia="Arial" w:hAnsi="Arial"/>
          <w:b/>
          <w:bCs/>
          <w:color w:val="1A3A5C"/>
          <w:sz w:val="28"/>
          <w:szCs w:val="28"/>
        </w:rPr>
        <w:t xml:space="preserve">7.2  Threat Inspection Profiles</w:t>
      </w:r>
    </w:p>
    <w:p>
      <w:pPr>
        <w:spacing w:after="120"/>
      </w:pPr>
      <w:r>
        <w:rPr>
          <w:rFonts w:ascii="Arial" w:cs="Arial" w:eastAsia="Arial" w:hAnsi="Arial"/>
          <w:color w:val="0F1923"/>
          <w:sz w:val="22"/>
          <w:szCs w:val="22"/>
        </w:rPr>
        <w:t xml:space="preserve">Threat inspection is applied at EP2 and EP4 for all inbound tenant traffic. Circuit-connected tenants (unencrypted transport) receive an enhanced threat profile at EP2 reflecting the absence of cryptographic integrity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Profile</w:t>
            </w:r>
          </w:p>
        </w:tc>
        <w:tc>
          <w:tcPr>
            <w:tcW w:type="dxa" w:w="28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Applied At</w:t>
            </w:r>
          </w:p>
        </w:tc>
        <w:tc>
          <w:tcPr>
            <w:tcW w:type="dxa" w:w="416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Components</w:t>
            </w:r>
          </w:p>
        </w:tc>
      </w:tr>
      <w:tr>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threat-standard</w:t>
            </w:r>
          </w:p>
        </w:tc>
        <w:tc>
          <w:tcPr>
            <w:tcW w:type="dxa" w:w="28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EP2 — IPsec tenants</w:t>
            </w:r>
          </w:p>
        </w:tc>
        <w:tc>
          <w:tcPr>
            <w:tcW w:type="dxa" w:w="41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Threat Prevention, Vulnerability Protection, Anti-Spyware</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threat-circuit</w:t>
            </w:r>
          </w:p>
        </w:tc>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EP2 — circuit tenants</w:t>
            </w:r>
          </w:p>
        </w:tc>
        <w:tc>
          <w:tcPr>
            <w:tcW w:type="dxa" w:w="41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Threat Prevention, Vulnerability Protection, Anti-Spyware, Anti-Virus, File Blocking</w:t>
            </w:r>
          </w:p>
        </w:tc>
      </w:tr>
    </w:tbl>
    <w:p>
      <w:pPr>
        <w:spacing w:after="60"/>
      </w:pPr>
      <w:r>
        <w:rPr>
          <w:rFonts w:ascii="Arial" w:cs="Arial" w:eastAsia="Arial" w:hAnsi="Arial"/>
          <w:color w:val="0F1923"/>
          <w:sz w:val="22"/>
          <w:szCs w:val="22"/>
        </w:rPr>
        <w:t xml:space="preserve"/>
      </w:r>
    </w:p>
    <w:p>
      <w:pPr>
        <w:pStyle w:val="Heading2"/>
        <w:pBdr>
          <w:bottom w:val="single" w:color="2E6DA4" w:sz="6" w:space="1"/>
        </w:pBdr>
        <w:spacing w:before="320" w:after="120"/>
      </w:pPr>
      <w:r>
        <w:rPr>
          <w:rFonts w:ascii="Arial" w:cs="Arial" w:eastAsia="Arial" w:hAnsi="Arial"/>
          <w:b/>
          <w:bCs/>
          <w:color w:val="1A3A5C"/>
          <w:sz w:val="28"/>
          <w:szCs w:val="28"/>
        </w:rPr>
        <w:t xml:space="preserve">7.3  Logging and Forensic Attribution</w:t>
      </w:r>
    </w:p>
    <w:p>
      <w:pPr>
        <w:spacing w:after="120"/>
      </w:pPr>
      <w:r>
        <w:rPr>
          <w:rFonts w:ascii="Arial" w:cs="Arial" w:eastAsia="Arial" w:hAnsi="Arial"/>
          <w:color w:val="0F1923"/>
          <w:sz w:val="22"/>
          <w:szCs w:val="22"/>
        </w:rPr>
        <w:t xml:space="preserve">Every log event generated by the platform contains two independent fields that unambiguously identify the originating tenant without requiring post-processing enrichment.</w:t>
      </w:r>
    </w:p>
    <w:p>
      <w:pPr>
        <w:pStyle w:val="ListParagraph"/>
        <w:numPr>
          <w:ilvl w:val="0"/>
          <w:numId w:val="2"/>
        </w:numPr>
        <w:spacing w:after="80"/>
      </w:pPr>
      <w:r>
        <w:rPr>
          <w:rFonts w:ascii="Arial" w:cs="Arial" w:eastAsia="Arial" w:hAnsi="Arial"/>
          <w:b/>
          <w:bCs/>
          <w:color w:val="0F1923"/>
          <w:sz w:val="22"/>
          <w:szCs w:val="22"/>
        </w:rPr>
        <w:t xml:space="preserve">Zone name: </w:t>
      </w:r>
      <w:r>
        <w:rPr>
          <w:rFonts w:ascii="Arial" w:cs="Arial" w:eastAsia="Arial" w:hAnsi="Arial"/>
          <w:color w:val="0F1923"/>
          <w:sz w:val="22"/>
          <w:szCs w:val="22"/>
        </w:rPr>
        <w:t xml:space="preserve">tz-{TID}-ipsec appears in the src_zone or dst_zone field of every log event at the tenant ingress/egress boundary. The zone name directly encodes the Tenant ID.</w:t>
      </w:r>
    </w:p>
    <w:p>
      <w:pPr>
        <w:pStyle w:val="ListParagraph"/>
        <w:numPr>
          <w:ilvl w:val="0"/>
          <w:numId w:val="2"/>
        </w:numPr>
        <w:spacing w:after="80"/>
      </w:pPr>
      <w:r>
        <w:rPr>
          <w:rFonts w:ascii="Arial" w:cs="Arial" w:eastAsia="Arial" w:hAnsi="Arial"/>
          <w:b/>
          <w:bCs/>
          <w:color w:val="0F1923"/>
          <w:sz w:val="22"/>
          <w:szCs w:val="22"/>
        </w:rPr>
        <w:t xml:space="preserve">SNAT identity: </w:t>
      </w:r>
      <w:r>
        <w:rPr>
          <w:rFonts w:ascii="Arial" w:cs="Arial" w:eastAsia="Arial" w:hAnsi="Arial"/>
          <w:color w:val="0F1923"/>
          <w:sz w:val="22"/>
          <w:szCs w:val="22"/>
        </w:rPr>
        <w:t xml:space="preserve">The nat_src field contains {snat_inbound_ip}/32 for inbound flows and {snat_outbound_ip}/32 for outbound flows. These are tenant-exclusive /32 addresses — no two tenants share an identity.</w:t>
      </w:r>
    </w:p>
    <w:p>
      <w:pPr>
        <w:pStyle w:val="ListParagraph"/>
        <w:numPr>
          <w:ilvl w:val="0"/>
          <w:numId w:val="2"/>
        </w:numPr>
        <w:spacing w:after="80"/>
      </w:pPr>
      <w:r>
        <w:rPr>
          <w:rFonts w:ascii="Arial" w:cs="Arial" w:eastAsia="Arial" w:hAnsi="Arial"/>
          <w:b/>
          <w:bCs/>
          <w:color w:val="0F1923"/>
          <w:sz w:val="22"/>
          <w:szCs w:val="22"/>
        </w:rPr>
        <w:t xml:space="preserve">Rule name: </w:t>
      </w:r>
      <w:r>
        <w:rPr>
          <w:rFonts w:ascii="Arial" w:cs="Arial" w:eastAsia="Arial" w:hAnsi="Arial"/>
          <w:color w:val="0F1923"/>
          <w:sz w:val="22"/>
          <w:szCs w:val="22"/>
        </w:rPr>
        <w:t xml:space="preserve">pol-{TID}-inbound and pol-{TID}-outbound appear in the rule_name field, providing a third attribution path.</w:t>
      </w:r>
    </w:p>
    <w:p>
      <w:pPr>
        <w:spacing w:after="120"/>
      </w:pPr>
      <w:r>
        <w:rPr>
          <w:rFonts w:ascii="Arial" w:cs="Arial" w:eastAsia="Arial" w:hAnsi="Arial"/>
          <w:color w:val="0F1923"/>
          <w:sz w:val="22"/>
          <w:szCs w:val="22"/>
        </w:rPr>
        <w:t xml:space="preserve">The logging profile log-{TID} is applied at all enforcement points for the tenant. It carries additional structured fields including tenant_id, tenant_name, and connection_type, enabling direct SIEM ingestion without enrichment.</w:t>
      </w:r>
    </w:p>
    <w:p>
      <w:pPr>
        <w:spacing w:after="0"/>
      </w:pPr>
      <w:r>
        <w:br w:type="page"/>
      </w:r>
    </w:p>
    <w:p>
      <w:pPr>
        <w:pStyle w:val="Heading1"/>
        <w:shd w:fill="1A3A5C" w:val="clear"/>
        <w:spacing w:before="240" w:after="200"/>
      </w:pPr>
      <w:r>
        <w:rPr>
          <w:rFonts w:ascii="Arial" w:cs="Arial" w:eastAsia="Arial" w:hAnsi="Arial"/>
          <w:b/>
          <w:bCs/>
          <w:color w:val="FFFFFF"/>
          <w:sz w:val="36"/>
          <w:szCs w:val="36"/>
        </w:rPr>
        <w:t xml:space="preserve">8.  High Availability</w:t>
      </w:r>
    </w:p>
    <w:p>
      <w:pPr>
        <w:pStyle w:val="Heading2"/>
        <w:pBdr>
          <w:bottom w:val="single" w:color="2E6DA4" w:sz="6" w:space="1"/>
        </w:pBdr>
        <w:spacing w:before="320" w:after="120"/>
      </w:pPr>
      <w:r>
        <w:rPr>
          <w:rFonts w:ascii="Arial" w:cs="Arial" w:eastAsia="Arial" w:hAnsi="Arial"/>
          <w:b/>
          <w:bCs/>
          <w:color w:val="1A3A5C"/>
          <w:sz w:val="28"/>
          <w:szCs w:val="28"/>
        </w:rPr>
        <w:t xml:space="preserve">8.1  HA Architecture</w:t>
      </w:r>
    </w:p>
    <w:p>
      <w:pPr>
        <w:spacing w:after="120"/>
      </w:pPr>
      <w:r>
        <w:rPr>
          <w:rFonts w:ascii="Arial" w:cs="Arial" w:eastAsia="Arial" w:hAnsi="Arial"/>
          <w:color w:val="0F1923"/>
          <w:sz w:val="22"/>
          <w:szCs w:val="22"/>
        </w:rPr>
        <w:t xml:space="preserve">The PA-5400 cluster operates in Active/Passive HA mode. The passive node maintains a continuously synchronised copy of all state tables. On failover, the passive node assumes all floating IP addresses and resumes active flows without disruption.</w:t>
      </w:r>
    </w:p>
    <w:p>
      <w:pPr>
        <w:pStyle w:val="Heading2"/>
        <w:pBdr>
          <w:bottom w:val="single" w:color="2E6DA4" w:sz="6" w:space="1"/>
        </w:pBdr>
        <w:spacing w:before="320" w:after="120"/>
      </w:pPr>
      <w:r>
        <w:rPr>
          <w:rFonts w:ascii="Arial" w:cs="Arial" w:eastAsia="Arial" w:hAnsi="Arial"/>
          <w:b/>
          <w:bCs/>
          <w:color w:val="1A3A5C"/>
          <w:sz w:val="28"/>
          <w:szCs w:val="28"/>
        </w:rPr>
        <w:t xml:space="preserve">8.2  State Synchronisation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State Table</w:t>
            </w:r>
          </w:p>
        </w:tc>
        <w:tc>
          <w:tcPr>
            <w:tcW w:type="dxa" w:w="20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HA Channel</w:t>
            </w:r>
          </w:p>
        </w:tc>
        <w:tc>
          <w:tcPr>
            <w:tcW w:type="dxa" w:w="496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Failover Behaviour</w:t>
            </w:r>
          </w:p>
        </w:tc>
      </w:tr>
      <w:tr>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IPsec Security Associations</w:t>
            </w:r>
          </w:p>
        </w:tc>
        <w:tc>
          <w:tcPr>
            <w:tcW w:type="dxa" w:w="2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HA2</w:t>
            </w:r>
          </w:p>
        </w:tc>
        <w:tc>
          <w:tcPr>
            <w:tcW w:type="dxa" w:w="49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SAs intact on passive. loopback.{TID} assumed via floating IP. IKE peer sees no endpoint change. Tunnels resume without re-negotiation.</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Session Table</w:t>
            </w:r>
          </w:p>
        </w:tc>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HA2</w:t>
            </w:r>
          </w:p>
        </w:tc>
        <w:tc>
          <w:tcPr>
            <w:tcW w:type="dxa" w:w="4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Active sessions synced. Existing flows resume on passive node without interruption.</w:t>
            </w:r>
          </w:p>
        </w:tc>
      </w:tr>
      <w:tr>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NAT Translation Table</w:t>
            </w:r>
          </w:p>
        </w:tc>
        <w:tc>
          <w:tcPr>
            <w:tcW w:type="dxa" w:w="2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HA2</w:t>
            </w:r>
          </w:p>
        </w:tc>
        <w:tc>
          <w:tcPr>
            <w:tcW w:type="dxa" w:w="49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SNAT translations preserved. No session loss for active flows at failover.</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ARP Table</w:t>
            </w:r>
          </w:p>
        </w:tc>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HA2</w:t>
            </w:r>
          </w:p>
        </w:tc>
        <w:tc>
          <w:tcPr>
            <w:tcW w:type="dxa" w:w="4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GARP sent on failover. Upstream switches update MAC tables within seconds.</w:t>
            </w:r>
          </w:p>
        </w:tc>
      </w:tr>
      <w:tr>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Route Table</w:t>
            </w:r>
          </w:p>
        </w:tc>
        <w:tc>
          <w:tcPr>
            <w:tcW w:type="dxa" w:w="2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HA3</w:t>
            </w:r>
          </w:p>
        </w:tc>
        <w:tc>
          <w:tcPr>
            <w:tcW w:type="dxa" w:w="49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vr-{TID} static routes assumed by passive. No route reconvergence required.</w:t>
            </w:r>
          </w:p>
        </w:tc>
      </w:tr>
    </w:tbl>
    <w:p>
      <w:pPr>
        <w:spacing w:after="60"/>
      </w:pPr>
      <w:r>
        <w:rPr>
          <w:rFonts w:ascii="Arial" w:cs="Arial" w:eastAsia="Arial" w:hAnsi="Arial"/>
          <w:color w:val="0F1923"/>
          <w:sz w:val="22"/>
          <w:szCs w:val="22"/>
        </w:rPr>
        <w:t xml:space="preserve"/>
      </w:r>
    </w:p>
    <w:p>
      <w:pPr>
        <w:pBdr>
          <w:left w:val="single" w:color="2E6DA4" w:sz="12" w:space="4"/>
        </w:pBdr>
        <w:spacing w:before="80" w:after="120"/>
        <w:ind w:left="720"/>
      </w:pPr>
      <w:r>
        <w:rPr>
          <w:rFonts w:ascii="Arial" w:cs="Arial" w:eastAsia="Arial" w:hAnsi="Arial"/>
          <w:b/>
          <w:bCs/>
          <w:color w:val="1A3A5C"/>
          <w:sz w:val="22"/>
          <w:szCs w:val="22"/>
        </w:rPr>
        <w:t xml:space="preserve">Note: </w:t>
      </w:r>
      <w:r>
        <w:rPr>
          <w:rFonts w:ascii="Arial" w:cs="Arial" w:eastAsia="Arial" w:hAnsi="Arial"/>
          <w:color w:val="4A6A8A"/>
          <w:sz w:val="22"/>
          <w:szCs w:val="22"/>
        </w:rPr>
        <w:t xml:space="preserve">The loopback-anchored IKE identity model is specifically designed for HA transparency. Because loopback.{TID} carries no physical interface dependency, it assumes the floating IP on the passive node automatically. The IKE peer at the remote site perceives no endpoint change and no re-negotiation is required.</w:t>
      </w:r>
    </w:p>
    <w:p>
      <w:pPr>
        <w:spacing w:after="0"/>
      </w:pPr>
      <w:r>
        <w:br w:type="page"/>
      </w:r>
    </w:p>
    <w:p>
      <w:pPr>
        <w:pStyle w:val="Heading1"/>
        <w:shd w:fill="1A3A5C" w:val="clear"/>
        <w:spacing w:before="240" w:after="200"/>
      </w:pPr>
      <w:r>
        <w:rPr>
          <w:rFonts w:ascii="Arial" w:cs="Arial" w:eastAsia="Arial" w:hAnsi="Arial"/>
          <w:b/>
          <w:bCs/>
          <w:color w:val="FFFFFF"/>
          <w:sz w:val="36"/>
          <w:szCs w:val="36"/>
        </w:rPr>
        <w:t xml:space="preserve">9.  Automation Pipeline</w:t>
      </w:r>
    </w:p>
    <w:p>
      <w:pPr>
        <w:pStyle w:val="Heading2"/>
        <w:pBdr>
          <w:bottom w:val="single" w:color="2E6DA4" w:sz="6" w:space="1"/>
        </w:pBdr>
        <w:spacing w:before="320" w:after="120"/>
      </w:pPr>
      <w:r>
        <w:rPr>
          <w:rFonts w:ascii="Arial" w:cs="Arial" w:eastAsia="Arial" w:hAnsi="Arial"/>
          <w:b/>
          <w:bCs/>
          <w:color w:val="1A3A5C"/>
          <w:sz w:val="28"/>
          <w:szCs w:val="28"/>
        </w:rPr>
        <w:t xml:space="preserve">9.1  Pipeline Architecture</w:t>
      </w:r>
    </w:p>
    <w:p>
      <w:pPr>
        <w:spacing w:after="120"/>
      </w:pPr>
      <w:r>
        <w:rPr>
          <w:rFonts w:ascii="Arial" w:cs="Arial" w:eastAsia="Arial" w:hAnsi="Arial"/>
          <w:color w:val="0F1923"/>
          <w:sz w:val="22"/>
          <w:szCs w:val="22"/>
        </w:rPr>
        <w:t xml:space="preserve">The automation pipeline is a stateless service that reads from the TenantProfile store, renders configuration from versioned templates, validates the rendered bundle, and submits it to Panorama via the API. The pipeline holds no durable state — the TenantProfile store is the authoritative record of all tenant configuration.</w:t>
      </w:r>
    </w:p>
    <w:p>
      <w:pPr>
        <w:pStyle w:val="Heading2"/>
        <w:pBdr>
          <w:bottom w:val="single" w:color="2E6DA4" w:sz="6" w:space="1"/>
        </w:pBdr>
        <w:spacing w:before="320" w:after="120"/>
      </w:pPr>
      <w:r>
        <w:rPr>
          <w:rFonts w:ascii="Arial" w:cs="Arial" w:eastAsia="Arial" w:hAnsi="Arial"/>
          <w:b/>
          <w:bCs/>
          <w:color w:val="1A3A5C"/>
          <w:sz w:val="28"/>
          <w:szCs w:val="28"/>
        </w:rPr>
        <w:t xml:space="preserve">9.2  Tenant Lifecycle — Onboarding</w:t>
      </w:r>
    </w:p>
    <w:p>
      <w:pPr>
        <w:pStyle w:val="ListParagraph"/>
        <w:numPr>
          <w:ilvl w:val="0"/>
          <w:numId w:val="3"/>
        </w:numPr>
        <w:spacing w:after="80"/>
      </w:pPr>
      <w:r>
        <w:rPr>
          <w:rFonts w:ascii="Arial" w:cs="Arial" w:eastAsia="Arial" w:hAnsi="Arial"/>
          <w:color w:val="0F1923"/>
          <w:sz w:val="22"/>
          <w:szCs w:val="22"/>
        </w:rPr>
        <w:t xml:space="preserve">Receive tenant profile from provisioning system.</w:t>
      </w:r>
    </w:p>
    <w:p>
      <w:pPr>
        <w:pStyle w:val="ListParagraph"/>
        <w:numPr>
          <w:ilvl w:val="0"/>
          <w:numId w:val="3"/>
        </w:numPr>
        <w:spacing w:after="80"/>
      </w:pPr>
      <w:r>
        <w:rPr>
          <w:rFonts w:ascii="Arial" w:cs="Arial" w:eastAsia="Arial" w:hAnsi="Arial"/>
          <w:color w:val="0F1923"/>
          <w:sz w:val="22"/>
          <w:szCs w:val="22"/>
        </w:rPr>
        <w:t xml:space="preserve">Call IPAM — allocate loopback, VTI, SNAT inbound, SNAT outbound, DMZ segment and VLAN addresses. Write allocations back to tenant profile.</w:t>
      </w:r>
    </w:p>
    <w:p>
      <w:pPr>
        <w:pStyle w:val="ListParagraph"/>
        <w:numPr>
          <w:ilvl w:val="0"/>
          <w:numId w:val="3"/>
        </w:numPr>
        <w:spacing w:after="80"/>
      </w:pPr>
      <w:r>
        <w:rPr>
          <w:rFonts w:ascii="Arial" w:cs="Arial" w:eastAsia="Arial" w:hAnsi="Arial"/>
          <w:color w:val="0F1923"/>
          <w:sz w:val="22"/>
          <w:szCs w:val="22"/>
        </w:rPr>
        <w:t xml:space="preserve">Call Secrets Manager — generate PSK. Store at psk/{tenant_id}. Write Vault path reference to tenant profile.</w:t>
      </w:r>
    </w:p>
    <w:p>
      <w:pPr>
        <w:pStyle w:val="ListParagraph"/>
        <w:numPr>
          <w:ilvl w:val="0"/>
          <w:numId w:val="3"/>
        </w:numPr>
        <w:spacing w:after="80"/>
      </w:pPr>
      <w:r>
        <w:rPr>
          <w:rFonts w:ascii="Arial" w:cs="Arial" w:eastAsia="Arial" w:hAnsi="Arial"/>
          <w:color w:val="0F1923"/>
          <w:sz w:val="22"/>
          <w:szCs w:val="22"/>
        </w:rPr>
        <w:t xml:space="preserve">Render configuration bundle from template set. Templates consume the completed tenant profile as input.</w:t>
      </w:r>
    </w:p>
    <w:p>
      <w:pPr>
        <w:pStyle w:val="ListParagraph"/>
        <w:numPr>
          <w:ilvl w:val="0"/>
          <w:numId w:val="3"/>
        </w:numPr>
        <w:spacing w:after="80"/>
      </w:pPr>
      <w:r>
        <w:rPr>
          <w:rFonts w:ascii="Arial" w:cs="Arial" w:eastAsia="Arial" w:hAnsi="Arial"/>
          <w:color w:val="0F1923"/>
          <w:sz w:val="22"/>
          <w:szCs w:val="22"/>
        </w:rPr>
        <w:t xml:space="preserve">Submit rendered bundle to Validation Service. Halt on any validation failure — do not proceed to Panorama.</w:t>
      </w:r>
    </w:p>
    <w:p>
      <w:pPr>
        <w:pStyle w:val="ListParagraph"/>
        <w:numPr>
          <w:ilvl w:val="0"/>
          <w:numId w:val="3"/>
        </w:numPr>
        <w:spacing w:after="80"/>
      </w:pPr>
      <w:r>
        <w:rPr>
          <w:rFonts w:ascii="Arial" w:cs="Arial" w:eastAsia="Arial" w:hAnsi="Arial"/>
          <w:color w:val="0F1923"/>
          <w:sz w:val="22"/>
          <w:szCs w:val="22"/>
        </w:rPr>
        <w:t xml:space="preserve">Submit validated bundle to Panorama API. Scoped commit to tenant device group only.</w:t>
      </w:r>
    </w:p>
    <w:p>
      <w:pPr>
        <w:pStyle w:val="ListParagraph"/>
        <w:numPr>
          <w:ilvl w:val="0"/>
          <w:numId w:val="3"/>
        </w:numPr>
        <w:spacing w:after="80"/>
      </w:pPr>
      <w:r>
        <w:rPr>
          <w:rFonts w:ascii="Arial" w:cs="Arial" w:eastAsia="Arial" w:hAnsi="Arial"/>
          <w:color w:val="0F1923"/>
          <w:sz w:val="22"/>
          <w:szCs w:val="22"/>
        </w:rPr>
        <w:t xml:space="preserve">Verify commit success. On failure, initiate rollback procedure.</w:t>
      </w:r>
    </w:p>
    <w:p>
      <w:pPr>
        <w:pStyle w:val="ListParagraph"/>
        <w:numPr>
          <w:ilvl w:val="0"/>
          <w:numId w:val="3"/>
        </w:numPr>
        <w:spacing w:after="80"/>
      </w:pPr>
      <w:r>
        <w:rPr>
          <w:rFonts w:ascii="Arial" w:cs="Arial" w:eastAsia="Arial" w:hAnsi="Arial"/>
          <w:color w:val="0F1923"/>
          <w:sz w:val="22"/>
          <w:szCs w:val="22"/>
        </w:rPr>
        <w:t xml:space="preserve">Run acceptance test suite: IKE established, tunnel UP, direct IP reachable, DMZ gateway ARP, SNAT active, DNS proxy responds, QoS binding confirmed, log forwarding live.</w:t>
      </w:r>
    </w:p>
    <w:p>
      <w:pPr>
        <w:pStyle w:val="ListParagraph"/>
        <w:numPr>
          <w:ilvl w:val="0"/>
          <w:numId w:val="3"/>
        </w:numPr>
        <w:spacing w:after="80"/>
      </w:pPr>
      <w:r>
        <w:rPr>
          <w:rFonts w:ascii="Arial" w:cs="Arial" w:eastAsia="Arial" w:hAnsi="Arial"/>
          <w:color w:val="0F1923"/>
          <w:sz w:val="22"/>
          <w:szCs w:val="22"/>
        </w:rPr>
        <w:t xml:space="preserve">Set tenant state to ACTIVE only after all acceptance tests pass.</w:t>
      </w:r>
    </w:p>
    <w:p>
      <w:pPr>
        <w:spacing w:after="60"/>
      </w:pPr>
      <w:r>
        <w:rPr>
          <w:rFonts w:ascii="Arial" w:cs="Arial" w:eastAsia="Arial" w:hAnsi="Arial"/>
          <w:color w:val="0F1923"/>
          <w:sz w:val="22"/>
          <w:szCs w:val="22"/>
        </w:rPr>
        <w:t xml:space="preserve"/>
      </w:r>
    </w:p>
    <w:p>
      <w:pPr>
        <w:pStyle w:val="Heading2"/>
        <w:pBdr>
          <w:bottom w:val="single" w:color="2E6DA4" w:sz="6" w:space="1"/>
        </w:pBdr>
        <w:spacing w:before="320" w:after="120"/>
      </w:pPr>
      <w:r>
        <w:rPr>
          <w:rFonts w:ascii="Arial" w:cs="Arial" w:eastAsia="Arial" w:hAnsi="Arial"/>
          <w:b/>
          <w:bCs/>
          <w:color w:val="1A3A5C"/>
          <w:sz w:val="28"/>
          <w:szCs w:val="28"/>
        </w:rPr>
        <w:t xml:space="preserve">9.3  Tenant Lifecycle — Offboarding</w:t>
      </w:r>
    </w:p>
    <w:p>
      <w:pPr>
        <w:pStyle w:val="ListParagraph"/>
        <w:numPr>
          <w:ilvl w:val="0"/>
          <w:numId w:val="3"/>
        </w:numPr>
        <w:spacing w:after="80"/>
      </w:pPr>
      <w:r>
        <w:rPr>
          <w:rFonts w:ascii="Arial" w:cs="Arial" w:eastAsia="Arial" w:hAnsi="Arial"/>
          <w:color w:val="0F1923"/>
          <w:sz w:val="22"/>
          <w:szCs w:val="22"/>
        </w:rPr>
        <w:t xml:space="preserve">Set tenant state to DEPROVISIONING.</w:t>
      </w:r>
    </w:p>
    <w:p>
      <w:pPr>
        <w:pStyle w:val="ListParagraph"/>
        <w:numPr>
          <w:ilvl w:val="0"/>
          <w:numId w:val="3"/>
        </w:numPr>
        <w:spacing w:after="80"/>
      </w:pPr>
      <w:r>
        <w:rPr>
          <w:rFonts w:ascii="Arial" w:cs="Arial" w:eastAsia="Arial" w:hAnsi="Arial"/>
          <w:color w:val="0F1923"/>
          <w:sz w:val="22"/>
          <w:szCs w:val="22"/>
        </w:rPr>
        <w:t xml:space="preserve">Render deletion bundle from offboarding templates.</w:t>
      </w:r>
    </w:p>
    <w:p>
      <w:pPr>
        <w:pStyle w:val="ListParagraph"/>
        <w:numPr>
          <w:ilvl w:val="0"/>
          <w:numId w:val="3"/>
        </w:numPr>
        <w:spacing w:after="80"/>
      </w:pPr>
      <w:r>
        <w:rPr>
          <w:rFonts w:ascii="Arial" w:cs="Arial" w:eastAsia="Arial" w:hAnsi="Arial"/>
          <w:color w:val="0F1923"/>
          <w:sz w:val="22"/>
          <w:szCs w:val="22"/>
        </w:rPr>
        <w:t xml:space="preserve">Validate deletion bundle — check for shared object conflicts.</w:t>
      </w:r>
    </w:p>
    <w:p>
      <w:pPr>
        <w:pStyle w:val="ListParagraph"/>
        <w:numPr>
          <w:ilvl w:val="0"/>
          <w:numId w:val="3"/>
        </w:numPr>
        <w:spacing w:after="80"/>
      </w:pPr>
      <w:r>
        <w:rPr>
          <w:rFonts w:ascii="Arial" w:cs="Arial" w:eastAsia="Arial" w:hAnsi="Arial"/>
          <w:color w:val="0F1923"/>
          <w:sz w:val="22"/>
          <w:szCs w:val="22"/>
        </w:rPr>
        <w:t xml:space="preserve">Submit deletion bundle to Panorama API. Scoped commit.</w:t>
      </w:r>
    </w:p>
    <w:p>
      <w:pPr>
        <w:pStyle w:val="ListParagraph"/>
        <w:numPr>
          <w:ilvl w:val="0"/>
          <w:numId w:val="3"/>
        </w:numPr>
        <w:spacing w:after="80"/>
      </w:pPr>
      <w:r>
        <w:rPr>
          <w:rFonts w:ascii="Arial" w:cs="Arial" w:eastAsia="Arial" w:hAnsi="Arial"/>
          <w:color w:val="0F1923"/>
          <w:sz w:val="22"/>
          <w:szCs w:val="22"/>
        </w:rPr>
        <w:t xml:space="preserve">Return all IPAM addresses to pools.</w:t>
      </w:r>
    </w:p>
    <w:p>
      <w:pPr>
        <w:pStyle w:val="ListParagraph"/>
        <w:numPr>
          <w:ilvl w:val="0"/>
          <w:numId w:val="3"/>
        </w:numPr>
        <w:spacing w:after="80"/>
      </w:pPr>
      <w:r>
        <w:rPr>
          <w:rFonts w:ascii="Arial" w:cs="Arial" w:eastAsia="Arial" w:hAnsi="Arial"/>
          <w:color w:val="0F1923"/>
          <w:sz w:val="22"/>
          <w:szCs w:val="22"/>
        </w:rPr>
        <w:t xml:space="preserve">Revoke PSK in Secrets Manager.</w:t>
      </w:r>
    </w:p>
    <w:p>
      <w:pPr>
        <w:pStyle w:val="ListParagraph"/>
        <w:numPr>
          <w:ilvl w:val="0"/>
          <w:numId w:val="3"/>
        </w:numPr>
        <w:spacing w:after="80"/>
      </w:pPr>
      <w:r>
        <w:rPr>
          <w:rFonts w:ascii="Arial" w:cs="Arial" w:eastAsia="Arial" w:hAnsi="Arial"/>
          <w:color w:val="0F1923"/>
          <w:sz w:val="22"/>
          <w:szCs w:val="22"/>
        </w:rPr>
        <w:t xml:space="preserve">Delete tenant profile from TenantProfile store.</w:t>
      </w:r>
    </w:p>
    <w:p>
      <w:pPr>
        <w:pStyle w:val="ListParagraph"/>
        <w:numPr>
          <w:ilvl w:val="0"/>
          <w:numId w:val="3"/>
        </w:numPr>
        <w:spacing w:after="80"/>
      </w:pPr>
      <w:r>
        <w:rPr>
          <w:rFonts w:ascii="Arial" w:cs="Arial" w:eastAsia="Arial" w:hAnsi="Arial"/>
          <w:color w:val="0F1923"/>
          <w:sz w:val="22"/>
          <w:szCs w:val="22"/>
        </w:rPr>
        <w:t xml:space="preserve">Verify no residual objects remain in Panorama for this tenant.</w:t>
      </w:r>
    </w:p>
    <w:p>
      <w:pPr>
        <w:spacing w:after="60"/>
      </w:pPr>
      <w:r>
        <w:rPr>
          <w:rFonts w:ascii="Arial" w:cs="Arial" w:eastAsia="Arial" w:hAnsi="Arial"/>
          <w:color w:val="0F1923"/>
          <w:sz w:val="22"/>
          <w:szCs w:val="22"/>
        </w:rPr>
        <w:t xml:space="preserve"/>
      </w:r>
    </w:p>
    <w:p>
      <w:pPr>
        <w:pStyle w:val="Heading2"/>
        <w:pBdr>
          <w:bottom w:val="single" w:color="2E6DA4" w:sz="6" w:space="1"/>
        </w:pBdr>
        <w:spacing w:before="320" w:after="120"/>
      </w:pPr>
      <w:r>
        <w:rPr>
          <w:rFonts w:ascii="Arial" w:cs="Arial" w:eastAsia="Arial" w:hAnsi="Arial"/>
          <w:b/>
          <w:bCs/>
          <w:color w:val="1A3A5C"/>
          <w:sz w:val="28"/>
          <w:szCs w:val="28"/>
        </w:rPr>
        <w:t xml:space="preserve">9.4  Template Set</w:t>
      </w:r>
    </w:p>
    <w:p>
      <w:pPr>
        <w:spacing w:after="120"/>
      </w:pPr>
      <w:r>
        <w:rPr>
          <w:rFonts w:ascii="Arial" w:cs="Arial" w:eastAsia="Arial" w:hAnsi="Arial"/>
          <w:color w:val="0F1923"/>
          <w:sz w:val="22"/>
          <w:szCs w:val="22"/>
        </w:rPr>
        <w:t xml:space="preserve">The template set is versioned and maintained in source control. Templates are parameterised against the tenant profile — no values are hardcoded. Each template is responsible for exactly one object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Template</w:t>
            </w:r>
          </w:p>
        </w:tc>
        <w:tc>
          <w:tcPr>
            <w:tcW w:type="dxa" w:w="616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Objects Rendered</w:t>
            </w:r>
          </w:p>
        </w:tc>
      </w:tr>
      <w:tr>
        <w:tc>
          <w:tcPr>
            <w:tcW w:type="dxa" w:w="32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tenant_zones</w:t>
            </w:r>
          </w:p>
        </w:tc>
        <w:tc>
          <w:tcPr>
            <w:tcW w:type="dxa" w:w="61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tz-{TID}-ipsec, dmz-{TID}</w:t>
            </w:r>
          </w:p>
        </w:tc>
      </w:tr>
      <w:tr>
        <w:tc>
          <w:tcPr>
            <w:tcW w:type="dxa" w:w="3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ipsec_transport</w:t>
            </w:r>
          </w:p>
        </w:tc>
        <w:tc>
          <w:tcPr>
            <w:tcW w:type="dxa" w:w="61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loopback.{TID}, tunnel.{TID}, ike-{TID}, ipsec-{TID}</w:t>
            </w:r>
          </w:p>
        </w:tc>
      </w:tr>
      <w:tr>
        <w:tc>
          <w:tcPr>
            <w:tcW w:type="dxa" w:w="32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virtual_router</w:t>
            </w:r>
          </w:p>
        </w:tc>
        <w:tc>
          <w:tcPr>
            <w:tcW w:type="dxa" w:w="61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vr-{TID}, static routes (tenant network, DMZ segment, default to vr-intranet)</w:t>
            </w:r>
          </w:p>
        </w:tc>
      </w:tr>
      <w:tr>
        <w:tc>
          <w:tcPr>
            <w:tcW w:type="dxa" w:w="3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nat_rules</w:t>
            </w:r>
          </w:p>
        </w:tc>
        <w:tc>
          <w:tcPr>
            <w:tcW w:type="dxa" w:w="61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nat-{TID}-inbound, nat-{TID}-outbound, nat-{TID}-dmz-inbound, nat-{TID}-dmz-outbound, plus per-service PNAT rules</w:t>
            </w:r>
          </w:p>
        </w:tc>
      </w:tr>
      <w:tr>
        <w:tc>
          <w:tcPr>
            <w:tcW w:type="dxa" w:w="32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security_policy</w:t>
            </w:r>
          </w:p>
        </w:tc>
        <w:tc>
          <w:tcPr>
            <w:tcW w:type="dxa" w:w="61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pol-{TID}-inbound, pol-{TID}-outbound, pol-{TID}-dmz-in, pol-{TID}-dmz-out, per-service address objects</w:t>
            </w:r>
          </w:p>
        </w:tc>
      </w:tr>
      <w:tr>
        <w:tc>
          <w:tcPr>
            <w:tcW w:type="dxa" w:w="3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dns_proxy</w:t>
            </w:r>
          </w:p>
        </w:tc>
        <w:tc>
          <w:tcPr>
            <w:tcW w:type="dxa" w:w="61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dns-{TID}, forwarding rules, A-record rewrite rules per service entry</w:t>
            </w:r>
          </w:p>
        </w:tc>
      </w:tr>
      <w:tr>
        <w:tc>
          <w:tcPr>
            <w:tcW w:type="dxa" w:w="32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dmz_interface</w:t>
            </w:r>
          </w:p>
        </w:tc>
        <w:tc>
          <w:tcPr>
            <w:tcW w:type="dxa" w:w="61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dmz-{TID}.{vlan} 802.1Q sub-interface with gateway IP</w:t>
            </w:r>
          </w:p>
        </w:tc>
      </w:tr>
      <w:tr>
        <w:tc>
          <w:tcPr>
            <w:tcW w:type="dxa" w:w="3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logging_qos</w:t>
            </w:r>
          </w:p>
        </w:tc>
        <w:tc>
          <w:tcPr>
            <w:tcW w:type="dxa" w:w="61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log-{TID} forwarding profile, qos-{TID} policy binding, tag-{TID} Panorama tag</w:t>
            </w:r>
          </w:p>
        </w:tc>
      </w:tr>
    </w:tbl>
    <w:p>
      <w:pPr>
        <w:spacing w:after="60"/>
      </w:pPr>
      <w:r>
        <w:rPr>
          <w:rFonts w:ascii="Arial" w:cs="Arial" w:eastAsia="Arial" w:hAnsi="Arial"/>
          <w:color w:val="0F1923"/>
          <w:sz w:val="22"/>
          <w:szCs w:val="22"/>
        </w:rPr>
        <w:t xml:space="preserve"/>
      </w:r>
    </w:p>
    <w:p>
      <w:pPr>
        <w:spacing w:after="0"/>
      </w:pPr>
      <w:r>
        <w:br w:type="page"/>
      </w:r>
    </w:p>
    <w:p>
      <w:pPr>
        <w:pStyle w:val="Heading1"/>
        <w:shd w:fill="1A3A5C" w:val="clear"/>
        <w:spacing w:before="240" w:after="200"/>
      </w:pPr>
      <w:r>
        <w:rPr>
          <w:rFonts w:ascii="Arial" w:cs="Arial" w:eastAsia="Arial" w:hAnsi="Arial"/>
          <w:b/>
          <w:bCs/>
          <w:color w:val="FFFFFF"/>
          <w:sz w:val="36"/>
          <w:szCs w:val="36"/>
        </w:rPr>
        <w:t xml:space="preserve">10.  Open Items and Prerequisites</w:t>
      </w:r>
    </w:p>
    <w:p>
      <w:pPr>
        <w:pStyle w:val="Heading2"/>
        <w:pBdr>
          <w:bottom w:val="single" w:color="2E6DA4" w:sz="6" w:space="1"/>
        </w:pBdr>
        <w:spacing w:before="320" w:after="120"/>
      </w:pPr>
      <w:r>
        <w:rPr>
          <w:rFonts w:ascii="Arial" w:cs="Arial" w:eastAsia="Arial" w:hAnsi="Arial"/>
          <w:b/>
          <w:bCs/>
          <w:color w:val="1A3A5C"/>
          <w:sz w:val="28"/>
          <w:szCs w:val="28"/>
        </w:rPr>
        <w:t xml:space="preserve">10.1  Blocking Dependencies</w:t>
      </w:r>
    </w:p>
    <w:p>
      <w:pPr>
        <w:spacing w:after="120"/>
      </w:pPr>
      <w:r>
        <w:rPr>
          <w:rFonts w:ascii="Arial" w:cs="Arial" w:eastAsia="Arial" w:hAnsi="Arial"/>
          <w:color w:val="0F1923"/>
          <w:sz w:val="22"/>
          <w:szCs w:val="22"/>
        </w:rPr>
        <w:t xml:space="preserve">The following items must be resolved before architecture finalisation.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4000"/>
        <w:gridCol w:w="2200"/>
      </w:tblGrid>
      <w:tr>
        <w:tc>
          <w:tcPr>
            <w:tcW w:type="dxa" w:w="36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8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40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c>
          <w:tcPr>
            <w:tcW w:type="dxa" w:w="22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Owner</w:t>
            </w:r>
          </w:p>
        </w:tc>
      </w:tr>
      <w:tr>
        <w:tc>
          <w:tcPr>
            <w:tcW w:type="dxa" w:w="3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1</w:t>
            </w:r>
          </w:p>
        </w:tc>
        <w:tc>
          <w:tcPr>
            <w:tcW w:type="dxa" w:w="28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PA-5400 zone limit confirmation</w:t>
            </w:r>
          </w:p>
        </w:tc>
        <w:tc>
          <w:tcPr>
            <w:tcW w:type="dxa" w:w="4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Confirm maximum security zone count on the selected SKU and whether the limit is per-VSYS or platform-wide. At 1,000 tenants the zone demand is approximately 2,003. Must be confirmed against the specific hardware before capacity target is validated.</w:t>
            </w:r>
          </w:p>
        </w:tc>
        <w:tc>
          <w:tcPr>
            <w:tcW w:type="dxa" w:w="22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PA SE / TAC</w:t>
            </w:r>
          </w:p>
        </w:tc>
      </w:tr>
      <w:tr>
        <w:tc>
          <w:tcPr>
            <w:tcW w:type="dxa" w:w="3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2</w:t>
            </w:r>
          </w:p>
        </w:tc>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DNS proxy scope — per-VSYS or platform-wide</w:t>
            </w:r>
          </w:p>
        </w:tc>
        <w:tc>
          <w:tcPr>
            <w:tcW w:type="dxa" w:w="4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Confirm whether the 256-object DNS proxy limit on the PA-5400 is scoped per VSYS or platform-wide. Determines whether the per-tenant dns-{TID} model is viable at full scale or whether a shared proxy with SNAT-source differentiation is required.</w:t>
            </w:r>
          </w:p>
        </w:tc>
        <w:tc>
          <w:tcPr>
            <w:tcW w:type="dxa" w:w="2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PA SE / TAC</w:t>
            </w:r>
          </w:p>
        </w:tc>
      </w:tr>
      <w:tr>
        <w:tc>
          <w:tcPr>
            <w:tcW w:type="dxa" w:w="3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3</w:t>
            </w:r>
          </w:p>
        </w:tc>
        <w:tc>
          <w:tcPr>
            <w:tcW w:type="dxa" w:w="28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Pipeline access control enforcement</w:t>
            </w:r>
          </w:p>
        </w:tc>
        <w:tc>
          <w:tcPr>
            <w:tcW w:type="dxa" w:w="4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Confirm that Panorama RBAC and firewall management access are locked to pipeline service accounts only. The automation model is only as strong as the enforcement of the read-only discipline on the firewall itself.</w:t>
            </w:r>
          </w:p>
        </w:tc>
        <w:tc>
          <w:tcPr>
            <w:tcW w:type="dxa" w:w="22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Platform Engineering</w:t>
            </w:r>
          </w:p>
        </w:tc>
      </w:tr>
      <w:tr>
        <w:tc>
          <w:tcPr>
            <w:tcW w:type="dxa" w:w="3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4</w:t>
            </w:r>
          </w:p>
        </w:tc>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IPAM pool sizing</w:t>
            </w:r>
          </w:p>
        </w:tc>
        <w:tc>
          <w:tcPr>
            <w:tcW w:type="dxa" w:w="4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Confirm that all IPAM pools are sized for the target tenant count with headroom for growth. Validate that pool exhaustion is detected and alerted before capacity is reached.</w:t>
            </w:r>
          </w:p>
        </w:tc>
        <w:tc>
          <w:tcPr>
            <w:tcW w:type="dxa" w:w="2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Network Engineering</w:t>
            </w:r>
          </w:p>
        </w:tc>
      </w:tr>
    </w:tbl>
    <w:p>
      <w:pPr>
        <w:spacing w:after="60"/>
      </w:pPr>
      <w:r>
        <w:rPr>
          <w:rFonts w:ascii="Arial" w:cs="Arial" w:eastAsia="Arial" w:hAnsi="Arial"/>
          <w:color w:val="0F1923"/>
          <w:sz w:val="22"/>
          <w:szCs w:val="22"/>
        </w:rPr>
        <w:t xml:space="preserve"/>
      </w:r>
    </w:p>
    <w:p>
      <w:pPr>
        <w:pStyle w:val="Heading2"/>
        <w:pBdr>
          <w:bottom w:val="single" w:color="2E6DA4" w:sz="6" w:space="1"/>
        </w:pBdr>
        <w:spacing w:before="320" w:after="120"/>
      </w:pPr>
      <w:r>
        <w:rPr>
          <w:rFonts w:ascii="Arial" w:cs="Arial" w:eastAsia="Arial" w:hAnsi="Arial"/>
          <w:b/>
          <w:bCs/>
          <w:color w:val="1A3A5C"/>
          <w:sz w:val="28"/>
          <w:szCs w:val="28"/>
        </w:rPr>
        <w:t xml:space="preserve">10.2  Design Assumptions</w:t>
      </w:r>
    </w:p>
    <w:p>
      <w:pPr>
        <w:pStyle w:val="ListParagraph"/>
        <w:numPr>
          <w:ilvl w:val="0"/>
          <w:numId w:val="2"/>
        </w:numPr>
        <w:spacing w:after="80"/>
      </w:pPr>
      <w:r>
        <w:rPr>
          <w:rFonts w:ascii="Arial" w:cs="Arial" w:eastAsia="Arial" w:hAnsi="Arial"/>
          <w:color w:val="0F1923"/>
          <w:sz w:val="22"/>
          <w:szCs w:val="22"/>
        </w:rPr>
        <w:t xml:space="preserve">All tenant remote networks are unique and non-overlapping. The per-tenant VR static route model depends on this. Overlapping tenant prefixes would require additional disambiguation at the routing layer.</w:t>
      </w:r>
    </w:p>
    <w:p>
      <w:pPr>
        <w:pStyle w:val="ListParagraph"/>
        <w:numPr>
          <w:ilvl w:val="0"/>
          <w:numId w:val="2"/>
        </w:numPr>
        <w:spacing w:after="80"/>
      </w:pPr>
      <w:r>
        <w:rPr>
          <w:rFonts w:ascii="Arial" w:cs="Arial" w:eastAsia="Arial" w:hAnsi="Arial"/>
          <w:color w:val="0F1923"/>
          <w:sz w:val="22"/>
          <w:szCs w:val="22"/>
        </w:rPr>
        <w:t xml:space="preserve">The PA-5400 SKU selected supports the required throughput at full tenant load. Throughput modelling against concurrent tenant session counts has not been completed in this document.</w:t>
      </w:r>
    </w:p>
    <w:p>
      <w:pPr>
        <w:pStyle w:val="ListParagraph"/>
        <w:numPr>
          <w:ilvl w:val="0"/>
          <w:numId w:val="2"/>
        </w:numPr>
        <w:spacing w:after="80"/>
      </w:pPr>
      <w:r>
        <w:rPr>
          <w:rFonts w:ascii="Arial" w:cs="Arial" w:eastAsia="Arial" w:hAnsi="Arial"/>
          <w:color w:val="0F1923"/>
          <w:sz w:val="22"/>
          <w:szCs w:val="22"/>
        </w:rPr>
        <w:t xml:space="preserve">Panorama is available and reachable from the pipeline service account at all times. Panorama unavailability blocks provisioning and offboarding operations but does not affect existing tenant connectivity.</w:t>
      </w:r>
    </w:p>
    <w:p>
      <w:pPr>
        <w:pStyle w:val="ListParagraph"/>
        <w:numPr>
          <w:ilvl w:val="0"/>
          <w:numId w:val="2"/>
        </w:numPr>
        <w:spacing w:after="80"/>
      </w:pPr>
      <w:r>
        <w:rPr>
          <w:rFonts w:ascii="Arial" w:cs="Arial" w:eastAsia="Arial" w:hAnsi="Arial"/>
          <w:color w:val="0F1923"/>
          <w:sz w:val="22"/>
          <w:szCs w:val="22"/>
        </w:rPr>
        <w:t xml:space="preserve">All tenant gateways support IKEv2. IKEv1 is not supported in this architecture.</w:t>
      </w:r>
    </w:p>
    <w:p>
      <w:pPr>
        <w:pStyle w:val="ListParagraph"/>
        <w:numPr>
          <w:ilvl w:val="0"/>
          <w:numId w:val="2"/>
        </w:numPr>
        <w:spacing w:after="80"/>
      </w:pPr>
      <w:r>
        <w:rPr>
          <w:rFonts w:ascii="Arial" w:cs="Arial" w:eastAsia="Arial" w:hAnsi="Arial"/>
          <w:color w:val="0F1923"/>
          <w:sz w:val="22"/>
          <w:szCs w:val="22"/>
        </w:rPr>
        <w:t xml:space="preserve">The Secrets Manager (HashiCorp Vault or equivalent) is deployed, available, and integrated with the pipeline before onboarding operations begin.</w:t>
      </w:r>
    </w:p>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pStyle w:val="Heading1"/>
        <w:shd w:fill="1A3A5C" w:val="clear"/>
        <w:spacing w:before="240" w:after="200"/>
      </w:pPr>
      <w:r>
        <w:rPr>
          <w:rFonts w:ascii="Arial" w:cs="Arial" w:eastAsia="Arial" w:hAnsi="Arial"/>
          <w:b/>
          <w:bCs/>
          <w:color w:val="FFFFFF"/>
          <w:sz w:val="36"/>
          <w:szCs w:val="36"/>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Term</w:t>
            </w:r>
          </w:p>
        </w:tc>
        <w:tc>
          <w:tcPr>
            <w:tcW w:type="dxa" w:w="696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w:t>
            </w:r>
          </w:p>
        </w:tc>
      </w:tr>
      <w:tr>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{TID}</w:t>
            </w:r>
          </w:p>
        </w:tc>
        <w:tc>
          <w:tcPr>
            <w:tcW w:type="dxa" w:w="69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Tenant identifier — a unique numeric or alphanumeric value assigned at onboarding. Used as a suffix in all per-tenant object names.</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loopback.{TID}</w:t>
            </w:r>
          </w:p>
        </w:tc>
        <w:tc>
          <w:tcPr>
            <w:tcW w:type="dxa" w:w="6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Per-tenant loopback interface in shared-ike zone. Serves as the IKE local identity. Address is the permanent IKE anchor for this tenant.</w:t>
            </w:r>
          </w:p>
        </w:tc>
      </w:tr>
      <w:tr>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tunnel.{TID}</w:t>
            </w:r>
          </w:p>
        </w:tc>
        <w:tc>
          <w:tcPr>
            <w:tcW w:type="dxa" w:w="69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Per-tenant virtual tunnel interface (VTI) in tz-{TID}-ipsec zone. The IPsec SA is bound to this interface. All data plane encryption and decryption occurs here.</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vr-{TID}</w:t>
            </w:r>
          </w:p>
        </w:tc>
        <w:tc>
          <w:tcPr>
            <w:tcW w:type="dxa" w:w="6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Per-tenant virtual router. Contains only routes explicitly provisioned for this tenant. Provides routing context isolation equivalent to a separate routing table.</w:t>
            </w:r>
          </w:p>
        </w:tc>
      </w:tr>
      <w:tr>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snat_inbound_ip</w:t>
            </w:r>
          </w:p>
        </w:tc>
        <w:tc>
          <w:tcPr>
            <w:tcW w:type="dxa" w:w="69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The /32 address assigned to represent the remote tenant in the intranet zone. Internal hosts see this address as the source of all inbound tenant traffic.</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snat_outbound_ip</w:t>
            </w:r>
          </w:p>
        </w:tc>
        <w:tc>
          <w:tcPr>
            <w:tcW w:type="dxa" w:w="6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The /32 address assigned to represent the intranet in the tenant zone. Remote hosts see this address as the source of all outbound intranet traffic.</w:t>
            </w:r>
          </w:p>
        </w:tc>
      </w:tr>
      <w:tr>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Courier New" w:cs="Courier New" w:eastAsia="Courier New" w:hAnsi="Courier New"/>
                <w:color w:val="1A3A5C"/>
                <w:sz w:val="20"/>
                <w:szCs w:val="20"/>
              </w:rPr>
              <w:t xml:space="preserve">dmz_gateway</w:t>
            </w:r>
          </w:p>
        </w:tc>
        <w:tc>
          <w:tcPr>
            <w:tcW w:type="dxa" w:w="69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The IP address of the firewall on the tenant DMZ segment. Serves as the default gateway for DMZ devices routing traffic toward the intranet.</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PNAT</w:t>
            </w:r>
          </w:p>
        </w:tc>
        <w:tc>
          <w:tcPr>
            <w:tcW w:type="dxa" w:w="6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Port Network Address Translation. Combines source NAT, destination NAT, and port translation to allow multiple internal hosts to be reached behind a single SNAT inbound IP, differentiated by external port number.</w:t>
            </w:r>
          </w:p>
        </w:tc>
      </w:tr>
      <w:tr>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Shared-sidecar</w:t>
            </w:r>
          </w:p>
        </w:tc>
        <w:tc>
          <w:tcPr>
            <w:tcW w:type="dxa" w:w="69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A shared zone with no physical interfaces. Exists solely to provide a zone boundary for the NAT engine to fire against between the per-tenant ipsec zone and the shared-intranet zone.</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VTI</w:t>
            </w:r>
          </w:p>
        </w:tc>
        <w:tc>
          <w:tcPr>
            <w:tcW w:type="dxa" w:w="6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Virtual Tunnel Interface. A routed interface in PAN-OS that represents the local end of an IPsec tunnel. Traffic above the VTI is ordinary routed IP — encryption occurs transparently below the interface.</w:t>
            </w:r>
          </w:p>
        </w:tc>
      </w:tr>
      <w:tr>
        <w:tc>
          <w:tcPr>
            <w:tcW w:type="dxa" w:w="24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Enforcement Point</w:t>
            </w:r>
          </w:p>
        </w:tc>
        <w:tc>
          <w:tcPr>
            <w:tcW w:type="dxa" w:w="69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A zone boundary crossing at which a security policy rule is evaluated. The platform defines five enforcement points (EP1 through EP5) at the critical boundaries of the traffic flow.</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tabs>
        <w:tab w:val="right" w:pos="9026"/>
      </w:tabs>
      <w:spacing w:before="120"/>
    </w:pPr>
    <w:r>
      <w:rPr>
        <w:rFonts w:ascii="Arial" w:cs="Arial" w:eastAsia="Arial" w:hAnsi="Arial"/>
        <w:color w:val="4A6A8A"/>
        <w:sz w:val="18"/>
        <w:szCs w:val="18"/>
      </w:rPr>
      <w:t xml:space="preserve">Architecture &amp; Engineering</w:t>
    </w:r>
    <w:r>
      <w:rPr>
        <w:rFonts w:ascii="Arial" w:cs="Arial" w:eastAsia="Arial" w:hAnsi="Arial"/>
        <w:sz w:val="18"/>
        <w:szCs w:val="18"/>
      </w:rPr>
      <w:t xml:space="preserv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tabs>
        <w:tab w:val="right" w:pos="9026"/>
      </w:tabs>
      <w:spacing w:after="120"/>
    </w:pPr>
    <w:r>
      <w:rPr>
        <w:rFonts w:ascii="Arial" w:cs="Arial" w:eastAsia="Arial" w:hAnsi="Arial"/>
        <w:color w:val="1A3A5C"/>
        <w:sz w:val="18"/>
        <w:szCs w:val="18"/>
      </w:rPr>
      <w:t xml:space="preserve">PA-5400 Multi-Tenant Firewall Architecture</w:t>
    </w:r>
    <w:r>
      <w:rPr>
        <w:rFonts w:ascii="Arial" w:cs="Arial" w:eastAsia="Arial" w:hAnsi="Arial"/>
        <w:sz w:val="18"/>
        <w:szCs w:val="18"/>
      </w:rPr>
      <w:t xml:space="preserve">	</w:t>
    </w:r>
    <w:r>
      <w:rPr>
        <w:rFonts w:ascii="Arial" w:cs="Arial" w:eastAsia="Arial" w:hAnsi="Arial"/>
        <w:b/>
        <w:bCs/>
        <w:color w:val="4A6A8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9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1A3A5C" w:val="clear"/>
      <w:spacing w:before="24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3A5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2026-03-03T20:22:07.642Z</dcterms:created>
  <dcterms:modified xsi:type="dcterms:W3CDTF">2026-03-03T20:22:07.643Z</dcterms:modified>
</cp:coreProperties>
</file>

<file path=docProps/custom.xml><?xml version="1.0" encoding="utf-8"?>
<Properties xmlns="http://schemas.openxmlformats.org/officeDocument/2006/custom-properties" xmlns:vt="http://schemas.openxmlformats.org/officeDocument/2006/docPropsVTypes"/>
</file>