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jc w:val="center"/>
      </w:pPr>
      <w:r>
        <w:rPr>
          <w:rFonts w:ascii="Arial" w:cs="Arial" w:eastAsia="Arial" w:hAnsi="Arial"/>
          <w:b/>
          <w:bCs/>
          <w:color w:val="0F2744"/>
          <w:sz w:val="80"/>
          <w:szCs w:val="80"/>
        </w:rPr>
        <w:t xml:space="preserve">PA-5400</w:t>
      </w:r>
    </w:p>
    <w:p>
      <w:pPr>
        <w:spacing w:after="80"/>
        <w:jc w:val="center"/>
      </w:pPr>
      <w:r>
        <w:rPr>
          <w:rFonts w:ascii="Arial" w:cs="Arial" w:eastAsia="Arial" w:hAnsi="Arial"/>
          <w:color w:val="1A5EA8"/>
          <w:sz w:val="44"/>
          <w:szCs w:val="44"/>
        </w:rPr>
        <w:t xml:space="preserve">Multi-Tenant Firewall Platform</w:t>
      </w:r>
    </w:p>
    <w:p>
      <w:pPr>
        <w:spacing w:after="280"/>
        <w:jc w:val="center"/>
      </w:pPr>
      <w:r>
        <w:rPr>
          <w:rFonts w:ascii="Arial" w:cs="Arial" w:eastAsia="Arial" w:hAnsi="Arial"/>
          <w:color w:val="3A4A5A"/>
          <w:sz w:val="36"/>
          <w:szCs w:val="36"/>
        </w:rPr>
        <w:t xml:space="preserve">Use Case Catalogue</w:t>
      </w:r>
    </w:p>
    <w:p>
      <w:pPr>
        <w:pBdr>
          <w:bottom w:val="single" w:color="2E7DD4" w:sz="8"/>
        </w:pBdr>
        <w:spacing w:after="240"/>
      </w:pPr>
      <w:r>
        <w:rPr>
          <w:rFonts w:ascii="Arial" w:cs="Arial" w:eastAsia="Arial" w:hAnsi="Arial"/>
          <w:color w:val="0F1923"/>
          <w:sz w:val="22"/>
          <w:szCs w:val="22"/>
        </w:rPr>
        <w:t xml:space="preserve"/>
      </w:r>
    </w:p>
    <w:p>
      <w:pPr>
        <w:spacing w:after="80"/>
        <w:jc w:val="center"/>
      </w:pPr>
      <w:r>
        <w:rPr>
          <w:rFonts w:ascii="Arial" w:cs="Arial" w:eastAsia="Arial" w:hAnsi="Arial"/>
          <w:color w:val="6A7A8A"/>
          <w:sz w:val="22"/>
          <w:szCs w:val="22"/>
        </w:rPr>
        <w:t xml:space="preserve">Classification: Confidential</w:t>
      </w:r>
    </w:p>
    <w:p>
      <w:pPr>
        <w:spacing w:after="80"/>
        <w:jc w:val="center"/>
      </w:pPr>
      <w:r>
        <w:rPr>
          <w:rFonts w:ascii="Arial" w:cs="Arial" w:eastAsia="Arial" w:hAnsi="Arial"/>
          <w:color w:val="6A7A8A"/>
          <w:sz w:val="22"/>
          <w:szCs w:val="22"/>
        </w:rPr>
        <w:t xml:space="preserve">Version: 1.0</w:t>
      </w:r>
    </w:p>
    <w:p>
      <w:pPr>
        <w:spacing w:after="80"/>
        <w:jc w:val="center"/>
      </w:pPr>
      <w:r>
        <w:rPr>
          <w:rFonts w:ascii="Arial" w:cs="Arial" w:eastAsia="Arial" w:hAnsi="Arial"/>
          <w:color w:val="6A7A8A"/>
          <w:sz w:val="22"/>
          <w:szCs w:val="22"/>
        </w:rPr>
        <w:t xml:space="preserve">Platform: Palo Alto Networks PA-5400 Series</w:t>
      </w:r>
    </w:p>
    <w:p>
      <w:pPr>
        <w:spacing w:after="80"/>
        <w:jc w:val="center"/>
      </w:pPr>
      <w:r>
        <w:rPr>
          <w:rFonts w:ascii="Arial" w:cs="Arial" w:eastAsia="Arial" w:hAnsi="Arial"/>
          <w:color w:val="6A7A8A"/>
          <w:sz w:val="22"/>
          <w:szCs w:val="22"/>
        </w:rPr>
        <w:t xml:space="preserve">Audience: Architecture, Engineering, Product, Compliance</w:t>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pStyle w:val="Heading1"/>
        <w:shd w:fill="0F2744" w:val="clear"/>
        <w:spacing w:before="240" w:after="200"/>
      </w:pPr>
      <w:r>
        <w:rPr>
          <w:rFonts w:ascii="Arial" w:cs="Arial" w:eastAsia="Arial" w:hAnsi="Arial"/>
          <w:b/>
          <w:bCs/>
          <w:color w:val="FFFFFF"/>
          <w:sz w:val="36"/>
          <w:szCs w:val="36"/>
        </w:rPr>
        <w:t xml:space="preserve">1.  Introduction</w:t>
      </w:r>
    </w:p>
    <w:p>
      <w:pPr>
        <w:spacing w:after="140"/>
      </w:pPr>
      <w:r>
        <w:rPr>
          <w:rFonts w:ascii="Arial" w:cs="Arial" w:eastAsia="Arial" w:hAnsi="Arial"/>
          <w:color w:val="0F1923"/>
          <w:sz w:val="22"/>
          <w:szCs w:val="22"/>
        </w:rPr>
        <w:t xml:space="preserve">This document defines the use cases supported by the PA-5400 multi-tenant firewall platform. Each use case describes a specific connectivity or operational pattern that the platform is designed to deliver, the mechanisms that satisfy it, and the properties that the platform guarantees to the connected party.</w:t>
      </w:r>
    </w:p>
    <w:p>
      <w:pPr>
        <w:spacing w:after="140"/>
      </w:pPr>
      <w:r>
        <w:rPr>
          <w:rFonts w:ascii="Arial" w:cs="Arial" w:eastAsia="Arial" w:hAnsi="Arial"/>
          <w:color w:val="0F1923"/>
          <w:sz w:val="22"/>
          <w:szCs w:val="22"/>
        </w:rPr>
        <w:t xml:space="preserve">The platform has one primary purpose: enabling controlled, isolated, and auditable connectivity between external partner networks and internal intranet services, without exposing either party's real addressing to the other. All eight use cases in this document are expressions of that purpose at different levels of scope, protocol complexity, and access pattern.</w:t>
      </w:r>
    </w:p>
    <w:p>
      <w:pPr>
        <w:spacing w:after="140"/>
      </w:pPr>
      <w:r>
        <w:rPr>
          <w:rFonts w:ascii="Arial" w:cs="Arial" w:eastAsia="Arial" w:hAnsi="Arial"/>
          <w:color w:val="0F1923"/>
          <w:sz w:val="22"/>
          <w:szCs w:val="22"/>
        </w:rPr>
        <w:t xml:space="preserve">Use Cases 1 through 4 cover the core inbound connectivity patterns — tunnel establishment, single service access, multi-service access, and interactive session access. Use Case 5 covers DNS-based name resolution, which is a load-bearing dependency for all name-initiated connections. Use Case 6 covers the DMZ segment in its three roles: network extension, service extension, and enhanced application access. Use Cases 7 and 8 cover the compliance and scale properties that apply across all connectivity use cases.</w:t>
      </w:r>
    </w:p>
    <w:p>
      <w:pPr>
        <w:spacing w:after="60"/>
      </w:pPr>
      <w:r>
        <w:rPr>
          <w:rFonts w:ascii="Arial" w:cs="Arial" w:eastAsia="Arial" w:hAnsi="Arial"/>
          <w:color w:val="0F1923"/>
          <w:sz w:val="22"/>
          <w:szCs w:val="22"/>
        </w:rPr>
        <w:t xml:space="preserve"/>
      </w:r>
    </w:p>
    <w:p>
      <w:pPr>
        <w:pStyle w:val="Heading2"/>
        <w:pBdr>
          <w:bottom w:val="single" w:color="2E7DD4" w:sz="6" w:space="1"/>
        </w:pBdr>
        <w:spacing w:before="280" w:after="100"/>
      </w:pPr>
      <w:r>
        <w:rPr>
          <w:rFonts w:ascii="Arial" w:cs="Arial" w:eastAsia="Arial" w:hAnsi="Arial"/>
          <w:b/>
          <w:bCs/>
          <w:color w:val="0F2744"/>
          <w:sz w:val="26"/>
          <w:szCs w:val="26"/>
        </w:rPr>
        <w:t xml:space="preserve">1.1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c>
          <w:tcPr>
            <w:tcW w:type="dxa" w:w="12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76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Use Case</w:t>
            </w:r>
          </w:p>
        </w:tc>
        <w:tc>
          <w:tcPr>
            <w:tcW w:type="dxa" w:w="54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Summary</w:t>
            </w:r>
          </w:p>
        </w:tc>
      </w:tr>
      <w:tr>
        <w:tc>
          <w:tcPr>
            <w:tcW w:type="dxa" w:w="1200"/>
            <w:tcBorders>
              <w:top w:val="single" w:color="C8D4E0" w:sz="1"/>
              <w:left w:val="single" w:color="C8D4E0" w:sz="1"/>
              <w:bottom w:val="single" w:color="C8D4E0" w:sz="1"/>
              <w:right w:val="single" w:color="C8D4E0" w:sz="1"/>
            </w:tcBorders>
            <w:shd w:fill="1A5EA8"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UC1</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Secure Tunnel Establishment</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Per-tenant IKEv2/IPsec tunnel, loopback-anchored IKE identity, HA-transparent. Foundation for all data plane use cases.</w:t>
            </w:r>
          </w:p>
        </w:tc>
      </w:tr>
      <w:tr>
        <w:tc>
          <w:tcPr>
            <w:tcW w:type="dxa" w:w="1200"/>
            <w:tcBorders>
              <w:top w:val="single" w:color="C8D4E0" w:sz="1"/>
              <w:left w:val="single" w:color="C8D4E0" w:sz="1"/>
              <w:bottom w:val="single" w:color="C8D4E0" w:sz="1"/>
              <w:right w:val="single" w:color="C8D4E0" w:sz="1"/>
            </w:tcBorders>
            <w:shd w:fill="1A5EA8"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UC2</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Single Application or API Access</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One service, one internal host, dedicated SNAT inbound identity. Bidirectional addressing concealment. DNS rewriting returns SNAT identity.</w:t>
            </w:r>
          </w:p>
        </w:tc>
      </w:tr>
      <w:tr>
        <w:tc>
          <w:tcPr>
            <w:tcW w:type="dxa" w:w="1200"/>
            <w:tcBorders>
              <w:top w:val="single" w:color="C8D4E0" w:sz="1"/>
              <w:left w:val="single" w:color="C8D4E0" w:sz="1"/>
              <w:bottom w:val="single" w:color="C8D4E0" w:sz="1"/>
              <w:right w:val="single" w:color="C8D4E0" w:sz="1"/>
            </w:tcBorders>
            <w:shd w:fill="1A5EA8"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UC3</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Multi-Service Access via Single IP</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Multiple internal services behind one SNAT inbound identity, differentiated by external port. Full topology concealment.</w:t>
            </w:r>
          </w:p>
        </w:tc>
      </w:tr>
      <w:tr>
        <w:tc>
          <w:tcPr>
            <w:tcW w:type="dxa" w:w="1200"/>
            <w:tcBorders>
              <w:top w:val="single" w:color="C8D4E0" w:sz="1"/>
              <w:left w:val="single" w:color="C8D4E0" w:sz="1"/>
              <w:bottom w:val="single" w:color="C8D4E0" w:sz="1"/>
              <w:right w:val="single" w:color="C8D4E0" w:sz="1"/>
            </w:tcBorders>
            <w:shd w:fill="1A5EA8"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UC4</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Interactive Session Access — SSH/RDP</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Dedicated SNAT inbound identity per host. Port transparency preserved. SNAT identity governs access control on the internal host.</w:t>
            </w:r>
          </w:p>
        </w:tc>
      </w:tr>
      <w:tr>
        <w:tc>
          <w:tcPr>
            <w:tcW w:type="dxa" w:w="1200"/>
            <w:tcBorders>
              <w:top w:val="single" w:color="C8D4E0" w:sz="1"/>
              <w:left w:val="single" w:color="C8D4E0" w:sz="1"/>
              <w:bottom w:val="single" w:color="C8D4E0" w:sz="1"/>
              <w:right w:val="single" w:color="C8D4E0" w:sz="1"/>
            </w:tcBorders>
            <w:shd w:fill="0A5A4E"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UC5</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Name-Based Service Resolution</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Per-tenant DNS proxy rewrites A records to SNAT inbound identity. Load-bearing for all name-initiated connections.</w:t>
            </w:r>
          </w:p>
        </w:tc>
      </w:tr>
      <w:tr>
        <w:tc>
          <w:tcPr>
            <w:tcW w:type="dxa" w:w="1200"/>
            <w:tcBorders>
              <w:top w:val="single" w:color="C8D4E0" w:sz="1"/>
              <w:left w:val="single" w:color="C8D4E0" w:sz="1"/>
              <w:bottom w:val="single" w:color="C8D4E0" w:sz="1"/>
              <w:right w:val="single" w:color="C8D4E0" w:sz="1"/>
            </w:tcBorders>
            <w:shd w:fill="0A5A4E"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UC6</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Tenant DMZ Segment</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Per-tenant L3 segment as network extension point, service extension zone, and enhanced application access path.</w:t>
            </w:r>
          </w:p>
        </w:tc>
      </w:tr>
      <w:tr>
        <w:tc>
          <w:tcPr>
            <w:tcW w:type="dxa" w:w="1200"/>
            <w:tcBorders>
              <w:top w:val="single" w:color="C8D4E0" w:sz="1"/>
              <w:left w:val="single" w:color="C8D4E0" w:sz="1"/>
              <w:bottom w:val="single" w:color="C8D4E0" w:sz="1"/>
              <w:right w:val="single" w:color="C8D4E0" w:sz="1"/>
            </w:tcBorders>
            <w:shd w:fill="4A2070"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UC7</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Compliance and Forensic Attribution</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Three independent tenant attribution fields in every log event. No enrichment required. Session-duration records for interactive use cases.</w:t>
            </w:r>
          </w:p>
        </w:tc>
      </w:tr>
      <w:tr>
        <w:tc>
          <w:tcPr>
            <w:tcW w:type="dxa" w:w="1200"/>
            <w:tcBorders>
              <w:top w:val="single" w:color="C8D4E0" w:sz="1"/>
              <w:left w:val="single" w:color="C8D4E0" w:sz="1"/>
              <w:bottom w:val="single" w:color="C8D4E0" w:sz="1"/>
              <w:right w:val="single" w:color="C8D4E0" w:sz="1"/>
            </w:tcBorders>
            <w:shd w:fill="4A2070" w:val="clear"/>
            <w:tcMar>
              <w:top w:type="dxa" w:w="100"/>
              <w:left w:type="dxa" w:w="120"/>
              <w:bottom w:type="dxa" w:w="100"/>
              <w:right w:type="dxa" w:w="120"/>
            </w:tcMar>
            <w:vAlign w:val="center"/>
          </w:tcPr>
          <w:p>
            <w:pPr>
              <w:spacing w:after="0"/>
              <w:jc w:val="center"/>
            </w:pPr>
            <w:r>
              <w:rPr>
                <w:rFonts w:ascii="Arial" w:cs="Arial" w:eastAsia="Arial" w:hAnsi="Arial"/>
                <w:b/>
                <w:bCs/>
                <w:color w:val="FFFFFF"/>
                <w:sz w:val="22"/>
                <w:szCs w:val="22"/>
              </w:rPr>
              <w:t xml:space="preserve">UC8</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2744"/>
                <w:sz w:val="20"/>
                <w:szCs w:val="20"/>
              </w:rPr>
              <w:t xml:space="preserve">Scale and High Availability</w:t>
            </w:r>
          </w:p>
        </w:tc>
        <w:tc>
          <w:tcPr>
            <w:tcW w:type="dxa" w:w="5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3A4A5A"/>
                <w:sz w:val="20"/>
                <w:szCs w:val="20"/>
              </w:rPr>
              <w:t xml:space="preserve">Up to 1,000 concurrent tenants. HA failover transparent to all tunnels simultaneously. Consistent connectivity properties at scale.</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pStyle w:val="Heading1"/>
        <w:shd w:fill="0F2744" w:val="clear"/>
        <w:spacing w:before="240" w:after="200"/>
      </w:pPr>
      <w:r>
        <w:rPr>
          <w:rFonts w:ascii="Arial" w:cs="Arial" w:eastAsia="Arial" w:hAnsi="Arial"/>
          <w:b/>
          <w:bCs/>
          <w:color w:val="FFFFFF"/>
          <w:sz w:val="36"/>
          <w:szCs w:val="36"/>
        </w:rPr>
        <w:t xml:space="preserve">2.  Connectivity Use Cases</w:t>
      </w:r>
    </w:p>
    <w:p>
      <w:pPr>
        <w:shd w:fill="1A5EA8" w:val="clear"/>
        <w:spacing w:before="320" w:after="160"/>
      </w:pPr>
      <w:r>
        <w:rPr>
          <w:rFonts w:ascii="Arial" w:cs="Arial" w:eastAsia="Arial" w:hAnsi="Arial"/>
          <w:b/>
          <w:bCs/>
          <w:color w:val="FFFFFF"/>
          <w:sz w:val="32"/>
          <w:szCs w:val="32"/>
        </w:rPr>
        <w:t xml:space="preserve">UC1  </w:t>
      </w:r>
      <w:r>
        <w:rPr>
          <w:rFonts w:ascii="Arial" w:cs="Arial" w:eastAsia="Arial" w:hAnsi="Arial"/>
          <w:color w:val="FFFFFF"/>
          <w:sz w:val="28"/>
          <w:szCs w:val="28"/>
        </w:rPr>
        <w:t xml:space="preserve">Secure Tunnel Establishment</w:t>
      </w:r>
    </w:p>
    <w:p>
      <w:pPr>
        <w:spacing w:after="140"/>
      </w:pPr>
      <w:r>
        <w:rPr>
          <w:rFonts w:ascii="Arial" w:cs="Arial" w:eastAsia="Arial" w:hAnsi="Arial"/>
          <w:color w:val="0F1923"/>
          <w:sz w:val="22"/>
          <w:szCs w:val="22"/>
        </w:rPr>
        <w:t xml:space="preserve">A remote partner organisation requires an encrypted transport path to the platform before any data plane connectivity is possible. The platform provisions a dedicated IKEv2/IPsec tunnel for each tenant, secured by a pre-shared key that is unique to that tenant and not shared with any other.</w:t>
      </w:r>
    </w:p>
    <w:p>
      <w:pPr>
        <w:spacing w:after="140"/>
      </w:pPr>
      <w:r>
        <w:rPr>
          <w:rFonts w:ascii="Arial" w:cs="Arial" w:eastAsia="Arial" w:hAnsi="Arial"/>
          <w:color w:val="0F1923"/>
          <w:sz w:val="22"/>
          <w:szCs w:val="22"/>
        </w:rPr>
        <w:t xml:space="preserve">The IKE identity for each tenant is anchored to a dedicated loopback interface rather than to a physical uplink. This means the tunnel identity is independent of physical infrastructure changes, carrier changes, and high-availability events. The remote gateway always negotiates with the same address regardless of what happens to the physical path beneath it.</w:t>
      </w:r>
    </w:p>
    <w:p>
      <w:pPr>
        <w:spacing w:after="140"/>
      </w:pPr>
      <w:r>
        <w:rPr>
          <w:rFonts w:ascii="Arial" w:cs="Arial" w:eastAsia="Arial" w:hAnsi="Arial"/>
          <w:color w:val="0F1923"/>
          <w:sz w:val="22"/>
          <w:szCs w:val="22"/>
        </w:rPr>
        <w:t xml:space="preserve">On high-availability failover, the passive node assumes the loopback identity and all associated security associations. The remote gateway perceives no endpoint change. Tunnels do not require re-negotiation. All active sessions across all tenants continue without interruption.</w:t>
      </w:r>
    </w:p>
    <w:p>
      <w:pPr>
        <w:spacing w:after="140"/>
      </w:pPr>
      <w:r>
        <w:rPr>
          <w:rFonts w:ascii="Arial" w:cs="Arial" w:eastAsia="Arial" w:hAnsi="Arial"/>
          <w:color w:val="0F1923"/>
          <w:sz w:val="22"/>
          <w:szCs w:val="22"/>
        </w:rPr>
        <w:t xml:space="preserve">The tunnel provides the encrypted transport foundation for all subsequent use cases. No data plane connectivity is possible without the tunnel being established and its security associations being active.</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A8" w:sz="1"/>
              <w:left w:val="single" w:color="1A5EA8" w:sz="1"/>
              <w:bottom w:val="single" w:color="1A5EA8" w:sz="1"/>
              <w:right w:val="single" w:color="1A5EA8" w:sz="1"/>
            </w:tcBorders>
            <w:shd w:fill="EBF4FF"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Per-tenant dedicated tunnel — no shared transport with other tenants</w:t>
            </w:r>
          </w:p>
          <w:p>
            <w:pPr>
              <w:pStyle w:val="ListParagraph"/>
              <w:numPr>
                <w:ilvl w:val="0"/>
                <w:numId w:val="2"/>
              </w:numPr>
              <w:spacing w:after="60"/>
            </w:pPr>
            <w:r>
              <w:rPr>
                <w:rFonts w:ascii="Arial" w:cs="Arial" w:eastAsia="Arial" w:hAnsi="Arial"/>
                <w:color w:val="3A4A5A"/>
                <w:sz w:val="20"/>
                <w:szCs w:val="20"/>
              </w:rPr>
              <w:t xml:space="preserve">Loopback-anchored IKE identity — independent of physical interfaces, carriers, and HA events</w:t>
            </w:r>
          </w:p>
          <w:p>
            <w:pPr>
              <w:pStyle w:val="ListParagraph"/>
              <w:numPr>
                <w:ilvl w:val="0"/>
                <w:numId w:val="2"/>
              </w:numPr>
              <w:spacing w:after="60"/>
            </w:pPr>
            <w:r>
              <w:rPr>
                <w:rFonts w:ascii="Arial" w:cs="Arial" w:eastAsia="Arial" w:hAnsi="Arial"/>
                <w:color w:val="3A4A5A"/>
                <w:sz w:val="20"/>
                <w:szCs w:val="20"/>
              </w:rPr>
              <w:t xml:space="preserve">IKEv2 with strong encryption enforced — AES-256-GCM with Perfect Forward Secrecy</w:t>
            </w:r>
          </w:p>
          <w:p>
            <w:pPr>
              <w:pStyle w:val="ListParagraph"/>
              <w:numPr>
                <w:ilvl w:val="0"/>
                <w:numId w:val="2"/>
              </w:numPr>
              <w:spacing w:after="60"/>
            </w:pPr>
            <w:r>
              <w:rPr>
                <w:rFonts w:ascii="Arial" w:cs="Arial" w:eastAsia="Arial" w:hAnsi="Arial"/>
                <w:color w:val="3A4A5A"/>
                <w:sz w:val="20"/>
                <w:szCs w:val="20"/>
              </w:rPr>
              <w:t xml:space="preserve">HA failover transparent to remote gateway — no re-negotiation required at failover</w:t>
            </w:r>
          </w:p>
          <w:p>
            <w:pPr>
              <w:pStyle w:val="ListParagraph"/>
              <w:numPr>
                <w:ilvl w:val="0"/>
                <w:numId w:val="2"/>
              </w:numPr>
              <w:spacing w:after="60"/>
            </w:pPr>
            <w:r>
              <w:rPr>
                <w:rFonts w:ascii="Arial" w:cs="Arial" w:eastAsia="Arial" w:hAnsi="Arial"/>
                <w:color w:val="3A4A5A"/>
                <w:sz w:val="20"/>
                <w:szCs w:val="20"/>
              </w:rPr>
              <w:t xml:space="preserve">Pre-shared key unique per tenant — not shared with any other tenant or platform service</w:t>
            </w:r>
          </w:p>
          <w:p>
            <w:pPr>
              <w:pStyle w:val="ListParagraph"/>
              <w:numPr>
                <w:ilvl w:val="0"/>
                <w:numId w:val="2"/>
              </w:numPr>
              <w:spacing w:after="60"/>
            </w:pPr>
            <w:r>
              <w:rPr>
                <w:rFonts w:ascii="Arial" w:cs="Arial" w:eastAsia="Arial" w:hAnsi="Arial"/>
                <w:color w:val="3A4A5A"/>
                <w:sz w:val="20"/>
                <w:szCs w:val="20"/>
              </w:rPr>
              <w:t xml:space="preserve">Foundation use case — all data plane use cases operate over this established tunnel</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hd w:fill="1A5EA8" w:val="clear"/>
        <w:spacing w:before="320" w:after="160"/>
      </w:pPr>
      <w:r>
        <w:rPr>
          <w:rFonts w:ascii="Arial" w:cs="Arial" w:eastAsia="Arial" w:hAnsi="Arial"/>
          <w:b/>
          <w:bCs/>
          <w:color w:val="FFFFFF"/>
          <w:sz w:val="32"/>
          <w:szCs w:val="32"/>
        </w:rPr>
        <w:t xml:space="preserve">UC2  </w:t>
      </w:r>
      <w:r>
        <w:rPr>
          <w:rFonts w:ascii="Arial" w:cs="Arial" w:eastAsia="Arial" w:hAnsi="Arial"/>
          <w:color w:val="FFFFFF"/>
          <w:sz w:val="28"/>
          <w:szCs w:val="28"/>
        </w:rPr>
        <w:t xml:space="preserve">Single Application or API Access — Direct IP SNAT</w:t>
      </w:r>
    </w:p>
    <w:p>
      <w:pPr>
        <w:spacing w:after="140"/>
      </w:pPr>
      <w:r>
        <w:rPr>
          <w:rFonts w:ascii="Arial" w:cs="Arial" w:eastAsia="Arial" w:hAnsi="Arial"/>
          <w:color w:val="0F1923"/>
          <w:sz w:val="22"/>
          <w:szCs w:val="22"/>
        </w:rPr>
        <w:t xml:space="preserve">A remote host needs to reach one specific internal application or API endpoint — a single service on a defined internal host and port. This is the standard pattern for partner API integrations, system-to-system interfaces, and single-purpose application access. The connection is typically HTTPS, a REST API port, or a defined application protocol.</w:t>
      </w:r>
    </w:p>
    <w:p>
      <w:pPr>
        <w:spacing w:after="140"/>
      </w:pPr>
      <w:r>
        <w:rPr>
          <w:rFonts w:ascii="Arial" w:cs="Arial" w:eastAsia="Arial" w:hAnsi="Arial"/>
          <w:color w:val="0F1923"/>
          <w:sz w:val="22"/>
          <w:szCs w:val="22"/>
        </w:rPr>
        <w:t xml:space="preserve">The tenant is assigned a dedicated SNAT inbound identity — a single IP address that represents the tenant in the intranet. This identity maps one-to-one with the internal service host. The remote host connects to this identity; the platform translates the connection to the real internal host. The internal host sees only the SNAT inbound identity as the source of the connection — the real remote address is never disclosed.</w:t>
      </w:r>
    </w:p>
    <w:p>
      <w:pPr>
        <w:spacing w:after="140"/>
      </w:pPr>
      <w:r>
        <w:rPr>
          <w:rFonts w:ascii="Arial" w:cs="Arial" w:eastAsia="Arial" w:hAnsi="Arial"/>
          <w:color w:val="0F1923"/>
          <w:sz w:val="22"/>
          <w:szCs w:val="22"/>
        </w:rPr>
        <w:t xml:space="preserve">In the reverse direction, the internal host's real address is equally concealed from the remote side. The remote host sees only the SNAT inbound identity as its peer. Neither party ever learns the real addressing of the other.</w:t>
      </w:r>
    </w:p>
    <w:p>
      <w:pPr>
        <w:pStyle w:val="Heading3"/>
        <w:spacing w:before="180" w:after="80"/>
      </w:pPr>
      <w:r>
        <w:rPr>
          <w:rFonts w:ascii="Arial" w:cs="Arial" w:eastAsia="Arial" w:hAnsi="Arial"/>
          <w:b/>
          <w:bCs/>
          <w:color w:val="1A5EA8"/>
          <w:sz w:val="22"/>
          <w:szCs w:val="22"/>
        </w:rPr>
        <w:t xml:space="preserve">Connection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Point in path</w:t>
            </w:r>
          </w:p>
        </w:tc>
        <w:tc>
          <w:tcPr>
            <w:tcW w:type="dxa" w:w="22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c>
          <w:tcPr>
            <w:tcW w:type="dxa" w:w="22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Destination</w:t>
            </w:r>
          </w:p>
        </w:tc>
        <w:tc>
          <w:tcPr>
            <w:tcW w:type="dxa" w:w="216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w:t>
            </w:r>
          </w:p>
        </w:tc>
      </w:tr>
      <w:tr>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Remote host to platform</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147.225.88.60</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99.11.88.70</w:t>
            </w:r>
          </w:p>
        </w:tc>
        <w:tc>
          <w:tcPr>
            <w:tcW w:type="dxa" w:w="2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Connects to SNAT identity</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Platform to internal host</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99.11.88.70</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124.89.11.44</w:t>
            </w:r>
          </w:p>
        </w:tc>
        <w:tc>
          <w:tcPr>
            <w:tcW w:type="dxa" w:w="2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SNAT applied — real remote IP replaced</w:t>
            </w:r>
          </w:p>
        </w:tc>
      </w:tr>
      <w:tr>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Internal host view</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99.11.88.70</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124.89.11.44</w:t>
            </w:r>
          </w:p>
        </w:tc>
        <w:tc>
          <w:tcPr>
            <w:tcW w:type="dxa" w:w="21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Real remote IP never visible</w:t>
            </w:r>
          </w:p>
        </w:tc>
      </w:tr>
    </w:tbl>
    <w:p>
      <w:pPr>
        <w:spacing w:after="60"/>
      </w:pPr>
      <w:r>
        <w:rPr>
          <w:rFonts w:ascii="Arial" w:cs="Arial" w:eastAsia="Arial" w:hAnsi="Arial"/>
          <w:color w:val="0F1923"/>
          <w:sz w:val="22"/>
          <w:szCs w:val="22"/>
        </w:rPr>
        <w:t xml:space="preserve"/>
      </w:r>
    </w:p>
    <w:p>
      <w:pPr>
        <w:spacing w:after="140"/>
      </w:pPr>
      <w:r>
        <w:rPr>
          <w:rFonts w:ascii="Arial" w:cs="Arial" w:eastAsia="Arial" w:hAnsi="Arial"/>
          <w:color w:val="0F1923"/>
          <w:sz w:val="22"/>
          <w:szCs w:val="22"/>
        </w:rPr>
        <w:t xml:space="preserve">Access is restricted to the explicitly declared internal service. The remote host cannot reach any other internal host or service through this connection — the permitted scope is bounded at the time the tenant connection is established and cannot be exceeded without an explicit change.</w:t>
      </w:r>
    </w:p>
    <w:p>
      <w:pPr>
        <w:pBdr>
          <w:left w:val="single" w:color="6A7A8A" w:sz="16" w:space="4"/>
        </w:pBdr>
        <w:shd w:fill="F2F4F7" w:val="clear"/>
        <w:spacing w:before="80" w:after="120"/>
        <w:ind w:left="720"/>
      </w:pPr>
      <w:r>
        <w:rPr>
          <w:rFonts w:ascii="Arial" w:cs="Arial" w:eastAsia="Arial" w:hAnsi="Arial"/>
          <w:b/>
          <w:bCs/>
          <w:color w:val="6A7A8A"/>
          <w:sz w:val="22"/>
          <w:szCs w:val="22"/>
        </w:rPr>
        <w:t xml:space="preserve">Examples: </w:t>
      </w:r>
      <w:r>
        <w:rPr>
          <w:rFonts w:ascii="Arial" w:cs="Arial" w:eastAsia="Arial" w:hAnsi="Arial"/>
          <w:color w:val="3A4A5A"/>
          <w:sz w:val="22"/>
          <w:szCs w:val="22"/>
        </w:rPr>
        <w:t xml:space="preserve">Partner consuming an internal REST API. External system posting to an integration endpoint. Vendor accessing a specific application URL. Automated monitoring system polling an internal health endpoint.</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A8" w:sz="1"/>
              <w:left w:val="single" w:color="1A5EA8" w:sz="1"/>
              <w:bottom w:val="single" w:color="1A5EA8" w:sz="1"/>
              <w:right w:val="single" w:color="1A5EA8" w:sz="1"/>
            </w:tcBorders>
            <w:shd w:fill="EBF4FF"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Dedicated SNAT inbound identity — one IP representing the tenant in the intranet</w:t>
            </w:r>
          </w:p>
          <w:p>
            <w:pPr>
              <w:pStyle w:val="ListParagraph"/>
              <w:numPr>
                <w:ilvl w:val="0"/>
                <w:numId w:val="2"/>
              </w:numPr>
              <w:spacing w:after="60"/>
            </w:pPr>
            <w:r>
              <w:rPr>
                <w:rFonts w:ascii="Arial" w:cs="Arial" w:eastAsia="Arial" w:hAnsi="Arial"/>
                <w:color w:val="3A4A5A"/>
                <w:sz w:val="20"/>
                <w:szCs w:val="20"/>
              </w:rPr>
              <w:t xml:space="preserve">Bidirectional addressing concealment — real addresses hidden from both parties</w:t>
            </w:r>
          </w:p>
          <w:p>
            <w:pPr>
              <w:pStyle w:val="ListParagraph"/>
              <w:numPr>
                <w:ilvl w:val="0"/>
                <w:numId w:val="2"/>
              </w:numPr>
              <w:spacing w:after="60"/>
            </w:pPr>
            <w:r>
              <w:rPr>
                <w:rFonts w:ascii="Arial" w:cs="Arial" w:eastAsia="Arial" w:hAnsi="Arial"/>
                <w:color w:val="3A4A5A"/>
                <w:sz w:val="20"/>
                <w:szCs w:val="20"/>
              </w:rPr>
              <w:t xml:space="preserve">One service, one internal host — access strictly bounded to declared scope</w:t>
            </w:r>
          </w:p>
          <w:p>
            <w:pPr>
              <w:pStyle w:val="ListParagraph"/>
              <w:numPr>
                <w:ilvl w:val="0"/>
                <w:numId w:val="2"/>
              </w:numPr>
              <w:spacing w:after="60"/>
            </w:pPr>
            <w:r>
              <w:rPr>
                <w:rFonts w:ascii="Arial" w:cs="Arial" w:eastAsia="Arial" w:hAnsi="Arial"/>
                <w:color w:val="3A4A5A"/>
                <w:sz w:val="20"/>
                <w:szCs w:val="20"/>
              </w:rPr>
              <w:t xml:space="preserve">Application port preserved end-to-end — no port translation on this path</w:t>
            </w:r>
          </w:p>
          <w:p>
            <w:pPr>
              <w:pStyle w:val="ListParagraph"/>
              <w:numPr>
                <w:ilvl w:val="0"/>
                <w:numId w:val="2"/>
              </w:numPr>
              <w:spacing w:after="60"/>
            </w:pPr>
            <w:r>
              <w:rPr>
                <w:rFonts w:ascii="Arial" w:cs="Arial" w:eastAsia="Arial" w:hAnsi="Arial"/>
                <w:color w:val="3A4A5A"/>
                <w:sz w:val="20"/>
                <w:szCs w:val="20"/>
              </w:rPr>
              <w:t xml:space="preserve">Threat inspection applied on all inbound traffic before delivery to internal host</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hd w:fill="1A5EA8" w:val="clear"/>
        <w:spacing w:before="320" w:after="160"/>
      </w:pPr>
      <w:r>
        <w:rPr>
          <w:rFonts w:ascii="Arial" w:cs="Arial" w:eastAsia="Arial" w:hAnsi="Arial"/>
          <w:b/>
          <w:bCs/>
          <w:color w:val="FFFFFF"/>
          <w:sz w:val="32"/>
          <w:szCs w:val="32"/>
        </w:rPr>
        <w:t xml:space="preserve">UC3  </w:t>
      </w:r>
      <w:r>
        <w:rPr>
          <w:rFonts w:ascii="Arial" w:cs="Arial" w:eastAsia="Arial" w:hAnsi="Arial"/>
          <w:color w:val="FFFFFF"/>
          <w:sz w:val="28"/>
          <w:szCs w:val="28"/>
        </w:rPr>
        <w:t xml:space="preserve">Multi-Service Access via a Single IP — PNAT</w:t>
      </w:r>
    </w:p>
    <w:p>
      <w:pPr>
        <w:spacing w:after="140"/>
      </w:pPr>
      <w:r>
        <w:rPr>
          <w:rFonts w:ascii="Arial" w:cs="Arial" w:eastAsia="Arial" w:hAnsi="Arial"/>
          <w:color w:val="0F1923"/>
          <w:sz w:val="22"/>
          <w:szCs w:val="22"/>
        </w:rPr>
        <w:t xml:space="preserve">A partner requires access to multiple internal services — for example an application server, a database, and a management host — but the tenant is assigned a single inbound SNAT identity. Port-based NAT (PNAT) resolves this by mapping distinct external ports on the single SNAT identity to different internal hosts and ports. The remote host connects to one IP on different ports; each connection is transparently routed to the correct internal service.</w:t>
      </w:r>
    </w:p>
    <w:p>
      <w:pPr>
        <w:spacing w:after="140"/>
      </w:pPr>
      <w:r>
        <w:rPr>
          <w:rFonts w:ascii="Arial" w:cs="Arial" w:eastAsia="Arial" w:hAnsi="Arial"/>
          <w:color w:val="0F1923"/>
          <w:sz w:val="22"/>
          <w:szCs w:val="22"/>
        </w:rPr>
        <w:t xml:space="preserve">Each service has a defined external port. The remote host connects to the SNAT inbound identity on that port. The platform translates the connection to the appropriate internal host and port. The complete internal topology — the real IP addresses, the port assignments, the number and nature of internal hosts — remains opaque to the remote host throughout.</w:t>
      </w:r>
    </w:p>
    <w:p>
      <w:pPr>
        <w:pStyle w:val="Heading3"/>
        <w:spacing w:before="180" w:after="80"/>
      </w:pPr>
      <w:r>
        <w:rPr>
          <w:rFonts w:ascii="Arial" w:cs="Arial" w:eastAsia="Arial" w:hAnsi="Arial"/>
          <w:b/>
          <w:bCs/>
          <w:color w:val="1A5EA8"/>
          <w:sz w:val="22"/>
          <w:szCs w:val="22"/>
        </w:rPr>
        <w:t xml:space="preserve">Example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960"/>
        <w:gridCol w:w="1600"/>
        <w:gridCol w:w="1600"/>
      </w:tblGrid>
      <w:tr>
        <w:tc>
          <w:tcPr>
            <w:tcW w:type="dxa" w:w="20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Service</w:t>
            </w:r>
          </w:p>
        </w:tc>
        <w:tc>
          <w:tcPr>
            <w:tcW w:type="dxa" w:w="22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DNS name</w:t>
            </w:r>
          </w:p>
        </w:tc>
        <w:tc>
          <w:tcPr>
            <w:tcW w:type="dxa" w:w="196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External port</w:t>
            </w:r>
          </w:p>
        </w:tc>
        <w:tc>
          <w:tcPr>
            <w:tcW w:type="dxa" w:w="16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Internal host</w:t>
            </w:r>
          </w:p>
        </w:tc>
        <w:tc>
          <w:tcPr>
            <w:tcW w:type="dxa" w:w="16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Internal port</w:t>
            </w:r>
          </w:p>
        </w:tc>
      </w:tr>
      <w:tr>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Application server</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app.corp.local</w:t>
            </w:r>
          </w:p>
        </w:tc>
        <w:tc>
          <w:tcPr>
            <w:tcW w:type="dxa" w:w="1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8443</w:t>
            </w:r>
          </w:p>
        </w:tc>
        <w:tc>
          <w:tcPr>
            <w:tcW w:type="dxa" w:w="1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124.89.11.44</w:t>
            </w:r>
          </w:p>
        </w:tc>
        <w:tc>
          <w:tcPr>
            <w:tcW w:type="dxa" w:w="1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443</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Database</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db.corp.local</w:t>
            </w:r>
          </w:p>
        </w:tc>
        <w:tc>
          <w:tcPr>
            <w:tcW w:type="dxa" w:w="1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5432</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124.89.11.55</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5432</w:t>
            </w:r>
          </w:p>
        </w:tc>
      </w:tr>
      <w:tr>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Management host</w:t>
            </w:r>
          </w:p>
        </w:tc>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mgmt.corp.local</w:t>
            </w:r>
          </w:p>
        </w:tc>
        <w:tc>
          <w:tcPr>
            <w:tcW w:type="dxa" w:w="19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2222</w:t>
            </w:r>
          </w:p>
        </w:tc>
        <w:tc>
          <w:tcPr>
            <w:tcW w:type="dxa" w:w="1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124.89.11.66</w:t>
            </w:r>
          </w:p>
        </w:tc>
        <w:tc>
          <w:tcPr>
            <w:tcW w:type="dxa" w:w="1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22</w:t>
            </w:r>
          </w:p>
        </w:tc>
      </w:tr>
    </w:tbl>
    <w:p>
      <w:pPr>
        <w:spacing w:after="60"/>
      </w:pPr>
      <w:r>
        <w:rPr>
          <w:rFonts w:ascii="Arial" w:cs="Arial" w:eastAsia="Arial" w:hAnsi="Arial"/>
          <w:color w:val="0F1923"/>
          <w:sz w:val="22"/>
          <w:szCs w:val="22"/>
        </w:rPr>
        <w:t xml:space="preserve"/>
      </w:r>
    </w:p>
    <w:p>
      <w:pPr>
        <w:spacing w:after="140"/>
      </w:pPr>
      <w:r>
        <w:rPr>
          <w:rFonts w:ascii="Arial" w:cs="Arial" w:eastAsia="Arial" w:hAnsi="Arial"/>
          <w:color w:val="0F1923"/>
          <w:sz w:val="22"/>
          <w:szCs w:val="22"/>
        </w:rPr>
        <w:t xml:space="preserve">Each service is individually scoped — the remote host's access to one service does not grant any access to another. External port assignments are unique per tenant and cannot overlap. A conflict in the external port assignments is rejected before the tenant configuration becomes active.</w:t>
      </w:r>
    </w:p>
    <w:p>
      <w:pPr>
        <w:pBdr>
          <w:left w:val="single" w:color="6A7A8A" w:sz="16" w:space="4"/>
        </w:pBdr>
        <w:shd w:fill="F2F4F7" w:val="clear"/>
        <w:spacing w:before="80" w:after="120"/>
        <w:ind w:left="720"/>
      </w:pPr>
      <w:r>
        <w:rPr>
          <w:rFonts w:ascii="Arial" w:cs="Arial" w:eastAsia="Arial" w:hAnsi="Arial"/>
          <w:b/>
          <w:bCs/>
          <w:color w:val="6A7A8A"/>
          <w:sz w:val="22"/>
          <w:szCs w:val="22"/>
        </w:rPr>
        <w:t xml:space="preserve">Examples: </w:t>
      </w:r>
      <w:r>
        <w:rPr>
          <w:rFonts w:ascii="Arial" w:cs="Arial" w:eastAsia="Arial" w:hAnsi="Arial"/>
          <w:color w:val="3A4A5A"/>
          <w:sz w:val="22"/>
          <w:szCs w:val="22"/>
        </w:rPr>
        <w:t xml:space="preserve">Partner integration requiring application access alongside a dedicated database connection. Vendor accessing multiple platform services under one tenant identity. Integration requiring both an API endpoint and an SSH management path on a single allocated IP.</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A8" w:sz="1"/>
              <w:left w:val="single" w:color="1A5EA8" w:sz="1"/>
              <w:bottom w:val="single" w:color="1A5EA8" w:sz="1"/>
              <w:right w:val="single" w:color="1A5EA8" w:sz="1"/>
            </w:tcBorders>
            <w:shd w:fill="EBF4FF"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Multiple internal services reachable behind one SNAT inbound identity</w:t>
            </w:r>
          </w:p>
          <w:p>
            <w:pPr>
              <w:pStyle w:val="ListParagraph"/>
              <w:numPr>
                <w:ilvl w:val="0"/>
                <w:numId w:val="2"/>
              </w:numPr>
              <w:spacing w:after="60"/>
            </w:pPr>
            <w:r>
              <w:rPr>
                <w:rFonts w:ascii="Arial" w:cs="Arial" w:eastAsia="Arial" w:hAnsi="Arial"/>
                <w:color w:val="3A4A5A"/>
                <w:sz w:val="20"/>
                <w:szCs w:val="20"/>
              </w:rPr>
              <w:t xml:space="preserve">Each service differentiated by external port — real internal topology fully opaque</w:t>
            </w:r>
          </w:p>
          <w:p>
            <w:pPr>
              <w:pStyle w:val="ListParagraph"/>
              <w:numPr>
                <w:ilvl w:val="0"/>
                <w:numId w:val="2"/>
              </w:numPr>
              <w:spacing w:after="60"/>
            </w:pPr>
            <w:r>
              <w:rPr>
                <w:rFonts w:ascii="Arial" w:cs="Arial" w:eastAsia="Arial" w:hAnsi="Arial"/>
                <w:color w:val="3A4A5A"/>
                <w:sz w:val="20"/>
                <w:szCs w:val="20"/>
              </w:rPr>
              <w:t xml:space="preserve">Per-service access scope — access to one service does not imply access to any other</w:t>
            </w:r>
          </w:p>
          <w:p>
            <w:pPr>
              <w:pStyle w:val="ListParagraph"/>
              <w:numPr>
                <w:ilvl w:val="0"/>
                <w:numId w:val="2"/>
              </w:numPr>
              <w:spacing w:after="60"/>
            </w:pPr>
            <w:r>
              <w:rPr>
                <w:rFonts w:ascii="Arial" w:cs="Arial" w:eastAsia="Arial" w:hAnsi="Arial"/>
                <w:color w:val="3A4A5A"/>
                <w:sz w:val="20"/>
                <w:szCs w:val="20"/>
              </w:rPr>
              <w:t xml:space="preserve">External port uniqueness enforced per tenant — port conflicts prevented</w:t>
            </w:r>
          </w:p>
          <w:p>
            <w:pPr>
              <w:pStyle w:val="ListParagraph"/>
              <w:numPr>
                <w:ilvl w:val="0"/>
                <w:numId w:val="2"/>
              </w:numPr>
              <w:spacing w:after="60"/>
            </w:pPr>
            <w:r>
              <w:rPr>
                <w:rFonts w:ascii="Arial" w:cs="Arial" w:eastAsia="Arial" w:hAnsi="Arial"/>
                <w:color w:val="3A4A5A"/>
                <w:sz w:val="20"/>
                <w:szCs w:val="20"/>
              </w:rPr>
              <w:t xml:space="preserve">Bidirectional addressing concealment applies to every service independently</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shd w:fill="1A5EA8" w:val="clear"/>
        <w:spacing w:before="320" w:after="160"/>
      </w:pPr>
      <w:r>
        <w:rPr>
          <w:rFonts w:ascii="Arial" w:cs="Arial" w:eastAsia="Arial" w:hAnsi="Arial"/>
          <w:b/>
          <w:bCs/>
          <w:color w:val="FFFFFF"/>
          <w:sz w:val="32"/>
          <w:szCs w:val="32"/>
        </w:rPr>
        <w:t xml:space="preserve">UC4  </w:t>
      </w:r>
      <w:r>
        <w:rPr>
          <w:rFonts w:ascii="Arial" w:cs="Arial" w:eastAsia="Arial" w:hAnsi="Arial"/>
          <w:color w:val="FFFFFF"/>
          <w:sz w:val="28"/>
          <w:szCs w:val="28"/>
        </w:rPr>
        <w:t xml:space="preserve">Interactive Session Access — SSH and RDP</w:t>
      </w:r>
    </w:p>
    <w:p>
      <w:pPr>
        <w:spacing w:after="140"/>
      </w:pPr>
      <w:r>
        <w:rPr>
          <w:rFonts w:ascii="Arial" w:cs="Arial" w:eastAsia="Arial" w:hAnsi="Arial"/>
          <w:color w:val="0F1923"/>
          <w:sz w:val="22"/>
          <w:szCs w:val="22"/>
        </w:rPr>
        <w:t xml:space="preserve">A remote operator requires interactive shell or desktop access to an internal host — SSH to a Linux server, or RDP to a Windows host. This use case differs materially from Use Cases 2 and 3 in its session characteristics: the connection is long-lived, interactive, and stateful. The session may persist for hours. The operator may initiate secondary activity from the internal host after the session is established.</w:t>
      </w:r>
    </w:p>
    <w:p>
      <w:pPr>
        <w:pStyle w:val="Heading3"/>
        <w:spacing w:before="180" w:after="80"/>
      </w:pPr>
      <w:r>
        <w:rPr>
          <w:rFonts w:ascii="Arial" w:cs="Arial" w:eastAsia="Arial" w:hAnsi="Arial"/>
          <w:b/>
          <w:bCs/>
          <w:color w:val="1A5EA8"/>
          <w:sz w:val="22"/>
          <w:szCs w:val="22"/>
        </w:rPr>
        <w:t xml:space="preserve">SSH — dedicated SNAT, port transparency</w:t>
      </w:r>
    </w:p>
    <w:p>
      <w:pPr>
        <w:spacing w:after="140"/>
      </w:pPr>
      <w:r>
        <w:rPr>
          <w:rFonts w:ascii="Arial" w:cs="Arial" w:eastAsia="Arial" w:hAnsi="Arial"/>
          <w:color w:val="0F1923"/>
          <w:sz w:val="22"/>
          <w:szCs w:val="22"/>
        </w:rPr>
        <w:t xml:space="preserve">SSH interactive session access is delivered as a dedicated direct IP SNAT. The tenant is assigned a SNAT inbound identity that maps one-to-one with the internal SSH host. Port 22 is preserved end-to-end — no port translation is applied. The remote client connects to the SNAT inbound identity on port 22. The platform translates the source to the SNAT inbound identity and delivers to the internal SSH host on port 22.</w:t>
      </w:r>
    </w:p>
    <w:p>
      <w:pPr>
        <w:spacing w:after="140"/>
      </w:pPr>
      <w:r>
        <w:rPr>
          <w:rFonts w:ascii="Arial" w:cs="Arial" w:eastAsia="Arial" w:hAnsi="Arial"/>
          <w:color w:val="0F1923"/>
          <w:sz w:val="22"/>
          <w:szCs w:val="22"/>
        </w:rPr>
        <w:t xml:space="preserve">Port translation is not used for SSH because SSH is source-IP sensitive at the access control layer. The SSH daemon and surrounding access controls — authorised key restrictions, user allowlists, host-based rules — make decisions based on the connecting source address. The dedicated SNAT inbound identity provides a clean, stable, unambiguous source address for all of these controls to reference.</w:t>
      </w:r>
    </w:p>
    <w:p>
      <w:pPr>
        <w:pBdr>
          <w:left w:val="single" w:color="0D7A6A" w:sz="16" w:space="4"/>
        </w:pBdr>
        <w:shd w:fill="D4F0EA" w:val="clear"/>
        <w:spacing w:before="80" w:after="120"/>
        <w:ind w:left="720"/>
      </w:pPr>
      <w:r>
        <w:rPr>
          <w:rFonts w:ascii="Arial" w:cs="Arial" w:eastAsia="Arial" w:hAnsi="Arial"/>
          <w:b/>
          <w:bCs/>
          <w:color w:val="0D7A6A"/>
          <w:sz w:val="22"/>
          <w:szCs w:val="22"/>
        </w:rPr>
        <w:t xml:space="preserve">Design decision: </w:t>
      </w:r>
      <w:r>
        <w:rPr>
          <w:rFonts w:ascii="Arial" w:cs="Arial" w:eastAsia="Arial" w:hAnsi="Arial"/>
          <w:color w:val="3A4A5A"/>
          <w:sz w:val="22"/>
          <w:szCs w:val="22"/>
        </w:rPr>
        <w:t xml:space="preserve">SSH interactive access uses a dedicated SNAT inbound identity with port transparency. This is the correct model because it gives the internal host a consistent, stable source address to apply access control against. PNAT port mapping is not used for SSH as the standard delivery model.</w:t>
      </w:r>
    </w:p>
    <w:p>
      <w:pPr>
        <w:pStyle w:val="Heading3"/>
        <w:spacing w:before="180" w:after="80"/>
      </w:pPr>
      <w:r>
        <w:rPr>
          <w:rFonts w:ascii="Arial" w:cs="Arial" w:eastAsia="Arial" w:hAnsi="Arial"/>
          <w:b/>
          <w:bCs/>
          <w:color w:val="1A5EA8"/>
          <w:sz w:val="22"/>
          <w:szCs w:val="22"/>
        </w:rPr>
        <w:t xml:space="preserve">Access control on the internal host</w:t>
      </w:r>
    </w:p>
    <w:p>
      <w:pPr>
        <w:spacing w:after="140"/>
      </w:pPr>
      <w:r>
        <w:rPr>
          <w:rFonts w:ascii="Arial" w:cs="Arial" w:eastAsia="Arial" w:hAnsi="Arial"/>
          <w:color w:val="0F1923"/>
          <w:sz w:val="22"/>
          <w:szCs w:val="22"/>
        </w:rPr>
        <w:t xml:space="preserve">Because the SNAT inbound identity replaces the real remote address before the connection reaches the internal host, the internal host sees only the SNAT identity as the connecting source. All access control configured on the internal host — authorised keys with source restrictions, user allowlists, host-based firewall rules — must reference the SNAT inbound identity, not the real remote address.</w:t>
      </w:r>
    </w:p>
    <w:p>
      <w:pPr>
        <w:spacing w:after="140"/>
      </w:pPr>
      <w:r>
        <w:rPr>
          <w:rFonts w:ascii="Arial" w:cs="Arial" w:eastAsia="Arial" w:hAnsi="Arial"/>
          <w:color w:val="0F1923"/>
          <w:sz w:val="22"/>
          <w:szCs w:val="22"/>
        </w:rPr>
        <w:t xml:space="preserve">This is a deliberate property of the platform's addressing model. It means the internal host's access control is decoupled from the remote host's real addressing. The tenant can change its real source IP — through ISP changes, SD-WAN failover, or office relocation — without requiring any change to internal host configuration, because the SNAT identity that the internal host enforces against remains constant.</w:t>
      </w:r>
    </w:p>
    <w:p>
      <w:pPr>
        <w:pStyle w:val="Heading3"/>
        <w:spacing w:before="180" w:after="80"/>
      </w:pPr>
      <w:r>
        <w:rPr>
          <w:rFonts w:ascii="Arial" w:cs="Arial" w:eastAsia="Arial" w:hAnsi="Arial"/>
          <w:b/>
          <w:bCs/>
          <w:color w:val="1A5EA8"/>
          <w:sz w:val="22"/>
          <w:szCs w:val="22"/>
        </w:rPr>
        <w:t xml:space="preserve">RDP</w:t>
      </w:r>
    </w:p>
    <w:p>
      <w:pPr>
        <w:spacing w:after="140"/>
      </w:pPr>
      <w:r>
        <w:rPr>
          <w:rFonts w:ascii="Arial" w:cs="Arial" w:eastAsia="Arial" w:hAnsi="Arial"/>
          <w:color w:val="0F1923"/>
          <w:sz w:val="22"/>
          <w:szCs w:val="22"/>
        </w:rPr>
        <w:t xml:space="preserve">RDP interactive access follows the same model as SSH — dedicated SNAT inbound identity, port 3389 preserved, no port translation. Network Policy Server rules, Windows Firewall allowlists, and any RDP gateway access controls must reference the SNAT inbound identity for the same reasons.</w:t>
      </w:r>
    </w:p>
    <w:p>
      <w:pPr>
        <w:pStyle w:val="Heading3"/>
        <w:spacing w:before="180" w:after="80"/>
      </w:pPr>
      <w:r>
        <w:rPr>
          <w:rFonts w:ascii="Arial" w:cs="Arial" w:eastAsia="Arial" w:hAnsi="Arial"/>
          <w:b/>
          <w:bCs/>
          <w:color w:val="1A5EA8"/>
          <w:sz w:val="22"/>
          <w:szCs w:val="22"/>
        </w:rPr>
        <w:t xml:space="preserve">Multi-host exception — PNAT for SSH</w:t>
      </w:r>
    </w:p>
    <w:p>
      <w:pPr>
        <w:spacing w:after="140"/>
      </w:pPr>
      <w:r>
        <w:rPr>
          <w:rFonts w:ascii="Arial" w:cs="Arial" w:eastAsia="Arial" w:hAnsi="Arial"/>
          <w:color w:val="0F1923"/>
          <w:sz w:val="22"/>
          <w:szCs w:val="22"/>
        </w:rPr>
        <w:t xml:space="preserve">Where a single SNAT inbound identity must front multiple distinct SSH hosts — for example a tenant with three managed devices each requiring independent SSH access but only one allocated IP — PNAT is the only viable model. Each SSH host is assigned a unique external port on the shared identity (for example 2222, 2223, 2224 all translating to port 22 on different internal hosts). This is a constrained fallback for address-limited scenarios, not the standard implementation.</w:t>
      </w:r>
    </w:p>
    <w:p>
      <w:pPr>
        <w:pStyle w:val="Heading3"/>
        <w:spacing w:before="180" w:after="80"/>
      </w:pPr>
      <w:r>
        <w:rPr>
          <w:rFonts w:ascii="Arial" w:cs="Arial" w:eastAsia="Arial" w:hAnsi="Arial"/>
          <w:b/>
          <w:bCs/>
          <w:color w:val="1A5EA8"/>
          <w:sz w:val="22"/>
          <w:szCs w:val="22"/>
        </w:rPr>
        <w:t xml:space="preserve">Session characteristics</w:t>
      </w:r>
    </w:p>
    <w:p>
      <w:pPr>
        <w:spacing w:after="140"/>
      </w:pPr>
      <w:r>
        <w:rPr>
          <w:rFonts w:ascii="Arial" w:cs="Arial" w:eastAsia="Arial" w:hAnsi="Arial"/>
          <w:color w:val="0F1923"/>
          <w:sz w:val="22"/>
          <w:szCs w:val="22"/>
        </w:rPr>
        <w:t xml:space="preserve">Interactive sessions are long-lived and the platform records the full session duration — connection establishment, cumulative bytes transferred in each direction, and session termination — against the SNAT inbound identity. This provides a complete interactive session audit record rather than a connection event only.</w:t>
      </w:r>
    </w:p>
    <w:p>
      <w:pPr>
        <w:pBdr>
          <w:left w:val="single" w:color="6A7A8A" w:sz="16" w:space="4"/>
        </w:pBdr>
        <w:shd w:fill="F2F4F7" w:val="clear"/>
        <w:spacing w:before="80" w:after="120"/>
        <w:ind w:left="720"/>
      </w:pPr>
      <w:r>
        <w:rPr>
          <w:rFonts w:ascii="Arial" w:cs="Arial" w:eastAsia="Arial" w:hAnsi="Arial"/>
          <w:b/>
          <w:bCs/>
          <w:color w:val="6A7A8A"/>
          <w:sz w:val="22"/>
          <w:szCs w:val="22"/>
        </w:rPr>
        <w:t xml:space="preserve">Examples: </w:t>
      </w:r>
      <w:r>
        <w:rPr>
          <w:rFonts w:ascii="Arial" w:cs="Arial" w:eastAsia="Arial" w:hAnsi="Arial"/>
          <w:color w:val="3A4A5A"/>
          <w:sz w:val="22"/>
          <w:szCs w:val="22"/>
        </w:rPr>
        <w:t xml:space="preserve">Vendor SSH access to a managed device for remote support. Operations team remote desktop to an internal management host. Partner connecting to a jump host for subsequent internal access. Configuration management system establishing SSH sessions to managed internal hosts.</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A8" w:sz="1"/>
              <w:left w:val="single" w:color="1A5EA8" w:sz="1"/>
              <w:bottom w:val="single" w:color="1A5EA8" w:sz="1"/>
              <w:right w:val="single" w:color="1A5EA8" w:sz="1"/>
            </w:tcBorders>
            <w:shd w:fill="EBF4FF"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Dedicated SNAT inbound identity per SSH/RDP host — one-to-one mapping</w:t>
            </w:r>
          </w:p>
          <w:p>
            <w:pPr>
              <w:pStyle w:val="ListParagraph"/>
              <w:numPr>
                <w:ilvl w:val="0"/>
                <w:numId w:val="2"/>
              </w:numPr>
              <w:spacing w:after="60"/>
            </w:pPr>
            <w:r>
              <w:rPr>
                <w:rFonts w:ascii="Arial" w:cs="Arial" w:eastAsia="Arial" w:hAnsi="Arial"/>
                <w:color w:val="3A4A5A"/>
                <w:sz w:val="20"/>
                <w:szCs w:val="20"/>
              </w:rPr>
              <w:t xml:space="preserve">Port transparency — port 22 and port 3389 preserved end-to-end, no translation</w:t>
            </w:r>
          </w:p>
          <w:p>
            <w:pPr>
              <w:pStyle w:val="ListParagraph"/>
              <w:numPr>
                <w:ilvl w:val="0"/>
                <w:numId w:val="2"/>
              </w:numPr>
              <w:spacing w:after="60"/>
            </w:pPr>
            <w:r>
              <w:rPr>
                <w:rFonts w:ascii="Arial" w:cs="Arial" w:eastAsia="Arial" w:hAnsi="Arial"/>
                <w:color w:val="3A4A5A"/>
                <w:sz w:val="20"/>
                <w:szCs w:val="20"/>
              </w:rPr>
              <w:t xml:space="preserve">Internal host access controls reference the SNAT identity, not the real remote address</w:t>
            </w:r>
          </w:p>
          <w:p>
            <w:pPr>
              <w:pStyle w:val="ListParagraph"/>
              <w:numPr>
                <w:ilvl w:val="0"/>
                <w:numId w:val="2"/>
              </w:numPr>
              <w:spacing w:after="60"/>
            </w:pPr>
            <w:r>
              <w:rPr>
                <w:rFonts w:ascii="Arial" w:cs="Arial" w:eastAsia="Arial" w:hAnsi="Arial"/>
                <w:color w:val="3A4A5A"/>
                <w:sz w:val="20"/>
                <w:szCs w:val="20"/>
              </w:rPr>
              <w:t xml:space="preserve">SNAT identity is stable — remote IP changes do not require internal host reconfiguration</w:t>
            </w:r>
          </w:p>
          <w:p>
            <w:pPr>
              <w:pStyle w:val="ListParagraph"/>
              <w:numPr>
                <w:ilvl w:val="0"/>
                <w:numId w:val="2"/>
              </w:numPr>
              <w:spacing w:after="60"/>
            </w:pPr>
            <w:r>
              <w:rPr>
                <w:rFonts w:ascii="Arial" w:cs="Arial" w:eastAsia="Arial" w:hAnsi="Arial"/>
                <w:color w:val="3A4A5A"/>
                <w:sz w:val="20"/>
                <w:szCs w:val="20"/>
              </w:rPr>
              <w:t xml:space="preserve">Session-duration logging: connection, bytes transferred, termination — all against SNAT identity</w:t>
            </w:r>
          </w:p>
          <w:p>
            <w:pPr>
              <w:pStyle w:val="ListParagraph"/>
              <w:numPr>
                <w:ilvl w:val="0"/>
                <w:numId w:val="2"/>
              </w:numPr>
              <w:spacing w:after="60"/>
            </w:pPr>
            <w:r>
              <w:rPr>
                <w:rFonts w:ascii="Arial" w:cs="Arial" w:eastAsia="Arial" w:hAnsi="Arial"/>
                <w:color w:val="3A4A5A"/>
                <w:sz w:val="20"/>
                <w:szCs w:val="20"/>
              </w:rPr>
              <w:t xml:space="preserve">PNAT for SSH is a constrained fallback for address-limited multi-host scenarios only</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pStyle w:val="Heading1"/>
        <w:shd w:fill="0F2744" w:val="clear"/>
        <w:spacing w:before="240" w:after="200"/>
      </w:pPr>
      <w:r>
        <w:rPr>
          <w:rFonts w:ascii="Arial" w:cs="Arial" w:eastAsia="Arial" w:hAnsi="Arial"/>
          <w:b/>
          <w:bCs/>
          <w:color w:val="FFFFFF"/>
          <w:sz w:val="36"/>
          <w:szCs w:val="36"/>
        </w:rPr>
        <w:t xml:space="preserve">3.  Name Resolution</w:t>
      </w:r>
    </w:p>
    <w:p>
      <w:pPr>
        <w:shd w:fill="0A5A4E" w:val="clear"/>
        <w:spacing w:before="320" w:after="160"/>
      </w:pPr>
      <w:r>
        <w:rPr>
          <w:rFonts w:ascii="Arial" w:cs="Arial" w:eastAsia="Arial" w:hAnsi="Arial"/>
          <w:b/>
          <w:bCs/>
          <w:color w:val="FFFFFF"/>
          <w:sz w:val="32"/>
          <w:szCs w:val="32"/>
        </w:rPr>
        <w:t xml:space="preserve">UC5  </w:t>
      </w:r>
      <w:r>
        <w:rPr>
          <w:rFonts w:ascii="Arial" w:cs="Arial" w:eastAsia="Arial" w:hAnsi="Arial"/>
          <w:color w:val="FFFFFF"/>
          <w:sz w:val="28"/>
          <w:szCs w:val="28"/>
        </w:rPr>
        <w:t xml:space="preserve">Name-Based Service Resolution — DNS Rewriting</w:t>
      </w:r>
    </w:p>
    <w:p>
      <w:pPr>
        <w:spacing w:after="140"/>
      </w:pPr>
      <w:r>
        <w:rPr>
          <w:rFonts w:ascii="Arial" w:cs="Arial" w:eastAsia="Arial" w:hAnsi="Arial"/>
          <w:color w:val="0F1923"/>
          <w:sz w:val="22"/>
          <w:szCs w:val="22"/>
        </w:rPr>
        <w:t xml:space="preserve">Partners know internal services by fully qualified domain name, not by IP address. Without DNS rewriting, a name resolution would return the real internal IP address — an address the remote host cannot reach, because the platform's inbound addressing model is built around the SNAT inbound identity, not the real internal address. The connection would fail: the name resolves successfully, but the returned address is unreachable from the remote side.</w:t>
      </w:r>
    </w:p>
    <w:p>
      <w:pPr>
        <w:spacing w:after="140"/>
      </w:pPr>
      <w:r>
        <w:rPr>
          <w:rFonts w:ascii="Arial" w:cs="Arial" w:eastAsia="Arial" w:hAnsi="Arial"/>
          <w:color w:val="0F1923"/>
          <w:sz w:val="22"/>
          <w:szCs w:val="22"/>
        </w:rPr>
        <w:t xml:space="preserve">DNS rewriting resolves this by intercepting responses from the internal DNS resolver and replacing the real internal A record with the SNAT inbound identity before the response is returned to the remote host. The remote host receives the SNAT identity, connects to it, and the platform delivers the connection to the real internal host. The real internal address is never disclosed at any point in the resolution or connection path.</w:t>
      </w:r>
    </w:p>
    <w:p>
      <w:pPr>
        <w:spacing w:after="140"/>
      </w:pPr>
      <w:r>
        <w:rPr>
          <w:rFonts w:ascii="Arial" w:cs="Arial" w:eastAsia="Arial" w:hAnsi="Arial"/>
          <w:color w:val="0F1923"/>
          <w:sz w:val="22"/>
          <w:szCs w:val="22"/>
        </w:rPr>
        <w:t xml:space="preserve">DNS rewriting is therefore a load-bearing dependency for any scenario where the remote host initiates a connection by name. It is not an optional enhancement — it is the mechanism that makes name-based connectivity function within the SNAT addressing model.</w:t>
      </w:r>
    </w:p>
    <w:p>
      <w:pPr>
        <w:pStyle w:val="Heading3"/>
        <w:spacing w:before="180" w:after="80"/>
      </w:pPr>
      <w:r>
        <w:rPr>
          <w:rFonts w:ascii="Arial" w:cs="Arial" w:eastAsia="Arial" w:hAnsi="Arial"/>
          <w:b/>
          <w:bCs/>
          <w:color w:val="1A5EA8"/>
          <w:sz w:val="22"/>
          <w:szCs w:val="22"/>
        </w:rPr>
        <w:t xml:space="preserve">Resolution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080"/>
        <w:gridCol w:w="2800"/>
      </w:tblGrid>
      <w:tr>
        <w:tc>
          <w:tcPr>
            <w:tcW w:type="dxa" w:w="48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20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Actor</w:t>
            </w:r>
          </w:p>
        </w:tc>
        <w:tc>
          <w:tcPr>
            <w:tcW w:type="dxa" w:w="408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28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4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1A5EA8"/>
                <w:sz w:val="20"/>
                <w:szCs w:val="20"/>
              </w:rPr>
              <w:t xml:space="preserve">1</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Remote host</w:t>
            </w:r>
          </w:p>
        </w:tc>
        <w:tc>
          <w:tcPr>
            <w:tcW w:type="dxa" w:w="40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Resolves app.corp.local via tunnel DNS path</w:t>
            </w:r>
          </w:p>
        </w:tc>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Query arrives at platform DNS proxy</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1A5EA8"/>
                <w:sz w:val="20"/>
                <w:szCs w:val="20"/>
              </w:rPr>
              <w:t xml:space="preserve">2</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DNS proxy</w:t>
            </w:r>
          </w:p>
        </w:tc>
        <w:tc>
          <w:tcPr>
            <w:tcW w:type="dxa" w:w="40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Matches internal domain suffix — forwards to internal resolver</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Query forwarded</w:t>
            </w:r>
          </w:p>
        </w:tc>
      </w:tr>
      <w:tr>
        <w:tc>
          <w:tcPr>
            <w:tcW w:type="dxa" w:w="4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1A5EA8"/>
                <w:sz w:val="20"/>
                <w:szCs w:val="20"/>
              </w:rPr>
              <w:t xml:space="preserve">3</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Internal DNS</w:t>
            </w:r>
          </w:p>
        </w:tc>
        <w:tc>
          <w:tcPr>
            <w:tcW w:type="dxa" w:w="40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Resolves app.corp.local — returns 124.89.11.44</w:t>
            </w:r>
          </w:p>
        </w:tc>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Real IP returned to proxy</w:t>
            </w:r>
          </w:p>
        </w:tc>
      </w:tr>
      <w:tr>
        <w:tc>
          <w:tcPr>
            <w:tcW w:type="dxa" w:w="4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1A5EA8"/>
                <w:sz w:val="20"/>
                <w:szCs w:val="20"/>
              </w:rPr>
              <w:t xml:space="preserve">4</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DNS proxy</w:t>
            </w:r>
          </w:p>
        </w:tc>
        <w:tc>
          <w:tcPr>
            <w:tcW w:type="dxa" w:w="40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Rewrite fires — 124.89.11.44 replaced with 99.11.88.70</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Real IP discarded — never forwarded</w:t>
            </w:r>
          </w:p>
        </w:tc>
      </w:tr>
      <w:tr>
        <w:tc>
          <w:tcPr>
            <w:tcW w:type="dxa" w:w="4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1A5EA8"/>
                <w:sz w:val="20"/>
                <w:szCs w:val="20"/>
              </w:rPr>
              <w:t xml:space="preserve">5</w:t>
            </w:r>
          </w:p>
        </w:tc>
        <w:tc>
          <w:tcPr>
            <w:tcW w:type="dxa" w:w="20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Remote host</w:t>
            </w:r>
          </w:p>
        </w:tc>
        <w:tc>
          <w:tcPr>
            <w:tcW w:type="dxa" w:w="408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Receives 99.11.88.70 — connects on application port</w:t>
            </w:r>
          </w:p>
        </w:tc>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Connects to SNAT identity — correct path</w:t>
            </w:r>
          </w:p>
        </w:tc>
      </w:tr>
    </w:tbl>
    <w:p>
      <w:pPr>
        <w:spacing w:after="60"/>
      </w:pPr>
      <w:r>
        <w:rPr>
          <w:rFonts w:ascii="Arial" w:cs="Arial" w:eastAsia="Arial" w:hAnsi="Arial"/>
          <w:color w:val="0F1923"/>
          <w:sz w:val="22"/>
          <w:szCs w:val="22"/>
        </w:rPr>
        <w:t xml:space="preserve"/>
      </w:r>
    </w:p>
    <w:p>
      <w:pPr>
        <w:spacing w:after="140"/>
      </w:pPr>
      <w:r>
        <w:rPr>
          <w:rFonts w:ascii="Arial" w:cs="Arial" w:eastAsia="Arial" w:hAnsi="Arial"/>
          <w:color w:val="0F1923"/>
          <w:sz w:val="22"/>
          <w:szCs w:val="22"/>
        </w:rPr>
        <w:t xml:space="preserve">One rewrite rule exists per declared service. All rewrite rules return the SNAT inbound identity — never a real internal address. For PNAT services, the DNS rewrite provides the IP; the remote application configuration provides the external port.</w:t>
      </w:r>
    </w:p>
    <w:p>
      <w:pPr>
        <w:spacing w:after="140"/>
      </w:pPr>
      <w:r>
        <w:rPr>
          <w:rFonts w:ascii="Arial" w:cs="Arial" w:eastAsia="Arial" w:hAnsi="Arial"/>
          <w:color w:val="0F1923"/>
          <w:sz w:val="22"/>
          <w:szCs w:val="22"/>
        </w:rPr>
        <w:t xml:space="preserve">The per-tenant DNS proxy also performs conditional forwarding — queries for internal domain suffixes are resolved against the internal DNS infrastructure, while queries for external names are resolved normally. The remote host does not need separate DNS configuration for internal versus external names.</w:t>
      </w:r>
    </w:p>
    <w:p>
      <w:pPr>
        <w:pBdr>
          <w:left w:val="single" w:color="0D7A6A" w:sz="16" w:space="4"/>
        </w:pBdr>
        <w:shd w:fill="D4F0EA" w:val="clear"/>
        <w:spacing w:before="80" w:after="120"/>
        <w:ind w:left="720"/>
      </w:pPr>
      <w:r>
        <w:rPr>
          <w:rFonts w:ascii="Arial" w:cs="Arial" w:eastAsia="Arial" w:hAnsi="Arial"/>
          <w:b/>
          <w:bCs/>
          <w:color w:val="0D7A6A"/>
          <w:sz w:val="22"/>
          <w:szCs w:val="22"/>
        </w:rPr>
        <w:t xml:space="preserve">Design decision: </w:t>
      </w:r>
      <w:r>
        <w:rPr>
          <w:rFonts w:ascii="Arial" w:cs="Arial" w:eastAsia="Arial" w:hAnsi="Arial"/>
          <w:color w:val="3A4A5A"/>
          <w:sz w:val="22"/>
          <w:szCs w:val="22"/>
        </w:rPr>
        <w:t xml:space="preserve">DNS rewriting is the mechanism that allows the SNAT addressing model to remain transparent to the remote host's application stack. The application connects to a name — the DNS layer handles the mapping to the SNAT identity without any application-layer awareness of the translation.</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E" w:sz="1"/>
              <w:left w:val="single" w:color="0A5A4E" w:sz="1"/>
              <w:bottom w:val="single" w:color="0A5A4E" w:sz="1"/>
              <w:right w:val="single" w:color="0A5A4E" w:sz="1"/>
            </w:tcBorders>
            <w:shd w:fill="D4F0EA"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Load-bearing for all name-initiated connections — not optional in the SNAT model</w:t>
            </w:r>
          </w:p>
          <w:p>
            <w:pPr>
              <w:pStyle w:val="ListParagraph"/>
              <w:numPr>
                <w:ilvl w:val="0"/>
                <w:numId w:val="2"/>
              </w:numPr>
              <w:spacing w:after="60"/>
            </w:pPr>
            <w:r>
              <w:rPr>
                <w:rFonts w:ascii="Arial" w:cs="Arial" w:eastAsia="Arial" w:hAnsi="Arial"/>
                <w:color w:val="3A4A5A"/>
                <w:sz w:val="20"/>
                <w:szCs w:val="20"/>
              </w:rPr>
              <w:t xml:space="preserve">Real internal A record replaced with SNAT inbound identity before response leaves the platform</w:t>
            </w:r>
          </w:p>
          <w:p>
            <w:pPr>
              <w:pStyle w:val="ListParagraph"/>
              <w:numPr>
                <w:ilvl w:val="0"/>
                <w:numId w:val="2"/>
              </w:numPr>
              <w:spacing w:after="60"/>
            </w:pPr>
            <w:r>
              <w:rPr>
                <w:rFonts w:ascii="Arial" w:cs="Arial" w:eastAsia="Arial" w:hAnsi="Arial"/>
                <w:color w:val="3A4A5A"/>
                <w:sz w:val="20"/>
                <w:szCs w:val="20"/>
              </w:rPr>
              <w:t xml:space="preserve">Real internal address never returned to the remote host at any point</w:t>
            </w:r>
          </w:p>
          <w:p>
            <w:pPr>
              <w:pStyle w:val="ListParagraph"/>
              <w:numPr>
                <w:ilvl w:val="0"/>
                <w:numId w:val="2"/>
              </w:numPr>
              <w:spacing w:after="60"/>
            </w:pPr>
            <w:r>
              <w:rPr>
                <w:rFonts w:ascii="Arial" w:cs="Arial" w:eastAsia="Arial" w:hAnsi="Arial"/>
                <w:color w:val="3A4A5A"/>
                <w:sz w:val="20"/>
                <w:szCs w:val="20"/>
              </w:rPr>
              <w:t xml:space="preserve">One rewrite rule per declared service — each service has its own DNS identity</w:t>
            </w:r>
          </w:p>
          <w:p>
            <w:pPr>
              <w:pStyle w:val="ListParagraph"/>
              <w:numPr>
                <w:ilvl w:val="0"/>
                <w:numId w:val="2"/>
              </w:numPr>
              <w:spacing w:after="60"/>
            </w:pPr>
            <w:r>
              <w:rPr>
                <w:rFonts w:ascii="Arial" w:cs="Arial" w:eastAsia="Arial" w:hAnsi="Arial"/>
                <w:color w:val="3A4A5A"/>
                <w:sz w:val="20"/>
                <w:szCs w:val="20"/>
              </w:rPr>
              <w:t xml:space="preserve">Conditional forwarding — internal names resolve against internal infrastructure, external names resolve normally</w:t>
            </w:r>
          </w:p>
          <w:p>
            <w:pPr>
              <w:pStyle w:val="ListParagraph"/>
              <w:numPr>
                <w:ilvl w:val="0"/>
                <w:numId w:val="2"/>
              </w:numPr>
              <w:spacing w:after="60"/>
            </w:pPr>
            <w:r>
              <w:rPr>
                <w:rFonts w:ascii="Arial" w:cs="Arial" w:eastAsia="Arial" w:hAnsi="Arial"/>
                <w:color w:val="3A4A5A"/>
                <w:sz w:val="20"/>
                <w:szCs w:val="20"/>
              </w:rPr>
              <w:t xml:space="preserve">PNAT services: DNS provides the IP, application configuration provides the external port</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pStyle w:val="Heading1"/>
        <w:shd w:fill="0F2744" w:val="clear"/>
        <w:spacing w:before="240" w:after="200"/>
      </w:pPr>
      <w:r>
        <w:rPr>
          <w:rFonts w:ascii="Arial" w:cs="Arial" w:eastAsia="Arial" w:hAnsi="Arial"/>
          <w:b/>
          <w:bCs/>
          <w:color w:val="FFFFFF"/>
          <w:sz w:val="36"/>
          <w:szCs w:val="36"/>
        </w:rPr>
        <w:t xml:space="preserve">4.  DMZ Segment Use Cases</w:t>
      </w:r>
    </w:p>
    <w:p>
      <w:pPr>
        <w:spacing w:after="140"/>
      </w:pPr>
      <w:r>
        <w:rPr>
          <w:rFonts w:ascii="Arial" w:cs="Arial" w:eastAsia="Arial" w:hAnsi="Arial"/>
          <w:color w:val="0F1923"/>
          <w:sz w:val="22"/>
          <w:szCs w:val="22"/>
        </w:rPr>
        <w:t xml:space="preserve">The per-tenant DMZ segment is a dedicated Layer 3 network with a tenant-exclusive VLAN and a routable IP prefix allocated solely to that tenant. Because it is a genuine L3 network within the tenant's IP domain — not a NAT construct — it serves three distinct roles beyond simple host placement.</w:t>
      </w:r>
    </w:p>
    <w:p>
      <w:pPr>
        <w:spacing w:after="140"/>
      </w:pPr>
      <w:r>
        <w:rPr>
          <w:rFonts w:ascii="Arial" w:cs="Arial" w:eastAsia="Arial" w:hAnsi="Arial"/>
          <w:color w:val="0F1923"/>
          <w:sz w:val="22"/>
          <w:szCs w:val="22"/>
        </w:rPr>
        <w:t xml:space="preserve">All three DMZ sub-cases share one foundational property: no source NAT is applied on the path from the tenant's tunnel to the DMZ segment. The remote host's real IP address is preserved end-to-end within the DMZ. This is a deliberate design decision that is functionally required for routing protocol operation in UC6a and for application-layer access control in UC6c.</w:t>
      </w:r>
    </w:p>
    <w:p>
      <w:pPr>
        <w:spacing w:after="60"/>
      </w:pPr>
      <w:r>
        <w:rPr>
          <w:rFonts w:ascii="Arial" w:cs="Arial" w:eastAsia="Arial" w:hAnsi="Arial"/>
          <w:color w:val="0F1923"/>
          <w:sz w:val="22"/>
          <w:szCs w:val="22"/>
        </w:rPr>
        <w:t xml:space="preserve"/>
      </w:r>
    </w:p>
    <w:p>
      <w:pPr>
        <w:shd w:fill="0A5A4E" w:val="clear"/>
        <w:spacing w:before="220" w:after="120"/>
        <w:ind w:left="360"/>
      </w:pPr>
      <w:r>
        <w:rPr>
          <w:rFonts w:ascii="Arial" w:cs="Arial" w:eastAsia="Arial" w:hAnsi="Arial"/>
          <w:b/>
          <w:bCs/>
          <w:color w:val="FFFFFF"/>
          <w:sz w:val="24"/>
          <w:szCs w:val="24"/>
        </w:rPr>
        <w:t xml:space="preserve">UC6a  </w:t>
      </w:r>
      <w:r>
        <w:rPr>
          <w:rFonts w:ascii="Arial" w:cs="Arial" w:eastAsia="Arial" w:hAnsi="Arial"/>
          <w:color w:val="FFFFFF"/>
          <w:sz w:val="22"/>
          <w:szCs w:val="22"/>
        </w:rPr>
        <w:t xml:space="preserve">DMZ as Alternative Peering Point</w:t>
      </w:r>
    </w:p>
    <w:p>
      <w:pPr>
        <w:spacing w:after="140"/>
      </w:pPr>
      <w:r>
        <w:rPr>
          <w:rFonts w:ascii="Arial" w:cs="Arial" w:eastAsia="Arial" w:hAnsi="Arial"/>
          <w:color w:val="0F1923"/>
          <w:sz w:val="22"/>
          <w:szCs w:val="22"/>
        </w:rPr>
        <w:t xml:space="preserve">The DMZ segment provides a second ingress path to the platform that is independent of the primary IPsec tunnel. A tenant can place a routing or network device directly onto the DMZ segment — a router, firewall, or SD-WAN edge device — that establishes a routing adjacency or BGP peering relationship at the segment level. This provides an alternative transport path to intranet services without any change to the primary tunnel configuration.</w:t>
      </w:r>
    </w:p>
    <w:p>
      <w:pPr>
        <w:spacing w:after="140"/>
      </w:pPr>
      <w:r>
        <w:rPr>
          <w:rFonts w:ascii="Arial" w:cs="Arial" w:eastAsia="Arial" w:hAnsi="Arial"/>
          <w:color w:val="0F1923"/>
          <w:sz w:val="22"/>
          <w:szCs w:val="22"/>
        </w:rPr>
        <w:t xml:space="preserve">Traffic arriving on the DMZ segment from an alternative peering device is subject to the same zone policy enforcement as all other DMZ traffic. The firewall enforces the boundary regardless of the transport path that delivered the traffic to the segment. The alternative peering path does not bypass any enforcement point.</w:t>
      </w:r>
    </w:p>
    <w:p>
      <w:pPr>
        <w:spacing w:after="140"/>
      </w:pPr>
      <w:r>
        <w:rPr>
          <w:rFonts w:ascii="Arial" w:cs="Arial" w:eastAsia="Arial" w:hAnsi="Arial"/>
          <w:color w:val="0F1923"/>
          <w:sz w:val="22"/>
          <w:szCs w:val="22"/>
        </w:rPr>
        <w:t xml:space="preserve">The absence of source NAT on the tunnel-to-DMZ path is functionally required for this use case. Routing protocol peering depends on real IP visibility for neighbour adjacency establishment and next-hop advertisement. If source NAT were applied, routing protocol neighbour relationships would fail because the peering device would see a translated address that does not match the expected neighbour IP.</w:t>
      </w:r>
    </w:p>
    <w:p>
      <w:pPr>
        <w:pBdr>
          <w:left w:val="single" w:color="0D7A6A" w:sz="16" w:space="4"/>
        </w:pBdr>
        <w:shd w:fill="D4F0EA" w:val="clear"/>
        <w:spacing w:before="80" w:after="120"/>
        <w:ind w:left="720"/>
      </w:pPr>
      <w:r>
        <w:rPr>
          <w:rFonts w:ascii="Arial" w:cs="Arial" w:eastAsia="Arial" w:hAnsi="Arial"/>
          <w:b/>
          <w:bCs/>
          <w:color w:val="0D7A6A"/>
          <w:sz w:val="22"/>
          <w:szCs w:val="22"/>
        </w:rPr>
        <w:t xml:space="preserve">Design decision: </w:t>
      </w:r>
      <w:r>
        <w:rPr>
          <w:rFonts w:ascii="Arial" w:cs="Arial" w:eastAsia="Arial" w:hAnsi="Arial"/>
          <w:color w:val="3A4A5A"/>
          <w:sz w:val="22"/>
          <w:szCs w:val="22"/>
        </w:rPr>
        <w:t xml:space="preserve">No source NAT on the tunnel-to-DMZ path is a hard requirement for routing protocol operation. This is a deliberate design decision, not a gap in the NAT model.</w:t>
      </w:r>
    </w:p>
    <w:p>
      <w:pPr>
        <w:pBdr>
          <w:left w:val="single" w:color="6A7A8A" w:sz="16" w:space="4"/>
        </w:pBdr>
        <w:shd w:fill="F2F4F7" w:val="clear"/>
        <w:spacing w:before="80" w:after="120"/>
        <w:ind w:left="720"/>
      </w:pPr>
      <w:r>
        <w:rPr>
          <w:rFonts w:ascii="Arial" w:cs="Arial" w:eastAsia="Arial" w:hAnsi="Arial"/>
          <w:b/>
          <w:bCs/>
          <w:color w:val="6A7A8A"/>
          <w:sz w:val="22"/>
          <w:szCs w:val="22"/>
        </w:rPr>
        <w:t xml:space="preserve">Examples: </w:t>
      </w:r>
      <w:r>
        <w:rPr>
          <w:rFonts w:ascii="Arial" w:cs="Arial" w:eastAsia="Arial" w:hAnsi="Arial"/>
          <w:color w:val="3A4A5A"/>
          <w:sz w:val="22"/>
          <w:szCs w:val="22"/>
        </w:rPr>
        <w:t xml:space="preserve">Tenant placing an SD-WAN edge device on the DMZ segment to provide a secondary encrypted transport path to intranet services. Tenant connecting a secondary security device for additional inspection before traffic reaches the intranet. Tenant establishing BGP peering at the DMZ boundary to exchange routes between its own network and the intranet.</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E" w:sz="1"/>
              <w:left w:val="single" w:color="0A5A4E" w:sz="1"/>
              <w:bottom w:val="single" w:color="0A5A4E" w:sz="1"/>
              <w:right w:val="single" w:color="0A5A4E" w:sz="1"/>
            </w:tcBorders>
            <w:shd w:fill="D4F0EA"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DMZ segment as an independent ingress point — decoupled from the primary IPsec tunnel</w:t>
            </w:r>
          </w:p>
          <w:p>
            <w:pPr>
              <w:pStyle w:val="ListParagraph"/>
              <w:numPr>
                <w:ilvl w:val="0"/>
                <w:numId w:val="2"/>
              </w:numPr>
              <w:spacing w:after="60"/>
            </w:pPr>
            <w:r>
              <w:rPr>
                <w:rFonts w:ascii="Arial" w:cs="Arial" w:eastAsia="Arial" w:hAnsi="Arial"/>
                <w:color w:val="3A4A5A"/>
                <w:sz w:val="20"/>
                <w:szCs w:val="20"/>
              </w:rPr>
              <w:t xml:space="preserve">Routing protocol peering supported — real IP preserved end-to-end, no NAT on this path</w:t>
            </w:r>
          </w:p>
          <w:p>
            <w:pPr>
              <w:pStyle w:val="ListParagraph"/>
              <w:numPr>
                <w:ilvl w:val="0"/>
                <w:numId w:val="2"/>
              </w:numPr>
              <w:spacing w:after="60"/>
            </w:pPr>
            <w:r>
              <w:rPr>
                <w:rFonts w:ascii="Arial" w:cs="Arial" w:eastAsia="Arial" w:hAnsi="Arial"/>
                <w:color w:val="3A4A5A"/>
                <w:sz w:val="20"/>
                <w:szCs w:val="20"/>
              </w:rPr>
              <w:t xml:space="preserve">Alternative transport path established without modification to primary tunnel configuration</w:t>
            </w:r>
          </w:p>
          <w:p>
            <w:pPr>
              <w:pStyle w:val="ListParagraph"/>
              <w:numPr>
                <w:ilvl w:val="0"/>
                <w:numId w:val="2"/>
              </w:numPr>
              <w:spacing w:after="60"/>
            </w:pPr>
            <w:r>
              <w:rPr>
                <w:rFonts w:ascii="Arial" w:cs="Arial" w:eastAsia="Arial" w:hAnsi="Arial"/>
                <w:color w:val="3A4A5A"/>
                <w:sz w:val="20"/>
                <w:szCs w:val="20"/>
              </w:rPr>
              <w:t xml:space="preserve">Zone policy enforcement applies regardless of how traffic reached the DMZ segment</w:t>
            </w:r>
          </w:p>
          <w:p>
            <w:pPr>
              <w:pStyle w:val="ListParagraph"/>
              <w:numPr>
                <w:ilvl w:val="0"/>
                <w:numId w:val="2"/>
              </w:numPr>
              <w:spacing w:after="60"/>
            </w:pPr>
            <w:r>
              <w:rPr>
                <w:rFonts w:ascii="Arial" w:cs="Arial" w:eastAsia="Arial" w:hAnsi="Arial"/>
                <w:color w:val="3A4A5A"/>
                <w:sz w:val="20"/>
                <w:szCs w:val="20"/>
              </w:rPr>
              <w:t xml:space="preserve">Tenant routing context isolated — no cross-tenant route leakage possible</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hd w:fill="0A5A4E" w:val="clear"/>
        <w:spacing w:before="220" w:after="120"/>
        <w:ind w:left="360"/>
      </w:pPr>
      <w:r>
        <w:rPr>
          <w:rFonts w:ascii="Arial" w:cs="Arial" w:eastAsia="Arial" w:hAnsi="Arial"/>
          <w:b/>
          <w:bCs/>
          <w:color w:val="FFFFFF"/>
          <w:sz w:val="24"/>
          <w:szCs w:val="24"/>
        </w:rPr>
        <w:t xml:space="preserve">UC6b  </w:t>
      </w:r>
      <w:r>
        <w:rPr>
          <w:rFonts w:ascii="Arial" w:cs="Arial" w:eastAsia="Arial" w:hAnsi="Arial"/>
          <w:color w:val="FFFFFF"/>
          <w:sz w:val="22"/>
          <w:szCs w:val="22"/>
        </w:rPr>
        <w:t xml:space="preserve">DMZ as Service Extension Zone</w:t>
      </w:r>
    </w:p>
    <w:p>
      <w:pPr>
        <w:spacing w:after="140"/>
      </w:pPr>
      <w:r>
        <w:rPr>
          <w:rFonts w:ascii="Arial" w:cs="Arial" w:eastAsia="Arial" w:hAnsi="Arial"/>
          <w:color w:val="0F1923"/>
          <w:sz w:val="22"/>
          <w:szCs w:val="22"/>
        </w:rPr>
        <w:t xml:space="preserve">The DMZ segment allows the tenant to extend its own services and infrastructure into the platform network. A tenant-owned device placed on the DMZ segment is reachable from the tenant's remote network via the tunnel and from the intranet via the segment gateway — without either side having direct access to the other. The DMZ segment acts as a controlled handoff zone where tenant-managed services can be exposed to the intranet, or where intranet services can be made accessible to tenant-managed infrastructure.</w:t>
      </w:r>
    </w:p>
    <w:p>
      <w:pPr>
        <w:spacing w:after="140"/>
      </w:pPr>
      <w:r>
        <w:rPr>
          <w:rFonts w:ascii="Arial" w:cs="Arial" w:eastAsia="Arial" w:hAnsi="Arial"/>
          <w:color w:val="0F1923"/>
          <w:sz w:val="22"/>
          <w:szCs w:val="22"/>
        </w:rPr>
        <w:t xml:space="preserve">The IP prefix allocated to the DMZ segment belongs to the tenant. Multiple devices can be placed on the segment, assigned addresses within the prefix, and communicate with each other at Layer 2 without the firewall being in the path for that local traffic. The firewall becomes relevant only when traffic crosses the segment boundary — toward the intranet via the gateway, or back through the tunnel to the remote network.</w:t>
      </w:r>
    </w:p>
    <w:p>
      <w:pPr>
        <w:spacing w:after="140"/>
      </w:pPr>
      <w:r>
        <w:rPr>
          <w:rFonts w:ascii="Arial" w:cs="Arial" w:eastAsia="Arial" w:hAnsi="Arial"/>
          <w:color w:val="0F1923"/>
          <w:sz w:val="22"/>
          <w:szCs w:val="22"/>
        </w:rPr>
        <w:t xml:space="preserve">Traffic from the DMZ segment toward the intranet requires an explicit access policy. DMZ devices are not implicitly trusted by the intranet regardless of which tenant owns the segment. All DMZ-to-intranet traffic traverses the firewall and is subject to threat inspection at the segment boundary.</w:t>
      </w:r>
    </w:p>
    <w:p>
      <w:pPr>
        <w:pBdr>
          <w:left w:val="single" w:color="6A7A8A" w:sz="16" w:space="4"/>
        </w:pBdr>
        <w:shd w:fill="F2F4F7" w:val="clear"/>
        <w:spacing w:before="80" w:after="120"/>
        <w:ind w:left="720"/>
      </w:pPr>
      <w:r>
        <w:rPr>
          <w:rFonts w:ascii="Arial" w:cs="Arial" w:eastAsia="Arial" w:hAnsi="Arial"/>
          <w:b/>
          <w:bCs/>
          <w:color w:val="6A7A8A"/>
          <w:sz w:val="22"/>
          <w:szCs w:val="22"/>
        </w:rPr>
        <w:t xml:space="preserve">Examples: </w:t>
      </w:r>
      <w:r>
        <w:rPr>
          <w:rFonts w:ascii="Arial" w:cs="Arial" w:eastAsia="Arial" w:hAnsi="Arial"/>
          <w:color w:val="3A4A5A"/>
          <w:sz w:val="22"/>
          <w:szCs w:val="22"/>
        </w:rPr>
        <w:t xml:space="preserve">Tenant placing a middleware server that brokers between the intranet and the remote tenant application. Tenant extending an internal service into the platform DMZ so that remote offices can reach it without traversing the full intranet path. Tenant placing a data transfer appliance that receives data from the intranet and stages it for collection by the remote network. Tenant deploying a managed security device that inspects traffic before it reaches the intranet.</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E" w:sz="1"/>
              <w:left w:val="single" w:color="0A5A4E" w:sz="1"/>
              <w:bottom w:val="single" w:color="0A5A4E" w:sz="1"/>
              <w:right w:val="single" w:color="0A5A4E" w:sz="1"/>
            </w:tcBorders>
            <w:shd w:fill="D4F0EA"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Tenant-exclusive IP prefix — tenant manages device addressing within the segment</w:t>
            </w:r>
          </w:p>
          <w:p>
            <w:pPr>
              <w:pStyle w:val="ListParagraph"/>
              <w:numPr>
                <w:ilvl w:val="0"/>
                <w:numId w:val="2"/>
              </w:numPr>
              <w:spacing w:after="60"/>
            </w:pPr>
            <w:r>
              <w:rPr>
                <w:rFonts w:ascii="Arial" w:cs="Arial" w:eastAsia="Arial" w:hAnsi="Arial"/>
                <w:color w:val="3A4A5A"/>
                <w:sz w:val="20"/>
                <w:szCs w:val="20"/>
              </w:rPr>
              <w:t xml:space="preserve">Layer 2 adjacency within the segment — firewall not in path for intra-segment traffic</w:t>
            </w:r>
          </w:p>
          <w:p>
            <w:pPr>
              <w:pStyle w:val="ListParagraph"/>
              <w:numPr>
                <w:ilvl w:val="0"/>
                <w:numId w:val="2"/>
              </w:numPr>
              <w:spacing w:after="60"/>
            </w:pPr>
            <w:r>
              <w:rPr>
                <w:rFonts w:ascii="Arial" w:cs="Arial" w:eastAsia="Arial" w:hAnsi="Arial"/>
                <w:color w:val="3A4A5A"/>
                <w:sz w:val="20"/>
                <w:szCs w:val="20"/>
              </w:rPr>
              <w:t xml:space="preserve">DMZ-to-intranet path requires explicit access policy — DMZ devices not implicitly trusted</w:t>
            </w:r>
          </w:p>
          <w:p>
            <w:pPr>
              <w:pStyle w:val="ListParagraph"/>
              <w:numPr>
                <w:ilvl w:val="0"/>
                <w:numId w:val="2"/>
              </w:numPr>
              <w:spacing w:after="60"/>
            </w:pPr>
            <w:r>
              <w:rPr>
                <w:rFonts w:ascii="Arial" w:cs="Arial" w:eastAsia="Arial" w:hAnsi="Arial"/>
                <w:color w:val="3A4A5A"/>
                <w:sz w:val="20"/>
                <w:szCs w:val="20"/>
              </w:rPr>
              <w:t xml:space="preserve">Tenant services on the DMZ reachable from both the tunnel and the intranet under controlled policy</w:t>
            </w:r>
          </w:p>
          <w:p>
            <w:pPr>
              <w:pStyle w:val="ListParagraph"/>
              <w:numPr>
                <w:ilvl w:val="0"/>
                <w:numId w:val="2"/>
              </w:numPr>
              <w:spacing w:after="60"/>
            </w:pPr>
            <w:r>
              <w:rPr>
                <w:rFonts w:ascii="Arial" w:cs="Arial" w:eastAsia="Arial" w:hAnsi="Arial"/>
                <w:color w:val="3A4A5A"/>
                <w:sz w:val="20"/>
                <w:szCs w:val="20"/>
              </w:rPr>
              <w:t xml:space="preserve">Segment VLAN is tenant-exclusive — no cross-tenant Layer 2 adjacency</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shd w:fill="0A5A4E" w:val="clear"/>
        <w:spacing w:before="220" w:after="120"/>
        <w:ind w:left="360"/>
      </w:pPr>
      <w:r>
        <w:rPr>
          <w:rFonts w:ascii="Arial" w:cs="Arial" w:eastAsia="Arial" w:hAnsi="Arial"/>
          <w:b/>
          <w:bCs/>
          <w:color w:val="FFFFFF"/>
          <w:sz w:val="24"/>
          <w:szCs w:val="24"/>
        </w:rPr>
        <w:t xml:space="preserve">UC6c  </w:t>
      </w:r>
      <w:r>
        <w:rPr>
          <w:rFonts w:ascii="Arial" w:cs="Arial" w:eastAsia="Arial" w:hAnsi="Arial"/>
          <w:color w:val="FFFFFF"/>
          <w:sz w:val="22"/>
          <w:szCs w:val="22"/>
        </w:rPr>
        <w:t xml:space="preserve">DMZ as Enhanced Application Access Path</w:t>
      </w:r>
    </w:p>
    <w:p>
      <w:pPr>
        <w:spacing w:after="140"/>
      </w:pPr>
      <w:r>
        <w:rPr>
          <w:rFonts w:ascii="Arial" w:cs="Arial" w:eastAsia="Arial" w:hAnsi="Arial"/>
          <w:color w:val="0F1923"/>
          <w:sz w:val="22"/>
          <w:szCs w:val="22"/>
        </w:rPr>
        <w:t xml:space="preserve">Use Cases 2, 3, and 4 deliver application access through the SNAT or PNAT model with DNS rewriting at the tunnel ingress. The DMZ segment offers an extended access path for scenarios where that model is insufficient. Three conditions make the DMZ the appropriate choice over the standard SNAT/PNAT model:</w:t>
      </w:r>
    </w:p>
    <w:p>
      <w:pPr>
        <w:pStyle w:val="ListParagraph"/>
        <w:numPr>
          <w:ilvl w:val="0"/>
          <w:numId w:val="2"/>
        </w:numPr>
        <w:spacing w:after="80"/>
      </w:pPr>
      <w:r>
        <w:rPr>
          <w:rFonts w:ascii="Arial" w:cs="Arial" w:eastAsia="Arial" w:hAnsi="Arial"/>
          <w:color w:val="0F1923"/>
          <w:sz w:val="22"/>
          <w:szCs w:val="22"/>
        </w:rPr>
        <w:t xml:space="preserve">The application protocol does not tolerate NAT — it embeds IP addresses in its payload or relies on IP-layer identity for protocol correctness.</w:t>
      </w:r>
    </w:p>
    <w:p>
      <w:pPr>
        <w:pStyle w:val="ListParagraph"/>
        <w:numPr>
          <w:ilvl w:val="0"/>
          <w:numId w:val="2"/>
        </w:numPr>
        <w:spacing w:after="80"/>
      </w:pPr>
      <w:r>
        <w:rPr>
          <w:rFonts w:ascii="Arial" w:cs="Arial" w:eastAsia="Arial" w:hAnsi="Arial"/>
          <w:color w:val="0F1923"/>
          <w:sz w:val="22"/>
          <w:szCs w:val="22"/>
        </w:rPr>
        <w:t xml:space="preserve">The access pattern requires an intermediate processing layer between the remote host and the internal service — authentication offload, request routing, protocol translation, or load balancing.</w:t>
      </w:r>
    </w:p>
    <w:p>
      <w:pPr>
        <w:pStyle w:val="ListParagraph"/>
        <w:numPr>
          <w:ilvl w:val="0"/>
          <w:numId w:val="2"/>
        </w:numPr>
        <w:spacing w:after="80"/>
      </w:pPr>
      <w:r>
        <w:rPr>
          <w:rFonts w:ascii="Arial" w:cs="Arial" w:eastAsia="Arial" w:hAnsi="Arial"/>
          <w:color w:val="0F1923"/>
          <w:sz w:val="22"/>
          <w:szCs w:val="22"/>
        </w:rPr>
        <w:t xml:space="preserve">The name resolution requirement exceeds what a single static A-record rewrite can support — SRV records, health-aware responses, round-robin addressing, or full service discovery.</w:t>
      </w:r>
    </w:p>
    <w:p>
      <w:pPr>
        <w:spacing w:after="60"/>
      </w:pPr>
      <w:r>
        <w:rPr>
          <w:rFonts w:ascii="Arial" w:cs="Arial" w:eastAsia="Arial" w:hAnsi="Arial"/>
          <w:color w:val="0F1923"/>
          <w:sz w:val="22"/>
          <w:szCs w:val="22"/>
        </w:rPr>
        <w:t xml:space="preserve"/>
      </w:r>
    </w:p>
    <w:p>
      <w:pPr>
        <w:spacing w:after="140"/>
      </w:pPr>
      <w:r>
        <w:rPr>
          <w:rFonts w:ascii="Arial" w:cs="Arial" w:eastAsia="Arial" w:hAnsi="Arial"/>
          <w:color w:val="0F1923"/>
          <w:sz w:val="22"/>
          <w:szCs w:val="22"/>
        </w:rPr>
        <w:t xml:space="preserve">In this model, the tenant places an application proxy, API gateway, reverse proxy, or DNS resolver on the DMZ segment. The remote host connects to the DMZ-resident device rather than to the SNAT identity. The DMZ device handles the application-layer function and initiates the onward connection to the internal service from within the platform network.</w:t>
      </w:r>
    </w:p>
    <w:p>
      <w:pPr>
        <w:pStyle w:val="Heading3"/>
        <w:spacing w:before="180" w:after="80"/>
      </w:pPr>
      <w:r>
        <w:rPr>
          <w:rFonts w:ascii="Arial" w:cs="Arial" w:eastAsia="Arial" w:hAnsi="Arial"/>
          <w:b/>
          <w:bCs/>
          <w:color w:val="1A5EA8"/>
          <w:sz w:val="22"/>
          <w:szCs w:val="22"/>
        </w:rPr>
        <w:t xml:space="preserve">Protocol transparency</w:t>
      </w:r>
    </w:p>
    <w:p>
      <w:pPr>
        <w:spacing w:after="140"/>
      </w:pPr>
      <w:r>
        <w:rPr>
          <w:rFonts w:ascii="Arial" w:cs="Arial" w:eastAsia="Arial" w:hAnsi="Arial"/>
          <w:color w:val="0F1923"/>
          <w:sz w:val="22"/>
          <w:szCs w:val="22"/>
        </w:rPr>
        <w:t xml:space="preserve">Some application protocols embed real IP addresses in their payload — SIP for VoIP signalling, FTP active mode for data channel establishment, certain database wire protocols for cluster membership. When NAT is applied at the transport layer, these embedded addresses become inconsistent and the protocol fails. A DMZ-resident proxy terminates the remote connection, removes the NAT boundary, and initiates a clean native-protocol connection to the internal service. The internal service receives a direct protocol connection with no translation artefacts.</w:t>
      </w:r>
    </w:p>
    <w:p>
      <w:pPr>
        <w:pStyle w:val="Heading3"/>
        <w:spacing w:before="180" w:after="80"/>
      </w:pPr>
      <w:r>
        <w:rPr>
          <w:rFonts w:ascii="Arial" w:cs="Arial" w:eastAsia="Arial" w:hAnsi="Arial"/>
          <w:b/>
          <w:bCs/>
          <w:color w:val="1A5EA8"/>
          <w:sz w:val="22"/>
          <w:szCs w:val="22"/>
        </w:rPr>
        <w:t xml:space="preserve">Enriched name resolution</w:t>
      </w:r>
    </w:p>
    <w:p>
      <w:pPr>
        <w:spacing w:after="140"/>
      </w:pPr>
      <w:r>
        <w:rPr>
          <w:rFonts w:ascii="Arial" w:cs="Arial" w:eastAsia="Arial" w:hAnsi="Arial"/>
          <w:color w:val="0F1923"/>
          <w:sz w:val="22"/>
          <w:szCs w:val="22"/>
        </w:rPr>
        <w:t xml:space="preserve">A DMZ-resident DNS resolver provides a full internal name resolution environment: SRV records, multiple A records, round-robin responses, health-aware responses, and service discovery. Remote hosts resolve names against the DMZ resolver and receive a response appropriate to their request and the current health of the internal service. These are capabilities that a static A-record rewrite cannot support.</w:t>
      </w:r>
    </w:p>
    <w:p>
      <w:pPr>
        <w:pStyle w:val="Heading3"/>
        <w:spacing w:before="180" w:after="80"/>
      </w:pPr>
      <w:r>
        <w:rPr>
          <w:rFonts w:ascii="Arial" w:cs="Arial" w:eastAsia="Arial" w:hAnsi="Arial"/>
          <w:b/>
          <w:bCs/>
          <w:color w:val="1A5EA8"/>
          <w:sz w:val="22"/>
          <w:szCs w:val="22"/>
        </w:rPr>
        <w:t xml:space="preserve">Application-layer access control</w:t>
      </w:r>
    </w:p>
    <w:p>
      <w:pPr>
        <w:spacing w:after="140"/>
      </w:pPr>
      <w:r>
        <w:rPr>
          <w:rFonts w:ascii="Arial" w:cs="Arial" w:eastAsia="Arial" w:hAnsi="Arial"/>
          <w:color w:val="0F1923"/>
          <w:sz w:val="22"/>
          <w:szCs w:val="22"/>
        </w:rPr>
        <w:t xml:space="preserve">A DMZ-resident API gateway or reverse proxy enforces access at the application layer — token validation, mutual TLS certificate verification, rate limiting, request inspection, and path-based routing — before any traffic reaches the internal service. Because there is no source NAT on the tunnel-to-DMZ path, the DMZ device sees the real remote IP, which it can use for rate limiting, geographic restriction, and audit purposes. The internal service sees only the DMZ device as its client, authenticated at the application layer.</w:t>
      </w:r>
    </w:p>
    <w:p>
      <w:pPr>
        <w:pStyle w:val="Heading3"/>
        <w:spacing w:before="180" w:after="80"/>
      </w:pPr>
      <w:r>
        <w:rPr>
          <w:rFonts w:ascii="Arial" w:cs="Arial" w:eastAsia="Arial" w:hAnsi="Arial"/>
          <w:b/>
          <w:bCs/>
          <w:color w:val="1A5EA8"/>
          <w:sz w:val="22"/>
          <w:szCs w:val="22"/>
        </w:rPr>
        <w:t xml:space="preserve">Multi-service fan-out from a single connection</w:t>
      </w:r>
    </w:p>
    <w:p>
      <w:pPr>
        <w:spacing w:after="140"/>
      </w:pPr>
      <w:r>
        <w:rPr>
          <w:rFonts w:ascii="Arial" w:cs="Arial" w:eastAsia="Arial" w:hAnsi="Arial"/>
          <w:color w:val="0F1923"/>
          <w:sz w:val="22"/>
          <w:szCs w:val="22"/>
        </w:rPr>
        <w:t xml:space="preserve">PNAT requires a discrete external port per internal service. A DMZ-resident reverse proxy or API gateway routes multiple services through a single port based on HTTP Host headers, TLS SNI, or application-layer routing logic. The remote host connects to one address and one port; the DMZ device routes to the appropriate internal service based on the content of the request.</w:t>
      </w:r>
    </w:p>
    <w:p>
      <w:pPr>
        <w:pStyle w:val="Heading3"/>
        <w:spacing w:before="180" w:after="80"/>
      </w:pPr>
      <w:r>
        <w:rPr>
          <w:rFonts w:ascii="Arial" w:cs="Arial" w:eastAsia="Arial" w:hAnsi="Arial"/>
          <w:b/>
          <w:bCs/>
          <w:color w:val="1A5EA8"/>
          <w:sz w:val="22"/>
          <w:szCs w:val="22"/>
        </w:rPr>
        <w:t xml:space="preserve">Relationship to Use Cases 2, 3, and 4</w:t>
      </w:r>
    </w:p>
    <w:p>
      <w:pPr>
        <w:spacing w:after="140"/>
      </w:pPr>
      <w:r>
        <w:rPr>
          <w:rFonts w:ascii="Arial" w:cs="Arial" w:eastAsia="Arial" w:hAnsi="Arial"/>
          <w:color w:val="0F1923"/>
          <w:sz w:val="22"/>
          <w:szCs w:val="22"/>
        </w:rPr>
        <w:t xml:space="preserve">Use Cases 2, 3, and 4 remain the standard delivery model for the majority of tenants — direct SNAT or PNAT with DNS rewriting is simpler, requires no tenant-managed infrastructure on the DMZ segment, and satisfies most API and application access requirements. Use Case 6c is the escalation path when the standard model encounters a protocol, scale, or access control constraint it cannot resolve. The two models are not mutually exclusive — a tenant can operate SNAT/PNAT services alongside a DMZ-resident proxy for services that require the extended path.</w:t>
      </w:r>
    </w:p>
    <w:p>
      <w:pPr>
        <w:pBdr>
          <w:left w:val="single" w:color="6A7A8A" w:sz="16" w:space="4"/>
        </w:pBdr>
        <w:shd w:fill="F2F4F7" w:val="clear"/>
        <w:spacing w:before="80" w:after="120"/>
        <w:ind w:left="720"/>
      </w:pPr>
      <w:r>
        <w:rPr>
          <w:rFonts w:ascii="Arial" w:cs="Arial" w:eastAsia="Arial" w:hAnsi="Arial"/>
          <w:b/>
          <w:bCs/>
          <w:color w:val="6A7A8A"/>
          <w:sz w:val="22"/>
          <w:szCs w:val="22"/>
        </w:rPr>
        <w:t xml:space="preserve">Examples: </w:t>
      </w:r>
      <w:r>
        <w:rPr>
          <w:rFonts w:ascii="Arial" w:cs="Arial" w:eastAsia="Arial" w:hAnsi="Arial"/>
          <w:color w:val="3A4A5A"/>
          <w:sz w:val="22"/>
          <w:szCs w:val="22"/>
        </w:rPr>
        <w:t xml:space="preserve">Tenant placing an API gateway on the DMZ segment for token-authenticated access to internal microservices. Tenant placing a reverse proxy to consolidate multiple internal web applications behind a single FQDN and port. Tenant deploying a SIP proxy for VoIP connectivity without NAT traversal complications. Tenant deploying a full DNS resolver on the DMZ segment for health-aware service discovery across a distributed application.</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E" w:sz="1"/>
              <w:left w:val="single" w:color="0A5A4E" w:sz="1"/>
              <w:bottom w:val="single" w:color="0A5A4E" w:sz="1"/>
              <w:right w:val="single" w:color="0A5A4E" w:sz="1"/>
            </w:tcBorders>
            <w:shd w:fill="D4F0EA"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No source NAT on tunnel-to-DMZ path — real remote IP visible to DMZ proxy for application-layer control</w:t>
            </w:r>
          </w:p>
          <w:p>
            <w:pPr>
              <w:pStyle w:val="ListParagraph"/>
              <w:numPr>
                <w:ilvl w:val="0"/>
                <w:numId w:val="2"/>
              </w:numPr>
              <w:spacing w:after="60"/>
            </w:pPr>
            <w:r>
              <w:rPr>
                <w:rFonts w:ascii="Arial" w:cs="Arial" w:eastAsia="Arial" w:hAnsi="Arial"/>
                <w:color w:val="3A4A5A"/>
                <w:sz w:val="20"/>
                <w:szCs w:val="20"/>
              </w:rPr>
              <w:t xml:space="preserve">Protocol transparency — NAT-sensitive protocols operate correctly through a DMZ-resident proxy</w:t>
            </w:r>
          </w:p>
          <w:p>
            <w:pPr>
              <w:pStyle w:val="ListParagraph"/>
              <w:numPr>
                <w:ilvl w:val="0"/>
                <w:numId w:val="2"/>
              </w:numPr>
              <w:spacing w:after="60"/>
            </w:pPr>
            <w:r>
              <w:rPr>
                <w:rFonts w:ascii="Arial" w:cs="Arial" w:eastAsia="Arial" w:hAnsi="Arial"/>
                <w:color w:val="3A4A5A"/>
                <w:sz w:val="20"/>
                <w:szCs w:val="20"/>
              </w:rPr>
              <w:t xml:space="preserve">Full internal DNS environment — SRV, multi-A, health-aware, service discovery beyond static A-record rewrite</w:t>
            </w:r>
          </w:p>
          <w:p>
            <w:pPr>
              <w:pStyle w:val="ListParagraph"/>
              <w:numPr>
                <w:ilvl w:val="0"/>
                <w:numId w:val="2"/>
              </w:numPr>
              <w:spacing w:after="60"/>
            </w:pPr>
            <w:r>
              <w:rPr>
                <w:rFonts w:ascii="Arial" w:cs="Arial" w:eastAsia="Arial" w:hAnsi="Arial"/>
                <w:color w:val="3A4A5A"/>
                <w:sz w:val="20"/>
                <w:szCs w:val="20"/>
              </w:rPr>
              <w:t xml:space="preserve">Application-layer access control at the DMZ proxy — token validation, mTLS, rate limiting, path routing</w:t>
            </w:r>
          </w:p>
          <w:p>
            <w:pPr>
              <w:pStyle w:val="ListParagraph"/>
              <w:numPr>
                <w:ilvl w:val="0"/>
                <w:numId w:val="2"/>
              </w:numPr>
              <w:spacing w:after="60"/>
            </w:pPr>
            <w:r>
              <w:rPr>
                <w:rFonts w:ascii="Arial" w:cs="Arial" w:eastAsia="Arial" w:hAnsi="Arial"/>
                <w:color w:val="3A4A5A"/>
                <w:sz w:val="20"/>
                <w:szCs w:val="20"/>
              </w:rPr>
              <w:t xml:space="preserve">Multi-service fan-out via SNI or Host header — single port serves multiple internal services</w:t>
            </w:r>
          </w:p>
          <w:p>
            <w:pPr>
              <w:pStyle w:val="ListParagraph"/>
              <w:numPr>
                <w:ilvl w:val="0"/>
                <w:numId w:val="2"/>
              </w:numPr>
              <w:spacing w:after="60"/>
            </w:pPr>
            <w:r>
              <w:rPr>
                <w:rFonts w:ascii="Arial" w:cs="Arial" w:eastAsia="Arial" w:hAnsi="Arial"/>
                <w:color w:val="3A4A5A"/>
                <w:sz w:val="20"/>
                <w:szCs w:val="20"/>
              </w:rPr>
              <w:t xml:space="preserve">Escalation path from UC2/3/4 — additive to, not a replacement for, the standard SNAT/PNAT model</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pStyle w:val="Heading1"/>
        <w:shd w:fill="0F2744" w:val="clear"/>
        <w:spacing w:before="240" w:after="200"/>
      </w:pPr>
      <w:r>
        <w:rPr>
          <w:rFonts w:ascii="Arial" w:cs="Arial" w:eastAsia="Arial" w:hAnsi="Arial"/>
          <w:b/>
          <w:bCs/>
          <w:color w:val="FFFFFF"/>
          <w:sz w:val="36"/>
          <w:szCs w:val="36"/>
        </w:rPr>
        <w:t xml:space="preserve">5.  Compliance and Scale</w:t>
      </w:r>
    </w:p>
    <w:p>
      <w:pPr>
        <w:shd w:fill="4A2070" w:val="clear"/>
        <w:spacing w:before="320" w:after="160"/>
      </w:pPr>
      <w:r>
        <w:rPr>
          <w:rFonts w:ascii="Arial" w:cs="Arial" w:eastAsia="Arial" w:hAnsi="Arial"/>
          <w:b/>
          <w:bCs/>
          <w:color w:val="FFFFFF"/>
          <w:sz w:val="32"/>
          <w:szCs w:val="32"/>
        </w:rPr>
        <w:t xml:space="preserve">UC7  </w:t>
      </w:r>
      <w:r>
        <w:rPr>
          <w:rFonts w:ascii="Arial" w:cs="Arial" w:eastAsia="Arial" w:hAnsi="Arial"/>
          <w:color w:val="FFFFFF"/>
          <w:sz w:val="28"/>
          <w:szCs w:val="28"/>
        </w:rPr>
        <w:t xml:space="preserve">Compliance and Forensic Attribution</w:t>
      </w:r>
    </w:p>
    <w:p>
      <w:pPr>
        <w:spacing w:after="140"/>
      </w:pPr>
      <w:r>
        <w:rPr>
          <w:rFonts w:ascii="Arial" w:cs="Arial" w:eastAsia="Arial" w:hAnsi="Arial"/>
          <w:color w:val="0F1923"/>
          <w:sz w:val="22"/>
          <w:szCs w:val="22"/>
        </w:rPr>
        <w:t xml:space="preserve">Security operations and compliance teams require the ability to attribute every network event to a specific tenant directly from raw log data, without post-processing enrichment or cross-referencing against external lookup tables.</w:t>
      </w:r>
    </w:p>
    <w:p>
      <w:pPr>
        <w:spacing w:after="140"/>
      </w:pPr>
      <w:r>
        <w:rPr>
          <w:rFonts w:ascii="Arial" w:cs="Arial" w:eastAsia="Arial" w:hAnsi="Arial"/>
          <w:color w:val="0F1923"/>
          <w:sz w:val="22"/>
          <w:szCs w:val="22"/>
        </w:rPr>
        <w:t xml:space="preserve">Every log event produced by the platform contains three independent fields that unambiguously identify the originating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Log field</w:t>
            </w:r>
          </w:p>
        </w:tc>
        <w:tc>
          <w:tcPr>
            <w:tcW w:type="dxa" w:w="26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456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Attribution mechanism</w:t>
            </w:r>
          </w:p>
        </w:tc>
      </w:tr>
      <w:tr>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Source zone</w:t>
            </w:r>
          </w:p>
        </w:tc>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 zone name</w:t>
            </w:r>
          </w:p>
        </w:tc>
        <w:tc>
          <w:tcPr>
            <w:tcW w:type="dxa" w:w="4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Zone name is unique to one tenant. Every packet entering the platform from this tenant crosses this zone boundary. The zone name is present in every log event at the inbound boundary.</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NAT source address</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SNAT inbound identity</w:t>
            </w:r>
          </w:p>
        </w:tc>
        <w:tc>
          <w:tcPr>
            <w:tcW w:type="dxa" w:w="4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Tenant-exclusive IP address assigned at provisioning. No two tenants share a SNAT identity. All inbound traffic from this tenant carries this value as the post-NAT source.</w:t>
            </w:r>
          </w:p>
        </w:tc>
      </w:tr>
      <w:tr>
        <w:tc>
          <w:tcPr>
            <w:tcW w:type="dxa" w:w="22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Rule name</w:t>
            </w:r>
          </w:p>
        </w:tc>
        <w:tc>
          <w:tcPr>
            <w:tcW w:type="dxa" w:w="26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Per-tenant policy rule name</w:t>
            </w:r>
          </w:p>
        </w:tc>
        <w:tc>
          <w:tcPr>
            <w:tcW w:type="dxa" w:w="4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Security policy rule name encodes the tenant identity. A third independent attribution path requiring no cross-reference with any external data source.</w:t>
            </w:r>
          </w:p>
        </w:tc>
      </w:tr>
    </w:tbl>
    <w:p>
      <w:pPr>
        <w:spacing w:after="60"/>
      </w:pPr>
      <w:r>
        <w:rPr>
          <w:rFonts w:ascii="Arial" w:cs="Arial" w:eastAsia="Arial" w:hAnsi="Arial"/>
          <w:color w:val="0F1923"/>
          <w:sz w:val="22"/>
          <w:szCs w:val="22"/>
        </w:rPr>
        <w:t xml:space="preserve"/>
      </w:r>
    </w:p>
    <w:p>
      <w:pPr>
        <w:spacing w:after="140"/>
      </w:pPr>
      <w:r>
        <w:rPr>
          <w:rFonts w:ascii="Arial" w:cs="Arial" w:eastAsia="Arial" w:hAnsi="Arial"/>
          <w:color w:val="0F1923"/>
          <w:sz w:val="22"/>
          <w:szCs w:val="22"/>
        </w:rPr>
        <w:t xml:space="preserve">For interactive session use cases (UC4), the log record captures the full session duration — connection establishment, cumulative bytes transferred in each direction, and session termination — in addition to the standard connection event. This provides a complete interactive session audit record rather than a point-in-time connection log.</w:t>
      </w:r>
    </w:p>
    <w:p>
      <w:pPr>
        <w:spacing w:after="140"/>
      </w:pPr>
      <w:r>
        <w:rPr>
          <w:rFonts w:ascii="Arial" w:cs="Arial" w:eastAsia="Arial" w:hAnsi="Arial"/>
          <w:color w:val="0F1923"/>
          <w:sz w:val="22"/>
          <w:szCs w:val="22"/>
        </w:rPr>
        <w:t xml:space="preserve">For DMZ use cases (UC6), the destination zone field identifies the specific tenant DMZ segment. For outbound flows from the intranet to the remote tenant, the SNAT outbound identity provides symmetric attribution in the reverse direction. The attribution model is consistent and complete in both directions across all use cases.</w:t>
      </w:r>
    </w:p>
    <w:p>
      <w:pPr>
        <w:spacing w:after="140"/>
      </w:pPr>
      <w:r>
        <w:rPr>
          <w:rFonts w:ascii="Arial" w:cs="Arial" w:eastAsia="Arial" w:hAnsi="Arial"/>
          <w:color w:val="0F1923"/>
          <w:sz w:val="22"/>
          <w:szCs w:val="22"/>
        </w:rPr>
        <w:t xml:space="preserve">Per-tenant log forwarding delivers structured log events that include the tenant identity directly in the event body. These events can be ingested into a SIEM platform without enrichment pipelines or reference table lookups.</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70" w:sz="1"/>
              <w:left w:val="single" w:color="4A2070" w:sz="1"/>
              <w:bottom w:val="single" w:color="4A2070" w:sz="1"/>
              <w:right w:val="single" w:color="4A2070" w:sz="1"/>
            </w:tcBorders>
            <w:shd w:fill="EEE0FF"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Three independent attribution fields in every log event — zone, SNAT identity, rule name</w:t>
            </w:r>
          </w:p>
          <w:p>
            <w:pPr>
              <w:pStyle w:val="ListParagraph"/>
              <w:numPr>
                <w:ilvl w:val="0"/>
                <w:numId w:val="2"/>
              </w:numPr>
              <w:spacing w:after="60"/>
            </w:pPr>
            <w:r>
              <w:rPr>
                <w:rFonts w:ascii="Arial" w:cs="Arial" w:eastAsia="Arial" w:hAnsi="Arial"/>
                <w:color w:val="3A4A5A"/>
                <w:sz w:val="20"/>
                <w:szCs w:val="20"/>
              </w:rPr>
              <w:t xml:space="preserve">No post-processing enrichment required — all attribution fields present in raw log data</w:t>
            </w:r>
          </w:p>
          <w:p>
            <w:pPr>
              <w:pStyle w:val="ListParagraph"/>
              <w:numPr>
                <w:ilvl w:val="0"/>
                <w:numId w:val="2"/>
              </w:numPr>
              <w:spacing w:after="60"/>
            </w:pPr>
            <w:r>
              <w:rPr>
                <w:rFonts w:ascii="Arial" w:cs="Arial" w:eastAsia="Arial" w:hAnsi="Arial"/>
                <w:color w:val="3A4A5A"/>
                <w:sz w:val="20"/>
                <w:szCs w:val="20"/>
              </w:rPr>
              <w:t xml:space="preserve">No two tenants share any attribution field value — attribution is unambiguous</w:t>
            </w:r>
          </w:p>
          <w:p>
            <w:pPr>
              <w:pStyle w:val="ListParagraph"/>
              <w:numPr>
                <w:ilvl w:val="0"/>
                <w:numId w:val="2"/>
              </w:numPr>
              <w:spacing w:after="60"/>
            </w:pPr>
            <w:r>
              <w:rPr>
                <w:rFonts w:ascii="Arial" w:cs="Arial" w:eastAsia="Arial" w:hAnsi="Arial"/>
                <w:color w:val="3A4A5A"/>
                <w:sz w:val="20"/>
                <w:szCs w:val="20"/>
              </w:rPr>
              <w:t xml:space="preserve">Session-duration records for interactive session use cases (UC4)</w:t>
            </w:r>
          </w:p>
          <w:p>
            <w:pPr>
              <w:pStyle w:val="ListParagraph"/>
              <w:numPr>
                <w:ilvl w:val="0"/>
                <w:numId w:val="2"/>
              </w:numPr>
              <w:spacing w:after="60"/>
            </w:pPr>
            <w:r>
              <w:rPr>
                <w:rFonts w:ascii="Arial" w:cs="Arial" w:eastAsia="Arial" w:hAnsi="Arial"/>
                <w:color w:val="3A4A5A"/>
                <w:sz w:val="20"/>
                <w:szCs w:val="20"/>
              </w:rPr>
              <w:t xml:space="preserve">Symmetric attribution in both inbound and outbound directions</w:t>
            </w:r>
          </w:p>
          <w:p>
            <w:pPr>
              <w:pStyle w:val="ListParagraph"/>
              <w:numPr>
                <w:ilvl w:val="0"/>
                <w:numId w:val="2"/>
              </w:numPr>
              <w:spacing w:after="60"/>
            </w:pPr>
            <w:r>
              <w:rPr>
                <w:rFonts w:ascii="Arial" w:cs="Arial" w:eastAsia="Arial" w:hAnsi="Arial"/>
                <w:color w:val="3A4A5A"/>
                <w:sz w:val="20"/>
                <w:szCs w:val="20"/>
              </w:rPr>
              <w:t xml:space="preserve">Structured tenant identity fields in log events for direct SIEM ingestion</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hd w:fill="4A2070" w:val="clear"/>
        <w:spacing w:before="320" w:after="160"/>
      </w:pPr>
      <w:r>
        <w:rPr>
          <w:rFonts w:ascii="Arial" w:cs="Arial" w:eastAsia="Arial" w:hAnsi="Arial"/>
          <w:b/>
          <w:bCs/>
          <w:color w:val="FFFFFF"/>
          <w:sz w:val="32"/>
          <w:szCs w:val="32"/>
        </w:rPr>
        <w:t xml:space="preserve">UC8  </w:t>
      </w:r>
      <w:r>
        <w:rPr>
          <w:rFonts w:ascii="Arial" w:cs="Arial" w:eastAsia="Arial" w:hAnsi="Arial"/>
          <w:color w:val="FFFFFF"/>
          <w:sz w:val="28"/>
          <w:szCs w:val="28"/>
        </w:rPr>
        <w:t xml:space="preserve">Scale and High Availability</w:t>
      </w:r>
    </w:p>
    <w:p>
      <w:pPr>
        <w:spacing w:after="140"/>
      </w:pPr>
      <w:r>
        <w:rPr>
          <w:rFonts w:ascii="Arial" w:cs="Arial" w:eastAsia="Arial" w:hAnsi="Arial"/>
          <w:color w:val="0F1923"/>
          <w:sz w:val="22"/>
          <w:szCs w:val="22"/>
        </w:rPr>
        <w:t xml:space="preserve">The platform supports up to 1,000 concurrent tenant connections, delivering consistent connectivity properties — tunnel integrity, addressing concealment, DNS rewriting, DMZ isolation, and forensic attribution — to every tenant simultaneously, without degradation as the tenant population grows.</w:t>
      </w:r>
    </w:p>
    <w:p>
      <w:pPr>
        <w:pStyle w:val="Heading3"/>
        <w:spacing w:before="180" w:after="80"/>
      </w:pPr>
      <w:r>
        <w:rPr>
          <w:rFonts w:ascii="Arial" w:cs="Arial" w:eastAsia="Arial" w:hAnsi="Arial"/>
          <w:b/>
          <w:bCs/>
          <w:color w:val="1A5EA8"/>
          <w:sz w:val="22"/>
          <w:szCs w:val="22"/>
        </w:rPr>
        <w:t xml:space="preserve">High availability</w:t>
      </w:r>
    </w:p>
    <w:p>
      <w:pPr>
        <w:spacing w:after="140"/>
      </w:pPr>
      <w:r>
        <w:rPr>
          <w:rFonts w:ascii="Arial" w:cs="Arial" w:eastAsia="Arial" w:hAnsi="Arial"/>
          <w:color w:val="0F1923"/>
          <w:sz w:val="22"/>
          <w:szCs w:val="22"/>
        </w:rPr>
        <w:t xml:space="preserve">The platform operates as an Active/Passive high-availability pair. The passive node maintains a continuously synchronised copy of all session state, tunnel security associations, address translation tables, and routing tables. On failover, the passive node assumes the active role and all tenant tunnels continue without re-negotiation.</w:t>
      </w:r>
    </w:p>
    <w:p>
      <w:pPr>
        <w:spacing w:after="140"/>
      </w:pPr>
      <w:r>
        <w:rPr>
          <w:rFonts w:ascii="Arial" w:cs="Arial" w:eastAsia="Arial" w:hAnsi="Arial"/>
          <w:color w:val="0F1923"/>
          <w:sz w:val="22"/>
          <w:szCs w:val="22"/>
        </w:rPr>
        <w:t xml:space="preserve">Tunnel continuity on failover is guaranteed by the loopback-anchored IKE identity model. Because each tenant's IKE identity is bound to a loopback address rather than a physical interface, the passive node assumes that identity at failover and the remote gateway perceives no endpoint change. No tenant requires a re-negotiation event. All 1,000 tunnels remain established through the failover.</w:t>
      </w:r>
    </w:p>
    <w:p>
      <w:pPr>
        <w:pStyle w:val="Heading3"/>
        <w:spacing w:before="180" w:after="80"/>
      </w:pPr>
      <w:r>
        <w:rPr>
          <w:rFonts w:ascii="Arial" w:cs="Arial" w:eastAsia="Arial" w:hAnsi="Arial"/>
          <w:b/>
          <w:bCs/>
          <w:color w:val="1A5EA8"/>
          <w:sz w:val="22"/>
          <w:szCs w:val="22"/>
        </w:rPr>
        <w:t xml:space="preserve">Isolation at scale</w:t>
      </w:r>
    </w:p>
    <w:p>
      <w:pPr>
        <w:spacing w:after="140"/>
      </w:pPr>
      <w:r>
        <w:rPr>
          <w:rFonts w:ascii="Arial" w:cs="Arial" w:eastAsia="Arial" w:hAnsi="Arial"/>
          <w:color w:val="0F1923"/>
          <w:sz w:val="22"/>
          <w:szCs w:val="22"/>
        </w:rPr>
        <w:t xml:space="preserve">The isolation properties that apply to a single tenant — dedicated tunnel, dedicated SNAT identities, dedicated routing context, dedicated zone boundaries, dedicated DNS proxy — apply to every tenant simultaneously. Adding tenants does not weaken the isolation properties of existing tenants. The platform does not share transport, addressing, routing state, or DNS resolution context between tenants at any scale.</w:t>
      </w:r>
    </w:p>
    <w:p>
      <w:pPr>
        <w:pStyle w:val="Heading3"/>
        <w:spacing w:before="180" w:after="80"/>
      </w:pPr>
      <w:r>
        <w:rPr>
          <w:rFonts w:ascii="Arial" w:cs="Arial" w:eastAsia="Arial" w:hAnsi="Arial"/>
          <w:b/>
          <w:bCs/>
          <w:color w:val="1A5EA8"/>
          <w:sz w:val="22"/>
          <w:szCs w:val="22"/>
        </w:rPr>
        <w:t xml:space="preserve">Capacity</w:t>
      </w:r>
    </w:p>
    <w:p>
      <w:pPr>
        <w:spacing w:after="140"/>
      </w:pPr>
      <w:r>
        <w:rPr>
          <w:rFonts w:ascii="Arial" w:cs="Arial" w:eastAsia="Arial" w:hAnsi="Arial"/>
          <w:color w:val="0F1923"/>
          <w:sz w:val="22"/>
          <w:szCs w:val="22"/>
        </w:rPr>
        <w:t xml:space="preserve">Each tenant is assigned its own IP addressing from managed address pools. Address uniqueness across all tenants is enforced — no two tenants receive overlapping SNAT identities, tunnel addressing, or DMZ prefixes. Address pool capacity is monitored and an early warning threshold is enforced before any pool approaches exhaustion.</w:t>
      </w:r>
    </w:p>
    <w:p>
      <w:pPr>
        <w:pBdr>
          <w:left w:val="single" w:color="6A7A8A" w:sz="16" w:space="4"/>
        </w:pBdr>
        <w:shd w:fill="F2F4F7" w:val="clear"/>
        <w:spacing w:before="80" w:after="120"/>
        <w:ind w:left="720"/>
      </w:pPr>
      <w:r>
        <w:rPr>
          <w:rFonts w:ascii="Arial" w:cs="Arial" w:eastAsia="Arial" w:hAnsi="Arial"/>
          <w:b/>
          <w:bCs/>
          <w:color w:val="6A7A8A"/>
          <w:sz w:val="22"/>
          <w:szCs w:val="22"/>
        </w:rPr>
        <w:t xml:space="preserve">Examples: </w:t>
      </w:r>
      <w:r>
        <w:rPr>
          <w:rFonts w:ascii="Arial" w:cs="Arial" w:eastAsia="Arial" w:hAnsi="Arial"/>
          <w:color w:val="3A4A5A"/>
          <w:sz w:val="22"/>
          <w:szCs w:val="22"/>
        </w:rPr>
        <w:t xml:space="preserve">1,000 partner organisations each with an active IPsec tunnel, SNAT inbound identity, DNS proxy, and per-tenant zone boundary — all operating simultaneously with independent isolation and attribution properties.</w:t>
      </w:r>
    </w:p>
    <w:p>
      <w:pPr>
        <w:spacing w:after="60"/>
      </w:pPr>
      <w:r>
        <w:rPr>
          <w:rFonts w:ascii="Arial" w:cs="Arial" w:eastAsia="Arial" w:hAnsi="Arial"/>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70" w:sz="1"/>
              <w:left w:val="single" w:color="4A2070" w:sz="1"/>
              <w:bottom w:val="single" w:color="4A2070" w:sz="1"/>
              <w:right w:val="single" w:color="4A2070" w:sz="1"/>
            </w:tcBorders>
            <w:shd w:fill="EEE0FF" w:val="clear"/>
            <w:tcMar>
              <w:top w:type="dxa" w:w="120"/>
              <w:left w:type="dxa" w:w="200"/>
              <w:bottom w:type="dxa" w:w="120"/>
              <w:right w:type="dxa" w:w="200"/>
            </w:tcMar>
          </w:tcPr>
          <w:p>
            <w:pPr>
              <w:spacing w:after="80"/>
            </w:pPr>
            <w:r>
              <w:rPr>
                <w:rFonts w:ascii="Arial" w:cs="Arial" w:eastAsia="Arial" w:hAnsi="Arial"/>
                <w:b/>
                <w:bCs/>
                <w:color w:val="0F2744"/>
                <w:sz w:val="20"/>
                <w:szCs w:val="20"/>
              </w:rPr>
              <w:t xml:space="preserve">Key Properties</w:t>
            </w:r>
          </w:p>
          <w:p>
            <w:pPr>
              <w:pStyle w:val="ListParagraph"/>
              <w:numPr>
                <w:ilvl w:val="0"/>
                <w:numId w:val="2"/>
              </w:numPr>
              <w:spacing w:after="60"/>
            </w:pPr>
            <w:r>
              <w:rPr>
                <w:rFonts w:ascii="Arial" w:cs="Arial" w:eastAsia="Arial" w:hAnsi="Arial"/>
                <w:color w:val="3A4A5A"/>
                <w:sz w:val="20"/>
                <w:szCs w:val="20"/>
              </w:rPr>
              <w:t xml:space="preserve">Up to 1,000 concurrent tenant connections with consistent isolation and attribution properties</w:t>
            </w:r>
          </w:p>
          <w:p>
            <w:pPr>
              <w:pStyle w:val="ListParagraph"/>
              <w:numPr>
                <w:ilvl w:val="0"/>
                <w:numId w:val="2"/>
              </w:numPr>
              <w:spacing w:after="60"/>
            </w:pPr>
            <w:r>
              <w:rPr>
                <w:rFonts w:ascii="Arial" w:cs="Arial" w:eastAsia="Arial" w:hAnsi="Arial"/>
                <w:color w:val="3A4A5A"/>
                <w:sz w:val="20"/>
                <w:szCs w:val="20"/>
              </w:rPr>
              <w:t xml:space="preserve">HA failover transparent to all tunnels simultaneously — loopback-anchored IKE guarantees no re-negotiation</w:t>
            </w:r>
          </w:p>
          <w:p>
            <w:pPr>
              <w:pStyle w:val="ListParagraph"/>
              <w:numPr>
                <w:ilvl w:val="0"/>
                <w:numId w:val="2"/>
              </w:numPr>
              <w:spacing w:after="60"/>
            </w:pPr>
            <w:r>
              <w:rPr>
                <w:rFonts w:ascii="Arial" w:cs="Arial" w:eastAsia="Arial" w:hAnsi="Arial"/>
                <w:color w:val="3A4A5A"/>
                <w:sz w:val="20"/>
                <w:szCs w:val="20"/>
              </w:rPr>
              <w:t xml:space="preserve">Isolation properties constant regardless of tenant population — adding tenants does not weaken existing tenants</w:t>
            </w:r>
          </w:p>
          <w:p>
            <w:pPr>
              <w:pStyle w:val="ListParagraph"/>
              <w:numPr>
                <w:ilvl w:val="0"/>
                <w:numId w:val="2"/>
              </w:numPr>
              <w:spacing w:after="60"/>
            </w:pPr>
            <w:r>
              <w:rPr>
                <w:rFonts w:ascii="Arial" w:cs="Arial" w:eastAsia="Arial" w:hAnsi="Arial"/>
                <w:color w:val="3A4A5A"/>
                <w:sz w:val="20"/>
                <w:szCs w:val="20"/>
              </w:rPr>
              <w:t xml:space="preserve">Address uniqueness enforced across all tenants — no overlapping SNAT identities or DMZ prefixes</w:t>
            </w:r>
          </w:p>
          <w:p>
            <w:pPr>
              <w:pStyle w:val="ListParagraph"/>
              <w:numPr>
                <w:ilvl w:val="0"/>
                <w:numId w:val="2"/>
              </w:numPr>
              <w:spacing w:after="60"/>
            </w:pPr>
            <w:r>
              <w:rPr>
                <w:rFonts w:ascii="Arial" w:cs="Arial" w:eastAsia="Arial" w:hAnsi="Arial"/>
                <w:color w:val="3A4A5A"/>
                <w:sz w:val="20"/>
                <w:szCs w:val="20"/>
              </w:rPr>
              <w:t xml:space="preserve">Capacity monitoring with early warning threshold before pool exhaustion</w:t>
            </w:r>
          </w:p>
        </w:tc>
      </w:tr>
    </w:tbl>
    <w:p>
      <w:pPr>
        <w:spacing w:after="60"/>
      </w:pPr>
      <w:r>
        <w:rPr>
          <w:rFonts w:ascii="Arial" w:cs="Arial" w:eastAsia="Arial" w:hAnsi="Arial"/>
          <w:color w:val="0F1923"/>
          <w:sz w:val="22"/>
          <w:szCs w:val="22"/>
        </w:rPr>
        <w:t xml:space="preserve"/>
      </w:r>
    </w:p>
    <w:p>
      <w:pPr>
        <w:spacing w:after="60"/>
      </w:pPr>
      <w:r>
        <w:rPr>
          <w:rFonts w:ascii="Arial" w:cs="Arial" w:eastAsia="Arial" w:hAnsi="Arial"/>
          <w:color w:val="0F1923"/>
          <w:sz w:val="22"/>
          <w:szCs w:val="22"/>
        </w:rPr>
        <w:t xml:space="preserve"/>
      </w:r>
    </w:p>
    <w:p>
      <w:pPr>
        <w:spacing w:after="0"/>
      </w:pPr>
      <w:r>
        <w:br w:type="page"/>
      </w:r>
    </w:p>
    <w:p>
      <w:pPr>
        <w:pStyle w:val="Heading1"/>
        <w:shd w:fill="0F2744" w:val="clear"/>
        <w:spacing w:before="240" w:after="200"/>
      </w:pPr>
      <w:r>
        <w:rPr>
          <w:rFonts w:ascii="Arial" w:cs="Arial" w:eastAsia="Arial" w:hAnsi="Arial"/>
          <w:b/>
          <w:bCs/>
          <w:color w:val="FFFFFF"/>
          <w:sz w:val="36"/>
          <w:szCs w:val="36"/>
        </w:rPr>
        <w:t xml:space="preserve">6.  Platform-Wide Guarantees</w:t>
      </w:r>
    </w:p>
    <w:p>
      <w:pPr>
        <w:spacing w:after="140"/>
      </w:pPr>
      <w:r>
        <w:rPr>
          <w:rFonts w:ascii="Arial" w:cs="Arial" w:eastAsia="Arial" w:hAnsi="Arial"/>
          <w:color w:val="0F1923"/>
          <w:sz w:val="22"/>
          <w:szCs w:val="22"/>
        </w:rPr>
        <w:t xml:space="preserve">The following properties apply across all use cases. They are platform-wide guarantees, not per-use-case options. They hold for every tenant, at every scale, in both the active and passive high-availability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Guarantee</w:t>
            </w:r>
          </w:p>
        </w:tc>
        <w:tc>
          <w:tcPr>
            <w:tcW w:type="dxa" w:w="6560"/>
            <w:tcBorders>
              <w:top w:val="single" w:color="2E7DD4" w:sz="1"/>
              <w:left w:val="single" w:color="2E7DD4" w:sz="1"/>
              <w:bottom w:val="single" w:color="2E7DD4" w:sz="1"/>
              <w:right w:val="single" w:color="2E7DD4" w:sz="1"/>
            </w:tcBorders>
            <w:shd w:fill="0F274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Bidirectional addressing concealment</w:t>
            </w:r>
          </w:p>
        </w:tc>
        <w:tc>
          <w:tcPr>
            <w:tcW w:type="dxa" w:w="6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Source NAT is applied in both directions at the platform boundary. Remote hosts never see real internal addressing. Internal hosts never see real remote addressing. The SNAT identities are the only addressing either party observes.</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Tenant routing isolation</w:t>
            </w:r>
          </w:p>
        </w:tc>
        <w:tc>
          <w:tcPr>
            <w:tcW w:type="dxa" w:w="6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Each tenant operates in a dedicated routing context. No cross-tenant routing is possible regardless of whether tenant networks use overlapping address ranges. Routing isolation is enforced at the platform level — it does not depend on tenants having unique addressing.</w:t>
            </w:r>
          </w:p>
        </w:tc>
      </w:tr>
      <w:tr>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Zone-level audit boundary</w:t>
            </w:r>
          </w:p>
        </w:tc>
        <w:tc>
          <w:tcPr>
            <w:tcW w:type="dxa" w:w="6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Every tenant has dedicated security zone boundaries at its data plane ingress and, where a DMZ is provisioned, at its DMZ boundary. Every packet entering or leaving the tenant's data plane crosses a zone boundary that is exclusive to that tenant. This boundary is present in every log event.</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No source NAT on DMZ path</w:t>
            </w:r>
          </w:p>
        </w:tc>
        <w:tc>
          <w:tcPr>
            <w:tcW w:type="dxa" w:w="6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Traffic from a tenant's tunnel to its DMZ segment is delivered without source NAT. The remote host's real IP is preserved end-to-end within the DMZ. This is a hard property of the platform — it is required for routing protocol operation and application-layer access control in the DMZ use cases.</w:t>
            </w:r>
          </w:p>
        </w:tc>
      </w:tr>
      <w:tr>
        <w:tc>
          <w:tcPr>
            <w:tcW w:type="dxa" w:w="280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bCs/>
                <w:color w:val="0F1923"/>
                <w:sz w:val="20"/>
                <w:szCs w:val="20"/>
              </w:rPr>
              <w:t xml:space="preserve">Consistent properties at scale</w:t>
            </w:r>
          </w:p>
        </w:tc>
        <w:tc>
          <w:tcPr>
            <w:tcW w:type="dxa" w:w="6560"/>
            <w:tcBorders>
              <w:top w:val="single" w:color="C8D4E0" w:sz="1"/>
              <w:left w:val="single" w:color="C8D4E0" w:sz="1"/>
              <w:bottom w:val="single" w:color="C8D4E0" w:sz="1"/>
              <w:right w:val="single" w:color="C8D4E0" w:sz="1"/>
            </w:tcBorders>
            <w:shd w:fill="F2F4F7" w:val="clear"/>
            <w:tcMar>
              <w:top w:type="dxa" w:w="80"/>
              <w:left w:type="dxa" w:w="120"/>
              <w:bottom w:type="dxa" w:w="80"/>
              <w:right w:type="dxa" w:w="120"/>
            </w:tcMar>
            <w:vAlign w:val="top"/>
          </w:tcPr>
          <w:p>
            <w:pPr>
              <w:spacing w:after="0"/>
            </w:pPr>
            <w:r>
              <w:rPr>
                <w:rFonts w:ascii="Arial" w:cs="Arial" w:eastAsia="Arial" w:hAnsi="Arial"/>
                <w:b w:val="false"/>
                <w:bCs w:val="false"/>
                <w:color w:val="0F1923"/>
                <w:sz w:val="20"/>
                <w:szCs w:val="20"/>
              </w:rPr>
              <w:t xml:space="preserve">All of the above guarantees apply equally at 1 tenant and at 1,000 tenants. The platform's isolation, concealment, attribution, and availability properties do not degrade as the tenant population grows.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D4" w:sz="4" w:space="1"/>
      </w:pBdr>
      <w:tabs>
        <w:tab w:val="right" w:pos="9026"/>
      </w:tabs>
      <w:spacing w:before="120"/>
    </w:pPr>
    <w:r>
      <w:rPr>
        <w:rFonts w:ascii="Arial" w:cs="Arial" w:eastAsia="Arial" w:hAnsi="Arial"/>
        <w:color w:val="6A7A8A"/>
        <w:sz w:val="18"/>
        <w:szCs w:val="18"/>
      </w:rPr>
      <w:t xml:space="preserve">Architecture &amp; Engineering</w:t>
    </w:r>
    <w: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D4" w:sz="4" w:space="1"/>
      </w:pBdr>
      <w:tabs>
        <w:tab w:val="right" w:pos="9026"/>
      </w:tabs>
      <w:spacing w:after="120"/>
    </w:pPr>
    <w:r>
      <w:rPr>
        <w:rFonts w:ascii="Arial" w:cs="Arial" w:eastAsia="Arial" w:hAnsi="Arial"/>
        <w:color w:val="1A5EA8"/>
        <w:sz w:val="18"/>
        <w:szCs w:val="18"/>
      </w:rPr>
      <w:t xml:space="preserve">PA-5400 Multi-Tenant Platform — Use Case Catalogue</w:t>
    </w:r>
    <w:r>
      <w:t xml:space="preserve">	</w:t>
    </w:r>
    <w:r>
      <w:rPr>
        <w:rFonts w:ascii="Arial" w:cs="Arial" w:eastAsia="Arial" w:hAnsi="Arial"/>
        <w:b/>
        <w:bCs/>
        <w:color w:val="6A7A8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9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F2744" w:val="clear"/>
      <w:spacing w:before="24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274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5E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2026-03-03T23:04:24.558Z</dcterms:created>
  <dcterms:modified xsi:type="dcterms:W3CDTF">2026-03-03T23:04:24.559Z</dcterms:modified>
</cp:coreProperties>
</file>

<file path=docProps/custom.xml><?xml version="1.0" encoding="utf-8"?>
<Properties xmlns="http://schemas.openxmlformats.org/officeDocument/2006/custom-properties" xmlns:vt="http://schemas.openxmlformats.org/officeDocument/2006/docPropsVTypes"/>
</file>