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80"/>
        <w:jc w:val="center"/>
      </w:pPr>
      <w:r>
        <w:rPr>
          <w:rFonts w:ascii="Arial" w:cs="Arial" w:eastAsia="Arial" w:hAnsi="Arial"/>
          <w:b/>
          <w:bCs/>
          <w:color w:val="1F3864"/>
          <w:sz w:val="48"/>
          <w:szCs w:val="48"/>
        </w:rPr>
        <w:t xml:space="preserve">THIRD-PARTY LANDING ZONE (3PLZ)</w:t>
      </w:r>
    </w:p>
    <w:p>
      <w:pPr>
        <w:spacing w:before="0" w:after="80"/>
        <w:jc w:val="center"/>
      </w:pPr>
      <w:r>
        <w:rPr>
          <w:rFonts w:ascii="Arial" w:cs="Arial" w:eastAsia="Arial" w:hAnsi="Arial"/>
          <w:b/>
          <w:bCs/>
          <w:color w:val="2E75B6"/>
          <w:sz w:val="36"/>
          <w:szCs w:val="36"/>
        </w:rPr>
        <w:t xml:space="preserve">Secure Access Edge Platform</w:t>
      </w:r>
    </w:p>
    <w:p>
      <w:pPr>
        <w:pBdr>
          <w:bottom w:val="single" w:color="2E75B6" w:sz="6" w:space="1"/>
        </w:pBdr>
        <w:spacing w:before="120" w:after="120"/>
      </w:pPr>
    </w:p>
    <w:p>
      <w:pPr>
        <w:spacing w:before="120" w:after="40"/>
        <w:jc w:val="center"/>
      </w:pPr>
      <w:r>
        <w:rPr>
          <w:rFonts w:ascii="Arial" w:cs="Arial" w:eastAsia="Arial" w:hAnsi="Arial"/>
          <w:b/>
          <w:bCs/>
          <w:color w:val="C55A11"/>
          <w:sz w:val="44"/>
          <w:szCs w:val="44"/>
        </w:rPr>
        <w:t xml:space="preserve">F5 DISTRIBUTED CLOUD</w:t>
      </w:r>
    </w:p>
    <w:p>
      <w:pPr>
        <w:spacing w:before="0" w:after="40"/>
        <w:jc w:val="center"/>
      </w:pPr>
      <w:r>
        <w:rPr>
          <w:rFonts w:ascii="Arial" w:cs="Arial" w:eastAsia="Arial" w:hAnsi="Arial"/>
          <w:b/>
          <w:bCs/>
          <w:color w:val="404040"/>
          <w:sz w:val="28"/>
          <w:szCs w:val="28"/>
        </w:rPr>
        <w:t xml:space="preserve">POC Deliverables &amp; Engineering Implementation Workflows</w:t>
      </w:r>
    </w:p>
    <w:p>
      <w:pPr>
        <w:spacing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POC Specification &amp; Engineering Workflow</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CVS Health — Third-Party Landing Zone (3PLZ)</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 Distributed Cloud (with Systems Integrator)</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POC Completion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June 30, 2026</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Self-Service 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September 30, 2026</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 — Restricted Distribution</w:t>
            </w:r>
          </w:p>
        </w:tc>
      </w:tr>
    </w:tbl>
    <w:p>
      <w:r>
        <w:br w:type="page"/>
      </w:r>
    </w:p>
    <w:p>
      <w:pPr>
        <w:pStyle w:val="Heading1"/>
        <w:spacing w:before="360" w:after="120"/>
      </w:pPr>
      <w:r>
        <w:rPr>
          <w:rFonts w:ascii="Arial" w:cs="Arial" w:eastAsia="Arial" w:hAnsi="Arial"/>
          <w:b/>
          <w:bCs/>
          <w:color w:val="1F3864"/>
          <w:sz w:val="32"/>
          <w:szCs w:val="32"/>
        </w:rPr>
        <w:t xml:space="preserve">1. Purpose and Context</w:t>
      </w:r>
    </w:p>
    <w:p>
      <w:pPr>
        <w:spacing w:before="60" w:after="120"/>
      </w:pPr>
      <w:r>
        <w:rPr>
          <w:rFonts w:ascii="Arial" w:cs="Arial" w:eastAsia="Arial" w:hAnsi="Arial"/>
          <w:sz w:val="22"/>
          <w:szCs w:val="22"/>
        </w:rPr>
        <w:t xml:space="preserve">This document defines the proof-of-concept (POC) deliverables and engineering implementation workflows required from F5 Distributed Cloud and its designated systems integrator to demonstrate fitness for the CVS Health Third-Party Landing Zone (3PLZ) platform.</w:t>
      </w:r>
    </w:p>
    <w:p>
      <w:pPr>
        <w:spacing w:before="60" w:after="120"/>
      </w:pPr>
      <w:r>
        <w:rPr>
          <w:rFonts w:ascii="Arial" w:cs="Arial" w:eastAsia="Arial" w:hAnsi="Arial"/>
          <w:sz w:val="22"/>
          <w:szCs w:val="22"/>
        </w:rPr>
        <w:t xml:space="preserve">The POC is not a vendor demonstration. It is a structured capability proof against a defined functional specification. The GW Platform RC3 POC — an operationally validated multi-tenant secure access edge — serves as the functional baseline. F5 must demonstrate that equivalent or superior capability can be delivered on the F5 Distributed Cloud platform, implemented and operated by the integrator, with engineering workflows that form the foundation of the subsequent self-service delivery layer.</w:t>
      </w:r>
    </w:p>
    <w:p>
      <w:pPr>
        <w:spacing w:before="60" w:after="120"/>
      </w:pPr>
      <w:r>
        <w:rPr>
          <w:rFonts w:ascii="Arial" w:cs="Arial" w:eastAsia="Arial" w:hAnsi="Arial"/>
          <w:sz w:val="22"/>
          <w:szCs w:val="22"/>
        </w:rPr>
        <w:t xml:space="preserve">Every requirement in this document maps directly to a proven capability in the GW Platform POC. The acceptance criteria are derived from that baseline. Demonstrating capability in isolation is insufficient — the POC must prove that capabilities compose correctly in a multi-tenant context with genuine per-tenant isolation.</w:t>
      </w:r>
    </w:p>
    <w:p>
      <w:pPr>
        <w:pStyle w:val="Heading2"/>
        <w:spacing w:before="280" w:after="80"/>
      </w:pPr>
      <w:r>
        <w:rPr>
          <w:rFonts w:ascii="Arial" w:cs="Arial" w:eastAsia="Arial" w:hAnsi="Arial"/>
          <w:b/>
          <w:bCs/>
          <w:color w:val="2E75B6"/>
          <w:sz w:val="26"/>
          <w:szCs w:val="26"/>
        </w:rPr>
        <w:t xml:space="preserve">1.1 Evaluation Context</w:t>
      </w:r>
    </w:p>
    <w:p>
      <w:pPr>
        <w:spacing w:before="60" w:after="120"/>
      </w:pPr>
      <w:r>
        <w:rPr>
          <w:rFonts w:ascii="Arial" w:cs="Arial" w:eastAsia="Arial" w:hAnsi="Arial"/>
          <w:sz w:val="22"/>
          <w:szCs w:val="22"/>
        </w:rPr>
        <w:t xml:space="preserve">F5 Distributed Cloud is being evaluated in parallel with Cloudflare. Both vendors receive identical capability requirements and acceptance criteria. The evaluation is comparative and evidence-based. The vendor whose POC most completely and cleanly demonstrates the required capabilities — particularly per-tenant mTLS CA isolation, SSH managed access with credential vaulting, and per-tenant DNS segmentation — will be selected as the production platform.</w:t>
      </w:r>
    </w:p>
    <w:p>
      <w:pPr>
        <w:pStyle w:val="Heading2"/>
        <w:spacing w:before="280" w:after="80"/>
      </w:pPr>
      <w:r>
        <w:rPr>
          <w:rFonts w:ascii="Arial" w:cs="Arial" w:eastAsia="Arial" w:hAnsi="Arial"/>
          <w:b/>
          <w:bCs/>
          <w:color w:val="2E75B6"/>
          <w:sz w:val="26"/>
          <w:szCs w:val="26"/>
        </w:rPr>
        <w:t xml:space="preserve">1.2 POC Scope</w:t>
      </w:r>
    </w:p>
    <w:p>
      <w:pPr>
        <w:spacing w:before="60" w:after="120"/>
      </w:pPr>
      <w:r>
        <w:rPr>
          <w:rFonts w:ascii="Arial" w:cs="Arial" w:eastAsia="Arial" w:hAnsi="Arial"/>
          <w:sz w:val="22"/>
          <w:szCs w:val="22"/>
        </w:rPr>
        <w:t xml:space="preserve">The POC scope is bounded to the two traffic patterns confirmed by enterprise traffic analysis:</w:t>
      </w:r>
    </w:p>
    <w:p>
      <w:pPr>
        <w:pStyle w:val="ListParagraph"/>
        <w:numPr>
          <w:ilvl w:val="0"/>
          <w:numId w:val="2"/>
        </w:numPr>
        <w:spacing w:before="40" w:after="40"/>
      </w:pPr>
      <w:r>
        <w:rPr>
          <w:rFonts w:ascii="Arial" w:cs="Arial" w:eastAsia="Arial" w:hAnsi="Arial"/>
          <w:sz w:val="22"/>
          <w:szCs w:val="22"/>
        </w:rPr>
        <w:t xml:space="preserve">HTTPS/API — per-tenant mTLS termination proxy with tenant-scoped CA trust isolation, backend application credential concealment, and service-catalog-driven provisioning</w:t>
      </w:r>
    </w:p>
    <w:p>
      <w:pPr>
        <w:pStyle w:val="ListParagraph"/>
        <w:numPr>
          <w:ilvl w:val="0"/>
          <w:numId w:val="2"/>
        </w:numPr>
        <w:spacing w:before="40" w:after="40"/>
      </w:pPr>
      <w:r>
        <w:rPr>
          <w:rFonts w:ascii="Arial" w:cs="Arial" w:eastAsia="Arial" w:hAnsi="Arial"/>
          <w:sz w:val="22"/>
          <w:szCs w:val="22"/>
        </w:rPr>
        <w:t xml:space="preserve">SSH Managed Access — TOTP-authenticated SSH proxy with per-service ACL enforcement, transparent internal credential injection from a vaulted credential store, and full session attribution</w:t>
      </w:r>
    </w:p>
    <w:p>
      <w:pPr>
        <w:spacing w:before="60" w:after="120"/>
      </w:pPr>
      <w:r>
        <w:rPr>
          <w:rFonts w:ascii="Arial" w:cs="Arial" w:eastAsia="Arial" w:hAnsi="Arial"/>
          <w:sz w:val="22"/>
          <w:szCs w:val="22"/>
        </w:rPr>
        <w:t xml:space="preserve">The following are explicitly out of scope for the POC phase: VDI proxy, deep SFTP payload inspection, DLP inline integration, and internet-facing WAF capability. These may be addressed in subsequent platform phases.</w:t>
      </w:r>
    </w:p>
    <w:p>
      <w:r>
        <w:br w:type="page"/>
      </w:r>
    </w:p>
    <w:p>
      <w:pPr>
        <w:pStyle w:val="Heading1"/>
        <w:spacing w:before="360" w:after="120"/>
      </w:pPr>
      <w:r>
        <w:rPr>
          <w:rFonts w:ascii="Arial" w:cs="Arial" w:eastAsia="Arial" w:hAnsi="Arial"/>
          <w:b/>
          <w:bCs/>
          <w:color w:val="1F3864"/>
          <w:sz w:val="32"/>
          <w:szCs w:val="32"/>
        </w:rPr>
        <w:t xml:space="preserve">2. POC Capability Requirements</w:t>
      </w:r>
    </w:p>
    <w:p>
      <w:pPr>
        <w:spacing w:before="60" w:after="120"/>
      </w:pPr>
      <w:r>
        <w:rPr>
          <w:rFonts w:ascii="Arial" w:cs="Arial" w:eastAsia="Arial" w:hAnsi="Arial"/>
          <w:sz w:val="22"/>
          <w:szCs w:val="22"/>
        </w:rPr>
        <w:t xml:space="preserve">The following capabilities must be demonstrated during the POC. Each capability has defined acceptance criteria derived from the GW Platform functional specification. Partial demonstrations or capability-in-isolation demonstrations do not satisfy acceptance criteria — all capabilities must operate simultaneously across a minimum of five concurrent tenants.</w:t>
      </w:r>
    </w:p>
    <w:p>
      <w:pPr>
        <w:pStyle w:val="Heading2"/>
        <w:spacing w:before="280" w:after="80"/>
      </w:pPr>
      <w:r>
        <w:rPr>
          <w:rFonts w:ascii="Arial" w:cs="Arial" w:eastAsia="Arial" w:hAnsi="Arial"/>
          <w:b/>
          <w:bCs/>
          <w:color w:val="2E75B6"/>
          <w:sz w:val="26"/>
          <w:szCs w:val="26"/>
        </w:rPr>
        <w:t xml:space="preserve">2.1 Capability CR-01: Per-Tenant mTLS Termination with CA Isolation</w:t>
      </w:r>
    </w:p>
    <w:p>
      <w:pPr>
        <w:spacing w:before="60" w:after="120"/>
      </w:pPr>
      <w:r>
        <w:rPr>
          <w:rFonts w:ascii="Arial" w:cs="Arial" w:eastAsia="Arial" w:hAnsi="Arial"/>
          <w:sz w:val="22"/>
          <w:szCs w:val="22"/>
        </w:rPr>
        <w:t xml:space="preserve">This is the primary differentiating capability. The F5 platform must demonstrate that mTLS termination is genuinely per-tenant at the CA trust level — not a shared platform CA with per-tenant certificate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tenant must have a dedicated intermediate CA. The CA private key must be scoped to that tenant and must not be accessible to any other tenant context.</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Demonstrate five tenants with five independent CA chains. Show that a certificate issued under Tenant A CA is rejected by Tenant B proxy listener.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 presents a client certificate issued by the tenant intermediate CA. F5 validates the certificate against that tenant's CA chain before proxying the request.</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Successful connection with valid cert. Connection rejected with cert from wrong CA. Connection rejected with expired cert.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application receives plain HTTP from F5. The application has no visibility into the mTLS exchange. No application modification is required.</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Capture traffic at the backend host and confirm plain HTTP with no client cert headers unless explicitly configured.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 compromise or revocation for one tenant must have zero impact on other tenants.</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Revoke Tenant A CA. Confirm Tenant B mTLS sessions continue uninterrupted.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Certificate issuance workflow must be documented as a repeatable engineering step. The workflow must map to the onboarding workbook mTLS Certificate Requirements sheet.</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Provide the step-by-step issuance workflow. Execute it live during POC review for a new test tenant.</w:t>
            </w:r>
          </w:p>
        </w:tc>
      </w:tr>
    </w:tbl>
    <w:p>
      <w:pPr>
        <w:spacing w:before="120"/>
      </w:pPr>
    </w:p>
    <w:p>
      <w:pPr>
        <w:pStyle w:val="Heading2"/>
        <w:spacing w:before="280" w:after="80"/>
      </w:pPr>
      <w:r>
        <w:rPr>
          <w:rFonts w:ascii="Arial" w:cs="Arial" w:eastAsia="Arial" w:hAnsi="Arial"/>
          <w:b/>
          <w:bCs/>
          <w:color w:val="2E75B6"/>
          <w:sz w:val="26"/>
          <w:szCs w:val="26"/>
        </w:rPr>
        <w:t xml:space="preserve">2.2 Capability CR-02: SSH Managed Access with Credential Vaulting</w:t>
      </w:r>
    </w:p>
    <w:p>
      <w:pPr>
        <w:spacing w:before="60" w:after="120"/>
      </w:pPr>
      <w:r>
        <w:rPr>
          <w:rFonts w:ascii="Arial" w:cs="Arial" w:eastAsia="Arial" w:hAnsi="Arial"/>
          <w:sz w:val="22"/>
          <w:szCs w:val="22"/>
        </w:rPr>
        <w:t xml:space="preserve">The SSH managed access capability must deliver the full managed session model — not TCP passthrough. The platform terminates the SSH session, authenticates the user independently of internal credentials, and opens the outbound session using credentials retrieved from a secure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CR-02.1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authenticates to the F5 platform using email identity and TOTP. The platform validates TOTP before establishing any backend connection.</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Successful auth with valid TOTP. Rejected with invalid TOTP. Rejected with expired TOTP window.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CR-02.2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Per-service ACL enforcement. Each service has a named user list. A user not in the service ACL must be denied even if TOTP passes.</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User in ACL for Service A but not Service B. Confirm access to A, denial on B, with audit log for both.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CR-02.3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credentials (username/password or private key) are stored in a credential vault. The partner user never sees or handles internal credentials. The platform fetches and injects them transparently.</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Connect as partner user. Confirm backend SSH daemon sees only the internal service account. Confirm partner session provides no mechanism to retrieve internal credentials.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session audit log: source IP, user email, service accessed, authentication outcome, ACL outcome, internal host connected, session duration, bytes transferred.</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Review session log after a completed session. Confirm all fields present and accurate.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Per-tenant isolation: a failure or misconfiguration in one tenant's SSH proxy must not affect any other tenant's SSH sessions.</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Force a proxy failure on Tenant A. Confirm Tenant B sessions continue without interruption.</w:t>
            </w:r>
          </w:p>
        </w:tc>
      </w:tr>
    </w:tbl>
    <w:p>
      <w:pPr>
        <w:spacing w:before="120"/>
      </w:pPr>
    </w:p>
    <w:p>
      <w:pPr>
        <w:pStyle w:val="Heading2"/>
        <w:spacing w:before="280" w:after="80"/>
      </w:pPr>
      <w:r>
        <w:rPr>
          <w:rFonts w:ascii="Arial" w:cs="Arial" w:eastAsia="Arial" w:hAnsi="Arial"/>
          <w:b/>
          <w:bCs/>
          <w:color w:val="2E75B6"/>
          <w:sz w:val="26"/>
          <w:szCs w:val="26"/>
        </w:rPr>
        <w:t xml:space="preserve">2.3 Capability CR-03: Per-Tenant DNS Rewriting</w:t>
      </w:r>
    </w:p>
    <w:p>
      <w:pPr>
        <w:spacing w:before="60" w:after="120"/>
      </w:pPr>
      <w:r>
        <w:rPr>
          <w:rFonts w:ascii="Arial" w:cs="Arial" w:eastAsia="Arial" w:hAnsi="Arial"/>
          <w:sz w:val="22"/>
          <w:szCs w:val="22"/>
        </w:rPr>
        <w:t xml:space="preserve">DNS rewriting is a load-bearing dependency for all name-initiated connections. The platform must provide genuinely isolated per-tenant DNS contexts — not shared DNS with per-tenant filtering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CR-03.1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tenant has an isolated DNS resolution context. A DNS query in Tenant A's context must not be resolvable in Tenant B's context unless both tenants have been explicitly configured with access to the same service.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Query an internal name from Tenant A context. Confirm the SNAT inbound IP is returned. Query the same name from Tenant B context. Confirm no result or a different result appropriate to Tenant B.</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CR-03.2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A-record rewriting: when an internal DNS name resolves to a real internal IP, the platform intercepts the response and returns the tenant SNAT inbound identity. The real internal IP is never disclosed.</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Capture DNS response from the partner side. Confirm the returned A record is the SNAT inbound IP, not the real internal host address.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CR-03.3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 forwarding: internal domain queries forwarded to internal DNS resolvers, external queries forwarded to external resolvers. Forwarding configuration must be per-tenant.</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Configure Tenant A with internal domain suffix X and Tenant B with suffix Y. Confirm correct forwarder is used per tenant per query.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CR-03.4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listener runs on tenant-specific VIP. No shared DNS listener is used across tenants.</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Show the DNS listener configuration for five tenants. Confirm each has a dedicated listener address.</w:t>
            </w:r>
          </w:p>
        </w:tc>
      </w:tr>
    </w:tbl>
    <w:p>
      <w:pPr>
        <w:spacing w:before="120"/>
      </w:pPr>
    </w:p>
    <w:p>
      <w:pPr>
        <w:pStyle w:val="Heading2"/>
        <w:spacing w:before="280" w:after="80"/>
      </w:pPr>
      <w:r>
        <w:rPr>
          <w:rFonts w:ascii="Arial" w:cs="Arial" w:eastAsia="Arial" w:hAnsi="Arial"/>
          <w:b/>
          <w:bCs/>
          <w:color w:val="2E75B6"/>
          <w:sz w:val="26"/>
          <w:szCs w:val="26"/>
        </w:rPr>
        <w:t xml:space="preserve">2.4 Capability CR-04: Tenant Lifecycle — Provisioning and Offboarding</w:t>
      </w:r>
    </w:p>
    <w:p>
      <w:pPr>
        <w:spacing w:before="60" w:after="120"/>
      </w:pPr>
      <w:r>
        <w:rPr>
          <w:rFonts w:ascii="Arial" w:cs="Arial" w:eastAsia="Arial" w:hAnsi="Arial"/>
          <w:sz w:val="22"/>
          <w:szCs w:val="22"/>
        </w:rPr>
        <w:t xml:space="preserve">The lifecycle workflow is the foundation for the self-service delivery layer targeted for September 30. The POC must demonstrate that tenant provisioning and offboarding are fully automated, deterministic, and leave no residual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CR-04.1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 onboarding is driven by a defined input schema that maps to the CVS Health Tenant Onboarding Workbook. All fields in the workbook must have a corresponding platform configuration parameter.</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Provide the input schema. Walk through workbook-to-schema field mapping during POC review.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CR-04.2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Provisioning is fully automated from the input schema. No manual per-tenant configuration steps are permitted after schema submission.</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Submit a new tenant schema. Confirm all platform objects (proxy listener, CA, DNS context, vault entry, ACL) are created without manual intervention.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CR-04.3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Offboarding removes all tenant state. No residual objects, rules, certificates, vault entries, or DNS configuration remain after offboarding completes.</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Offboard a test tenant. Enumerate all platform objects and confirm zero residual state for that tenant ID.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CR-04.4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test suite executes post-provisioning and confirms all capabilities are functional before the tenant is marked active.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Provision a tenant. Review the acceptance test output. Confirm all tests pass before ACTIVE state is set.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CR-04.5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provisioning workflow must be documented as a step-by-step engineering workflow suitable for automation into a self-service portal API.</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Deliver the engineering workflow document as a POC deliverable. Each step must have a defined API call or CLI command.</w:t>
            </w:r>
          </w:p>
        </w:tc>
      </w:tr>
    </w:tbl>
    <w:p>
      <w:pPr>
        <w:spacing w:before="120"/>
      </w:pPr>
    </w:p>
    <w:p>
      <w:pPr>
        <w:pStyle w:val="Heading2"/>
        <w:spacing w:before="280" w:after="80"/>
      </w:pPr>
      <w:r>
        <w:rPr>
          <w:rFonts w:ascii="Arial" w:cs="Arial" w:eastAsia="Arial" w:hAnsi="Arial"/>
          <w:b/>
          <w:bCs/>
          <w:color w:val="2E75B6"/>
          <w:sz w:val="26"/>
          <w:szCs w:val="26"/>
        </w:rPr>
        <w:t xml:space="preserve">2.5 Capability CR-05: Multi-Tenant Isolation at Scale</w:t>
      </w:r>
    </w:p>
    <w:p>
      <w:pPr>
        <w:spacing w:before="60" w:after="120"/>
      </w:pPr>
      <w:r>
        <w:rPr>
          <w:rFonts w:ascii="Arial" w:cs="Arial" w:eastAsia="Arial" w:hAnsi="Arial"/>
          <w:sz w:val="22"/>
          <w:szCs w:val="22"/>
        </w:rPr>
        <w:t xml:space="preserve">All capabilities must operate simultaneously across a minimum of five concurrent tenants. Isolation properties must be verified across all tenant boundaries, not just demonstrated per-tenant in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CR-05.1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Five concurrent tenants with active mTLS proxy listeners, SSH managed access proxies, and DNS listeners running simultaneously.</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Demonstrate simultaneous active sessions across all five tenants during POC review.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CR-05.2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certificate valid for Tenant A must be rejected by any other tenant's proxy listener.</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Attempt connection to Tenant B proxy using Tenant A certificate. Confirm rejection with appropriate TLS alert.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CR-05.3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SSH session authenticated as a user in Tenant A must have no path to Tenant B resources.</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From an active Tenant A SSH session, attempt to reach Tenant B internal host via any path. Confirm no reachability.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CR-05.4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under concurrent load: all five tenants must maintain functional connectivity with no session interruption during a simulated load test.</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Run concurrent connections across all five tenants for 30 minutes. Confirm zero session drops attributable to platform resource contention.</w:t>
            </w:r>
          </w:p>
        </w:tc>
      </w:tr>
    </w:tbl>
    <w:p>
      <w:r>
        <w:br w:type="page"/>
      </w:r>
    </w:p>
    <w:p>
      <w:pPr>
        <w:pStyle w:val="Heading1"/>
        <w:spacing w:before="360" w:after="120"/>
      </w:pPr>
      <w:r>
        <w:rPr>
          <w:rFonts w:ascii="Arial" w:cs="Arial" w:eastAsia="Arial" w:hAnsi="Arial"/>
          <w:b/>
          <w:bCs/>
          <w:color w:val="1F3864"/>
          <w:sz w:val="32"/>
          <w:szCs w:val="32"/>
        </w:rPr>
        <w:t xml:space="preserve">3. Engineering Implementation Workflows</w:t>
      </w:r>
    </w:p>
    <w:p>
      <w:pPr>
        <w:spacing w:before="60" w:after="120"/>
      </w:pPr>
      <w:r>
        <w:rPr>
          <w:rFonts w:ascii="Arial" w:cs="Arial" w:eastAsia="Arial" w:hAnsi="Arial"/>
          <w:sz w:val="22"/>
          <w:szCs w:val="22"/>
        </w:rPr>
        <w:t xml:space="preserve">The following workflows define the step-by-step engineering implementation for each capability. These workflows serve two purposes: they define the POC implementation methodology, and they form the engineering blueprint for the self-service automation layer to be delivered by September 30. Each step must be executable as a discrete, automatable operation.</w:t>
      </w:r>
    </w:p>
    <w:p>
      <w:pPr>
        <w:pStyle w:val="Heading2"/>
        <w:spacing w:before="280" w:after="80"/>
      </w:pPr>
      <w:r>
        <w:rPr>
          <w:rFonts w:ascii="Arial" w:cs="Arial" w:eastAsia="Arial" w:hAnsi="Arial"/>
          <w:b/>
          <w:bCs/>
          <w:color w:val="2E75B6"/>
          <w:sz w:val="26"/>
          <w:szCs w:val="26"/>
        </w:rPr>
        <w:t xml:space="preserve">3.1 Workflow EW-01: Tenant Provisioning End-to-End</w:t>
      </w:r>
    </w:p>
    <w:p>
      <w:pPr>
        <w:spacing w:before="60" w:after="120"/>
      </w:pPr>
      <w:r>
        <w:rPr>
          <w:rFonts w:ascii="Arial" w:cs="Arial" w:eastAsia="Arial" w:hAnsi="Arial"/>
          <w:sz w:val="22"/>
          <w:szCs w:val="22"/>
        </w:rPr>
        <w:t xml:space="preserve">This workflow covers the complete provisioning sequence for a new tenant from schema intake to ACTIVE state. It is the master workflow that orchestrates all sub-workflows below.</w:t>
      </w:r>
    </w:p>
    <w:p>
      <w:pPr>
        <w:spacing w:before="120" w:after="40"/>
      </w:pPr>
      <w:r>
        <w:rPr>
          <w:rFonts w:ascii="Arial" w:cs="Arial" w:eastAsia="Arial" w:hAnsi="Arial"/>
          <w:b/>
          <w:bCs/>
          <w:color w:val="2E75B6"/>
          <w:sz w:val="22"/>
          <w:szCs w:val="22"/>
        </w:rPr>
        <w:t xml:space="preserve">Step 1: </w:t>
      </w:r>
      <w:r>
        <w:rPr>
          <w:rFonts w:ascii="Arial" w:cs="Arial" w:eastAsia="Arial" w:hAnsi="Arial"/>
          <w:b/>
          <w:bCs/>
          <w:sz w:val="22"/>
          <w:szCs w:val="22"/>
        </w:rPr>
        <w:t xml:space="preserve">Receive and Validate Tenant Onboarding Schema</w:t>
      </w:r>
    </w:p>
    <w:p>
      <w:pPr>
        <w:spacing w:before="40" w:after="80"/>
        <w:ind w:left="360"/>
      </w:pPr>
      <w:r>
        <w:rPr>
          <w:rFonts w:ascii="Arial" w:cs="Arial" w:eastAsia="Arial" w:hAnsi="Arial"/>
          <w:sz w:val="22"/>
          <w:szCs w:val="22"/>
        </w:rPr>
        <w:t xml:space="preserve">Intake the completed Tenant Onboarding Workbook. Validate all mandatory fields: tenant organization details, IKE peer IP (must be public routable), remote network prefixes (must be unique across all active tenants), application access FQDN list, SSH proxy requirements if applicable, and mTLS certificate subject and SAN. Reject incomplete submissions before proceeding.</w:t>
      </w:r>
    </w:p>
    <w:p>
      <w:pPr>
        <w:spacing w:before="120" w:after="40"/>
      </w:pPr>
      <w:r>
        <w:rPr>
          <w:rFonts w:ascii="Arial" w:cs="Arial" w:eastAsia="Arial" w:hAnsi="Arial"/>
          <w:b/>
          <w:bCs/>
          <w:color w:val="2E75B6"/>
          <w:sz w:val="22"/>
          <w:szCs w:val="22"/>
        </w:rPr>
        <w:t xml:space="preserve">Step 2: </w:t>
      </w:r>
      <w:r>
        <w:rPr>
          <w:rFonts w:ascii="Arial" w:cs="Arial" w:eastAsia="Arial" w:hAnsi="Arial"/>
          <w:b/>
          <w:bCs/>
          <w:sz w:val="22"/>
          <w:szCs w:val="22"/>
        </w:rPr>
        <w:t xml:space="preserve">Allocate Tenant Resources</w:t>
      </w:r>
    </w:p>
    <w:p>
      <w:pPr>
        <w:spacing w:before="40" w:after="80"/>
        <w:ind w:left="360"/>
      </w:pPr>
      <w:r>
        <w:rPr>
          <w:rFonts w:ascii="Arial" w:cs="Arial" w:eastAsia="Arial" w:hAnsi="Arial"/>
          <w:sz w:val="22"/>
          <w:szCs w:val="22"/>
        </w:rPr>
        <w:t xml:space="preserve">Invoke the IPAM service to allocate: SNAT inbound identity (/32), SNAT outbound identity (/32), DNS listener VIP, SSH proxy VIP (if SSH enabled). Record all allocations in the tenant state store. Confirm uniqueness enforcement — no two tenants may share any allocated address.</w:t>
      </w:r>
    </w:p>
    <w:p>
      <w:pPr>
        <w:spacing w:before="120" w:after="40"/>
      </w:pPr>
      <w:r>
        <w:rPr>
          <w:rFonts w:ascii="Arial" w:cs="Arial" w:eastAsia="Arial" w:hAnsi="Arial"/>
          <w:b/>
          <w:bCs/>
          <w:color w:val="2E75B6"/>
          <w:sz w:val="22"/>
          <w:szCs w:val="22"/>
        </w:rPr>
        <w:t xml:space="preserve">Step 3: </w:t>
      </w:r>
      <w:r>
        <w:rPr>
          <w:rFonts w:ascii="Arial" w:cs="Arial" w:eastAsia="Arial" w:hAnsi="Arial"/>
          <w:b/>
          <w:bCs/>
          <w:sz w:val="22"/>
          <w:szCs w:val="22"/>
        </w:rPr>
        <w:t xml:space="preserve">Initialize Tenant PKI</w:t>
      </w:r>
    </w:p>
    <w:p>
      <w:pPr>
        <w:spacing w:before="40" w:after="80"/>
        <w:ind w:left="360"/>
      </w:pPr>
      <w:r>
        <w:rPr>
          <w:rFonts w:ascii="Arial" w:cs="Arial" w:eastAsia="Arial" w:hAnsi="Arial"/>
          <w:sz w:val="22"/>
          <w:szCs w:val="22"/>
        </w:rPr>
        <w:t xml:space="preserve">Create the tenant intermediate CA under the platform root CA hierarchy. Store the CA private key in the tenant-scoped PKI store. Generate the CA chain bundle. Issue the initial client certificate based on the workbook mTLS Certificate Requirements sheet (CN and SAN as specified). Create the CRL distribution point. Enable the CRL refresh timer. Confirm: CA initialized, certificate issued, CRL active.</w:t>
      </w:r>
    </w:p>
    <w:p>
      <w:pPr>
        <w:spacing w:before="120" w:after="40"/>
      </w:pPr>
      <w:r>
        <w:rPr>
          <w:rFonts w:ascii="Arial" w:cs="Arial" w:eastAsia="Arial" w:hAnsi="Arial"/>
          <w:b/>
          <w:bCs/>
          <w:color w:val="2E75B6"/>
          <w:sz w:val="22"/>
          <w:szCs w:val="22"/>
        </w:rPr>
        <w:t xml:space="preserve">Step 4: </w:t>
      </w:r>
      <w:r>
        <w:rPr>
          <w:rFonts w:ascii="Arial" w:cs="Arial" w:eastAsia="Arial" w:hAnsi="Arial"/>
          <w:b/>
          <w:bCs/>
          <w:sz w:val="22"/>
          <w:szCs w:val="22"/>
        </w:rPr>
        <w:t xml:space="preserve">Provision mTLS Proxy Listener</w:t>
      </w:r>
    </w:p>
    <w:p>
      <w:pPr>
        <w:spacing w:before="40" w:after="80"/>
        <w:ind w:left="360"/>
      </w:pPr>
      <w:r>
        <w:rPr>
          <w:rFonts w:ascii="Arial" w:cs="Arial" w:eastAsia="Arial" w:hAnsi="Arial"/>
          <w:sz w:val="22"/>
          <w:szCs w:val="22"/>
        </w:rPr>
        <w:t xml:space="preserve">Create the per-tenant F5 virtual server on the assigned SNAT inbound IP. Attach the tenant SSL profile referencing the tenant intermediate CA chain. Configure the mTLS termination policy: client certificate required, CA trust anchored to tenant intermediate CA, certificate validation including CRL check. Configure the backend pool pointing to the internal application host(s) as defined in the Application Access sheet. Configure plain HTTP backend connection. Apply tenant-specific traffic policy.</w:t>
      </w:r>
    </w:p>
    <w:p>
      <w:pPr>
        <w:spacing w:before="120" w:after="40"/>
      </w:pPr>
      <w:r>
        <w:rPr>
          <w:rFonts w:ascii="Arial" w:cs="Arial" w:eastAsia="Arial" w:hAnsi="Arial"/>
          <w:b/>
          <w:bCs/>
          <w:color w:val="2E75B6"/>
          <w:sz w:val="22"/>
          <w:szCs w:val="22"/>
        </w:rPr>
        <w:t xml:space="preserve">Step 5: </w:t>
      </w:r>
      <w:r>
        <w:rPr>
          <w:rFonts w:ascii="Arial" w:cs="Arial" w:eastAsia="Arial" w:hAnsi="Arial"/>
          <w:b/>
          <w:bCs/>
          <w:sz w:val="22"/>
          <w:szCs w:val="22"/>
        </w:rPr>
        <w:t xml:space="preserve">Provision SSH Managed Access Proxy (if required)</w:t>
      </w:r>
    </w:p>
    <w:p>
      <w:pPr>
        <w:spacing w:before="40" w:after="80"/>
        <w:ind w:left="360"/>
      </w:pPr>
      <w:r>
        <w:rPr>
          <w:rFonts w:ascii="Arial" w:cs="Arial" w:eastAsia="Arial" w:hAnsi="Arial"/>
          <w:sz w:val="22"/>
          <w:szCs w:val="22"/>
        </w:rPr>
        <w:t xml:space="preserve">Create the per-tenant SSH proxy listener on the assigned SSH proxy VIP. Initialize the credential vault entry: store internal SSH credentials (host, username, key or password) encrypted under tenant vault key. Configure the TOTP provisioning endpoint on the tenant VIP. Import the user access matrix from the onboarding workbook. Generate per-user TOTP secrets. Configure per-service ACL flat files. Confirm: vault initialized, TOTP secrets generated, ACLs loaded, listener active.</w:t>
      </w:r>
    </w:p>
    <w:p>
      <w:pPr>
        <w:spacing w:before="120" w:after="40"/>
      </w:pPr>
      <w:r>
        <w:rPr>
          <w:rFonts w:ascii="Arial" w:cs="Arial" w:eastAsia="Arial" w:hAnsi="Arial"/>
          <w:b/>
          <w:bCs/>
          <w:color w:val="2E75B6"/>
          <w:sz w:val="22"/>
          <w:szCs w:val="22"/>
        </w:rPr>
        <w:t xml:space="preserve">Step 6: </w:t>
      </w:r>
      <w:r>
        <w:rPr>
          <w:rFonts w:ascii="Arial" w:cs="Arial" w:eastAsia="Arial" w:hAnsi="Arial"/>
          <w:b/>
          <w:bCs/>
          <w:sz w:val="22"/>
          <w:szCs w:val="22"/>
        </w:rPr>
        <w:t xml:space="preserve">Provision Per-Tenant DNS Context</w:t>
      </w:r>
    </w:p>
    <w:p>
      <w:pPr>
        <w:spacing w:before="40" w:after="80"/>
        <w:ind w:left="360"/>
      </w:pPr>
      <w:r>
        <w:rPr>
          <w:rFonts w:ascii="Arial" w:cs="Arial" w:eastAsia="Arial" w:hAnsi="Arial"/>
          <w:sz w:val="22"/>
          <w:szCs w:val="22"/>
        </w:rPr>
        <w:t xml:space="preserve">Create the tenant DNS listener on the assigned DNS VIP port 53. Configure conditional forwarding rules: internal domain suffixes forwarded to internal DNS resolvers as defined in the DNS Rewriting sheet, external queries forwarded to external resolvers. Configure A-record rewrite rules: one per application service, mapping internal FQDN to SNAT inbound identity. Confirm: listener active, test query returns SNAT inbound IP, real internal IP is not disclosed in any response.</w:t>
      </w:r>
    </w:p>
    <w:p>
      <w:pPr>
        <w:spacing w:before="120" w:after="40"/>
      </w:pPr>
      <w:r>
        <w:rPr>
          <w:rFonts w:ascii="Arial" w:cs="Arial" w:eastAsia="Arial" w:hAnsi="Arial"/>
          <w:b/>
          <w:bCs/>
          <w:color w:val="2E75B6"/>
          <w:sz w:val="22"/>
          <w:szCs w:val="22"/>
        </w:rPr>
        <w:t xml:space="preserve">Step 7: </w:t>
      </w:r>
      <w:r>
        <w:rPr>
          <w:rFonts w:ascii="Arial" w:cs="Arial" w:eastAsia="Arial" w:hAnsi="Arial"/>
          <w:b/>
          <w:bCs/>
          <w:sz w:val="22"/>
          <w:szCs w:val="22"/>
        </w:rPr>
        <w:t xml:space="preserve">Execute Acceptance Test Suite</w:t>
      </w:r>
    </w:p>
    <w:p>
      <w:pPr>
        <w:spacing w:before="40" w:after="80"/>
        <w:ind w:left="360"/>
      </w:pPr>
      <w:r>
        <w:rPr>
          <w:rFonts w:ascii="Arial" w:cs="Arial" w:eastAsia="Arial" w:hAnsi="Arial"/>
          <w:sz w:val="22"/>
          <w:szCs w:val="22"/>
        </w:rPr>
        <w:t xml:space="preserve">Run the automated acceptance test suite: (1) mTLS connection with valid cert succeeds, (2) mTLS connection with invalid cert fails with correct TLS alert, (3) SSH managed access with valid TOTP succeeds, (4) SSH managed access with invalid TOTP fails, (5) DNS query returns SNAT inbound IP, (6) DNS query does not return real internal IP, (7) session log entry written for each test, (8) tenant isolation verified — Tenant A cert rejected by any other tenant listener. All tests must pass before proceeding.</w:t>
      </w:r>
    </w:p>
    <w:p>
      <w:pPr>
        <w:spacing w:before="120" w:after="40"/>
      </w:pPr>
      <w:r>
        <w:rPr>
          <w:rFonts w:ascii="Arial" w:cs="Arial" w:eastAsia="Arial" w:hAnsi="Arial"/>
          <w:b/>
          <w:bCs/>
          <w:color w:val="2E75B6"/>
          <w:sz w:val="22"/>
          <w:szCs w:val="22"/>
        </w:rPr>
        <w:t xml:space="preserve">Step 8: </w:t>
      </w:r>
      <w:r>
        <w:rPr>
          <w:rFonts w:ascii="Arial" w:cs="Arial" w:eastAsia="Arial" w:hAnsi="Arial"/>
          <w:b/>
          <w:bCs/>
          <w:sz w:val="22"/>
          <w:szCs w:val="22"/>
        </w:rPr>
        <w:t xml:space="preserve">Activate Tenant and Notify</w:t>
      </w:r>
    </w:p>
    <w:p>
      <w:pPr>
        <w:spacing w:before="40" w:after="80"/>
        <w:ind w:left="360"/>
      </w:pPr>
      <w:r>
        <w:rPr>
          <w:rFonts w:ascii="Arial" w:cs="Arial" w:eastAsia="Arial" w:hAnsi="Arial"/>
          <w:sz w:val="22"/>
          <w:szCs w:val="22"/>
        </w:rPr>
        <w:t xml:space="preserve">Set tenant state to ACTIVE in the tenant state store. Record workflow run ID, provisioning timestamp, and accepting engineer identity. Update ServiceNow request to provisioned state. Deliver the mTLS client certificate P12 bundle to the partner contact via the secure delivery mechanism. Deliver the TOTP provisioning link to authorized users (if SSH enabled). Notify the tenant technical contact that provisioning is complete with connection test instructions.</w:t>
      </w:r>
    </w:p>
    <w:p>
      <w:pPr>
        <w:pStyle w:val="Heading2"/>
        <w:spacing w:before="280" w:after="80"/>
      </w:pPr>
      <w:r>
        <w:rPr>
          <w:rFonts w:ascii="Arial" w:cs="Arial" w:eastAsia="Arial" w:hAnsi="Arial"/>
          <w:b/>
          <w:bCs/>
          <w:color w:val="2E75B6"/>
          <w:sz w:val="26"/>
          <w:szCs w:val="26"/>
        </w:rPr>
        <w:t xml:space="preserve">3.2 Workflow EW-02: mTLS Certificate Issuance and Delivery</w:t>
      </w:r>
    </w:p>
    <w:p>
      <w:pPr>
        <w:spacing w:before="60" w:after="120"/>
      </w:pPr>
      <w:r>
        <w:rPr>
          <w:rFonts w:ascii="Arial" w:cs="Arial" w:eastAsia="Arial" w:hAnsi="Arial"/>
          <w:sz w:val="22"/>
          <w:szCs w:val="22"/>
        </w:rPr>
        <w:t xml:space="preserve">This workflow covers the certificate lifecycle operations that will occur routinely during production operation and must be automatable.</w:t>
      </w:r>
    </w:p>
    <w:p>
      <w:pPr>
        <w:spacing w:before="120" w:after="40"/>
      </w:pPr>
      <w:r>
        <w:rPr>
          <w:rFonts w:ascii="Arial" w:cs="Arial" w:eastAsia="Arial" w:hAnsi="Arial"/>
          <w:b/>
          <w:bCs/>
          <w:color w:val="2E75B6"/>
          <w:sz w:val="22"/>
          <w:szCs w:val="22"/>
        </w:rPr>
        <w:t xml:space="preserve">Step 1: </w:t>
      </w:r>
      <w:r>
        <w:rPr>
          <w:rFonts w:ascii="Arial" w:cs="Arial" w:eastAsia="Arial" w:hAnsi="Arial"/>
          <w:b/>
          <w:bCs/>
          <w:sz w:val="22"/>
          <w:szCs w:val="22"/>
        </w:rPr>
        <w:t xml:space="preserve">Receive Certificate Request</w:t>
      </w:r>
    </w:p>
    <w:p>
      <w:pPr>
        <w:spacing w:before="40" w:after="80"/>
        <w:ind w:left="360"/>
      </w:pPr>
      <w:r>
        <w:rPr>
          <w:rFonts w:ascii="Arial" w:cs="Arial" w:eastAsia="Arial" w:hAnsi="Arial"/>
          <w:sz w:val="22"/>
          <w:szCs w:val="22"/>
        </w:rPr>
        <w:t xml:space="preserve">Accept CSR from partner (preferred) or generate key and certificate server-side (POC convenience only, not recommended for production). Validate CN and SAN match the onboarding workbook specification. Confirm tenant intermediate CA is initialized and CRL is active.</w:t>
      </w:r>
    </w:p>
    <w:p>
      <w:pPr>
        <w:spacing w:before="120" w:after="40"/>
      </w:pPr>
      <w:r>
        <w:rPr>
          <w:rFonts w:ascii="Arial" w:cs="Arial" w:eastAsia="Arial" w:hAnsi="Arial"/>
          <w:b/>
          <w:bCs/>
          <w:color w:val="2E75B6"/>
          <w:sz w:val="22"/>
          <w:szCs w:val="22"/>
        </w:rPr>
        <w:t xml:space="preserve">Step 2: </w:t>
      </w:r>
      <w:r>
        <w:rPr>
          <w:rFonts w:ascii="Arial" w:cs="Arial" w:eastAsia="Arial" w:hAnsi="Arial"/>
          <w:b/>
          <w:bCs/>
          <w:sz w:val="22"/>
          <w:szCs w:val="22"/>
        </w:rPr>
        <w:t xml:space="preserve">Issue Certificate</w:t>
      </w:r>
    </w:p>
    <w:p>
      <w:pPr>
        <w:spacing w:before="40" w:after="80"/>
        <w:ind w:left="360"/>
      </w:pPr>
      <w:r>
        <w:rPr>
          <w:rFonts w:ascii="Arial" w:cs="Arial" w:eastAsia="Arial" w:hAnsi="Arial"/>
          <w:sz w:val="22"/>
          <w:szCs w:val="22"/>
        </w:rPr>
        <w:t xml:space="preserve">Sign the CSR (or generated key) with the tenant intermediate CA. Record certificate serial in the CA index. Set validity period per workbook specification (default 365 days, maximum 825 days). Generate the certificate bundle including the full CA chain.</w:t>
      </w:r>
    </w:p>
    <w:p>
      <w:pPr>
        <w:spacing w:before="120" w:after="40"/>
      </w:pPr>
      <w:r>
        <w:rPr>
          <w:rFonts w:ascii="Arial" w:cs="Arial" w:eastAsia="Arial" w:hAnsi="Arial"/>
          <w:b/>
          <w:bCs/>
          <w:color w:val="2E75B6"/>
          <w:sz w:val="22"/>
          <w:szCs w:val="22"/>
        </w:rPr>
        <w:t xml:space="preserve">Step 3: </w:t>
      </w:r>
      <w:r>
        <w:rPr>
          <w:rFonts w:ascii="Arial" w:cs="Arial" w:eastAsia="Arial" w:hAnsi="Arial"/>
          <w:b/>
          <w:bCs/>
          <w:sz w:val="22"/>
          <w:szCs w:val="22"/>
        </w:rPr>
        <w:t xml:space="preserve">Deliver Certificate</w:t>
      </w:r>
    </w:p>
    <w:p>
      <w:pPr>
        <w:spacing w:before="40" w:after="80"/>
        <w:ind w:left="360"/>
      </w:pPr>
      <w:r>
        <w:rPr>
          <w:rFonts w:ascii="Arial" w:cs="Arial" w:eastAsia="Arial" w:hAnsi="Arial"/>
          <w:sz w:val="22"/>
          <w:szCs w:val="22"/>
        </w:rPr>
        <w:t xml:space="preserve">Package the certificate as a P12 bundle if requested. Stand up the temporary delivery endpoint on the tenant VIP port 8443. Authenticate the recipient with a one-time password delivered out-of-band. Provide download link with 3-attempt / 15-minute window. Shut down delivery endpoint automatically after delivery or expiry.</w:t>
      </w:r>
    </w:p>
    <w:p>
      <w:pPr>
        <w:spacing w:before="120" w:after="40"/>
      </w:pPr>
      <w:r>
        <w:rPr>
          <w:rFonts w:ascii="Arial" w:cs="Arial" w:eastAsia="Arial" w:hAnsi="Arial"/>
          <w:b/>
          <w:bCs/>
          <w:color w:val="2E75B6"/>
          <w:sz w:val="22"/>
          <w:szCs w:val="22"/>
        </w:rPr>
        <w:t xml:space="preserve">Step 4: </w:t>
      </w:r>
      <w:r>
        <w:rPr>
          <w:rFonts w:ascii="Arial" w:cs="Arial" w:eastAsia="Arial" w:hAnsi="Arial"/>
          <w:b/>
          <w:bCs/>
          <w:sz w:val="22"/>
          <w:szCs w:val="22"/>
        </w:rPr>
        <w:t xml:space="preserve">Record and Schedule Renewal</w:t>
      </w:r>
    </w:p>
    <w:p>
      <w:pPr>
        <w:spacing w:before="40" w:after="80"/>
        <w:ind w:left="360"/>
      </w:pPr>
      <w:r>
        <w:rPr>
          <w:rFonts w:ascii="Arial" w:cs="Arial" w:eastAsia="Arial" w:hAnsi="Arial"/>
          <w:sz w:val="22"/>
          <w:szCs w:val="22"/>
        </w:rPr>
        <w:t xml:space="preserve">Record issued certificate serial, subject, expiry date in the tenant certificate inventory. Schedule renewal notification at 60 days before expiry. Schedule automated renewal workflow at 30 days before expiry if the partner has provided standing CSR authorization.</w:t>
      </w:r>
    </w:p>
    <w:p>
      <w:pPr>
        <w:pStyle w:val="Heading2"/>
        <w:spacing w:before="280" w:after="80"/>
      </w:pPr>
      <w:r>
        <w:rPr>
          <w:rFonts w:ascii="Arial" w:cs="Arial" w:eastAsia="Arial" w:hAnsi="Arial"/>
          <w:b/>
          <w:bCs/>
          <w:color w:val="2E75B6"/>
          <w:sz w:val="26"/>
          <w:szCs w:val="26"/>
        </w:rPr>
        <w:t xml:space="preserve">3.3 Workflow EW-03: Tenant Offboarding</w:t>
      </w:r>
    </w:p>
    <w:p>
      <w:pPr>
        <w:spacing w:before="60" w:after="120"/>
      </w:pPr>
      <w:r>
        <w:rPr>
          <w:rFonts w:ascii="Arial" w:cs="Arial" w:eastAsia="Arial" w:hAnsi="Arial"/>
          <w:sz w:val="22"/>
          <w:szCs w:val="22"/>
        </w:rPr>
        <w:t xml:space="preserve">The offboarding workflow must be deterministic and must produce zero residual state. This workflow is as important as the provisioning workflow — ungoverned residual state is a primary risk driver in the current ASA estate.</w:t>
      </w:r>
    </w:p>
    <w:p>
      <w:pPr>
        <w:spacing w:before="120" w:after="40"/>
      </w:pPr>
      <w:r>
        <w:rPr>
          <w:rFonts w:ascii="Arial" w:cs="Arial" w:eastAsia="Arial" w:hAnsi="Arial"/>
          <w:b/>
          <w:bCs/>
          <w:color w:val="2E75B6"/>
          <w:sz w:val="22"/>
          <w:szCs w:val="22"/>
        </w:rPr>
        <w:t xml:space="preserve">Step 1: </w:t>
      </w:r>
      <w:r>
        <w:rPr>
          <w:rFonts w:ascii="Arial" w:cs="Arial" w:eastAsia="Arial" w:hAnsi="Arial"/>
          <w:b/>
          <w:bCs/>
          <w:sz w:val="22"/>
          <w:szCs w:val="22"/>
        </w:rPr>
        <w:t xml:space="preserve">Initiate Offboarding</w:t>
      </w:r>
    </w:p>
    <w:p>
      <w:pPr>
        <w:spacing w:before="40" w:after="80"/>
        <w:ind w:left="360"/>
      </w:pPr>
      <w:r>
        <w:rPr>
          <w:rFonts w:ascii="Arial" w:cs="Arial" w:eastAsia="Arial" w:hAnsi="Arial"/>
          <w:sz w:val="22"/>
          <w:szCs w:val="22"/>
        </w:rPr>
        <w:t xml:space="preserve">Set tenant state to DEPROVISIONING. Record offboarding initiator identity, timestamp, and ServiceNow change reference. Block new connections to tenant listeners. Allow existing sessions to drain with a defined grace period (default 5 minutes).</w:t>
      </w:r>
    </w:p>
    <w:p>
      <w:pPr>
        <w:spacing w:before="120" w:after="40"/>
      </w:pPr>
      <w:r>
        <w:rPr>
          <w:rFonts w:ascii="Arial" w:cs="Arial" w:eastAsia="Arial" w:hAnsi="Arial"/>
          <w:b/>
          <w:bCs/>
          <w:color w:val="2E75B6"/>
          <w:sz w:val="22"/>
          <w:szCs w:val="22"/>
        </w:rPr>
        <w:t xml:space="preserve">Step 2: </w:t>
      </w:r>
      <w:r>
        <w:rPr>
          <w:rFonts w:ascii="Arial" w:cs="Arial" w:eastAsia="Arial" w:hAnsi="Arial"/>
          <w:b/>
          <w:bCs/>
          <w:sz w:val="22"/>
          <w:szCs w:val="22"/>
        </w:rPr>
        <w:t xml:space="preserve">Remove Service Plane Objects</w:t>
      </w:r>
    </w:p>
    <w:p>
      <w:pPr>
        <w:spacing w:before="40" w:after="80"/>
        <w:ind w:left="360"/>
      </w:pPr>
      <w:r>
        <w:rPr>
          <w:rFonts w:ascii="Arial" w:cs="Arial" w:eastAsia="Arial" w:hAnsi="Arial"/>
          <w:sz w:val="22"/>
          <w:szCs w:val="22"/>
        </w:rPr>
        <w:t xml:space="preserve">Delete the mTLS proxy virtual server and SSL profile. Delete the backend pool. Delete the SSH proxy listener, ACL files, and TOTP secrets. Delete the DNS listener, forwarding rules, and A-record rewrite rules. Confirm each deletion before proceeding to the next object.</w:t>
      </w:r>
    </w:p>
    <w:p>
      <w:pPr>
        <w:spacing w:before="120" w:after="40"/>
      </w:pPr>
      <w:r>
        <w:rPr>
          <w:rFonts w:ascii="Arial" w:cs="Arial" w:eastAsia="Arial" w:hAnsi="Arial"/>
          <w:b/>
          <w:bCs/>
          <w:color w:val="2E75B6"/>
          <w:sz w:val="22"/>
          <w:szCs w:val="22"/>
        </w:rPr>
        <w:t xml:space="preserve">Step 3: </w:t>
      </w:r>
      <w:r>
        <w:rPr>
          <w:rFonts w:ascii="Arial" w:cs="Arial" w:eastAsia="Arial" w:hAnsi="Arial"/>
          <w:b/>
          <w:bCs/>
          <w:sz w:val="22"/>
          <w:szCs w:val="22"/>
        </w:rPr>
        <w:t xml:space="preserve">Revoke PKI</w:t>
      </w:r>
    </w:p>
    <w:p>
      <w:pPr>
        <w:spacing w:before="40" w:after="80"/>
        <w:ind w:left="360"/>
      </w:pPr>
      <w:r>
        <w:rPr>
          <w:rFonts w:ascii="Arial" w:cs="Arial" w:eastAsia="Arial" w:hAnsi="Arial"/>
          <w:sz w:val="22"/>
          <w:szCs w:val="22"/>
        </w:rPr>
        <w:t xml:space="preserve">Revoke the tenant intermediate CA. Update CRL. Revoke all issued certificates under the tenant CA. Remove CA chain from the platform CA store. Delete the CA private key and all associated key material. Confirm no references to the tenant CA remain in any active proxy configuration.</w:t>
      </w:r>
    </w:p>
    <w:p>
      <w:pPr>
        <w:spacing w:before="120" w:after="40"/>
      </w:pPr>
      <w:r>
        <w:rPr>
          <w:rFonts w:ascii="Arial" w:cs="Arial" w:eastAsia="Arial" w:hAnsi="Arial"/>
          <w:b/>
          <w:bCs/>
          <w:color w:val="2E75B6"/>
          <w:sz w:val="22"/>
          <w:szCs w:val="22"/>
        </w:rPr>
        <w:t xml:space="preserve">Step 4: </w:t>
      </w:r>
      <w:r>
        <w:rPr>
          <w:rFonts w:ascii="Arial" w:cs="Arial" w:eastAsia="Arial" w:hAnsi="Arial"/>
          <w:b/>
          <w:bCs/>
          <w:sz w:val="22"/>
          <w:szCs w:val="22"/>
        </w:rPr>
        <w:t xml:space="preserve">Release Address Allocations</w:t>
      </w:r>
    </w:p>
    <w:p>
      <w:pPr>
        <w:spacing w:before="40" w:after="80"/>
        <w:ind w:left="360"/>
      </w:pPr>
      <w:r>
        <w:rPr>
          <w:rFonts w:ascii="Arial" w:cs="Arial" w:eastAsia="Arial" w:hAnsi="Arial"/>
          <w:sz w:val="22"/>
          <w:szCs w:val="22"/>
        </w:rPr>
        <w:t xml:space="preserve">Return SNAT inbound IP, SNAT outbound IP, DNS listener VIP, and SSH proxy VIP to the IPAM pool. Confirm allocations are released and available for new tenant assignment.</w:t>
      </w:r>
    </w:p>
    <w:p>
      <w:pPr>
        <w:spacing w:before="120" w:after="40"/>
      </w:pPr>
      <w:r>
        <w:rPr>
          <w:rFonts w:ascii="Arial" w:cs="Arial" w:eastAsia="Arial" w:hAnsi="Arial"/>
          <w:b/>
          <w:bCs/>
          <w:color w:val="2E75B6"/>
          <w:sz w:val="22"/>
          <w:szCs w:val="22"/>
        </w:rPr>
        <w:t xml:space="preserve">Step 5: </w:t>
      </w:r>
      <w:r>
        <w:rPr>
          <w:rFonts w:ascii="Arial" w:cs="Arial" w:eastAsia="Arial" w:hAnsi="Arial"/>
          <w:b/>
          <w:bCs/>
          <w:sz w:val="22"/>
          <w:szCs w:val="22"/>
        </w:rPr>
        <w:t xml:space="preserve">Purge Credential Vault</w:t>
      </w:r>
    </w:p>
    <w:p>
      <w:pPr>
        <w:spacing w:before="40" w:after="80"/>
        <w:ind w:left="360"/>
      </w:pPr>
      <w:r>
        <w:rPr>
          <w:rFonts w:ascii="Arial" w:cs="Arial" w:eastAsia="Arial" w:hAnsi="Arial"/>
          <w:sz w:val="22"/>
          <w:szCs w:val="22"/>
        </w:rPr>
        <w:t xml:space="preserve">Delete all credential vault entries for this tenant. Confirm vault has no remaining entries with this tenant ID. Confirm vault audit log records the deletion event with timestamp and operator identity.</w:t>
      </w:r>
    </w:p>
    <w:p>
      <w:pPr>
        <w:spacing w:before="120" w:after="40"/>
      </w:pPr>
      <w:r>
        <w:rPr>
          <w:rFonts w:ascii="Arial" w:cs="Arial" w:eastAsia="Arial" w:hAnsi="Arial"/>
          <w:b/>
          <w:bCs/>
          <w:color w:val="2E75B6"/>
          <w:sz w:val="22"/>
          <w:szCs w:val="22"/>
        </w:rPr>
        <w:t xml:space="preserve">Step 6: </w:t>
      </w:r>
      <w:r>
        <w:rPr>
          <w:rFonts w:ascii="Arial" w:cs="Arial" w:eastAsia="Arial" w:hAnsi="Arial"/>
          <w:b/>
          <w:bCs/>
          <w:sz w:val="22"/>
          <w:szCs w:val="22"/>
        </w:rPr>
        <w:t xml:space="preserve">Verify Zero Residual State</w:t>
      </w:r>
    </w:p>
    <w:p>
      <w:pPr>
        <w:spacing w:before="40" w:after="80"/>
        <w:ind w:left="360"/>
      </w:pPr>
      <w:r>
        <w:rPr>
          <w:rFonts w:ascii="Arial" w:cs="Arial" w:eastAsia="Arial" w:hAnsi="Arial"/>
          <w:sz w:val="22"/>
          <w:szCs w:val="22"/>
        </w:rPr>
        <w:t xml:space="preserve">Execute the residual state verification scan: enumerate all platform objects tagged with this tenant ID. The result must be empty. Record the verification result in the offboarding record. Set tenant state to OFFBOARDED. Close the ServiceNow change record.</w:t>
      </w:r>
    </w:p>
    <w:p>
      <w:pPr>
        <w:pStyle w:val="Heading2"/>
        <w:spacing w:before="280" w:after="80"/>
      </w:pPr>
      <w:r>
        <w:rPr>
          <w:rFonts w:ascii="Arial" w:cs="Arial" w:eastAsia="Arial" w:hAnsi="Arial"/>
          <w:b/>
          <w:bCs/>
          <w:color w:val="2E75B6"/>
          <w:sz w:val="26"/>
          <w:szCs w:val="26"/>
        </w:rPr>
        <w:t xml:space="preserve">3.4 Workflow EW-04: User Access Management</w:t>
      </w:r>
    </w:p>
    <w:p>
      <w:pPr>
        <w:spacing w:before="60" w:after="120"/>
      </w:pPr>
      <w:r>
        <w:rPr>
          <w:rFonts w:ascii="Arial" w:cs="Arial" w:eastAsia="Arial" w:hAnsi="Arial"/>
          <w:sz w:val="22"/>
          <w:szCs w:val="22"/>
        </w:rPr>
        <w:t xml:space="preserve">This workflow covers the ongoing management of user access within an active tenant — adding users, removing users, and modifying service ACLs. This workflow must be self-service automatable.</w:t>
      </w:r>
    </w:p>
    <w:p>
      <w:pPr>
        <w:spacing w:before="120" w:after="40"/>
      </w:pPr>
      <w:r>
        <w:rPr>
          <w:rFonts w:ascii="Arial" w:cs="Arial" w:eastAsia="Arial" w:hAnsi="Arial"/>
          <w:b/>
          <w:bCs/>
          <w:color w:val="2E75B6"/>
          <w:sz w:val="22"/>
          <w:szCs w:val="22"/>
        </w:rPr>
        <w:t xml:space="preserve">Step 1: </w:t>
      </w:r>
      <w:r>
        <w:rPr>
          <w:rFonts w:ascii="Arial" w:cs="Arial" w:eastAsia="Arial" w:hAnsi="Arial"/>
          <w:b/>
          <w:bCs/>
          <w:sz w:val="22"/>
          <w:szCs w:val="22"/>
        </w:rPr>
        <w:t xml:space="preserve">Add User to Tenant</w:t>
      </w:r>
    </w:p>
    <w:p>
      <w:pPr>
        <w:spacing w:before="40" w:after="80"/>
        <w:ind w:left="360"/>
      </w:pPr>
      <w:r>
        <w:rPr>
          <w:rFonts w:ascii="Arial" w:cs="Arial" w:eastAsia="Arial" w:hAnsi="Arial"/>
          <w:sz w:val="22"/>
          <w:szCs w:val="22"/>
        </w:rPr>
        <w:t xml:space="preserve">Validate user email address. Generate TOTP secret for the user. Add user to the service ACL files for each authorized service as defined in the updated User Access Matrix. Issue mTLS certificate if the user requires HTTPS application access. Record user entry in the tenant user inventory with service authorization scope.</w:t>
      </w:r>
    </w:p>
    <w:p>
      <w:pPr>
        <w:spacing w:before="120" w:after="40"/>
      </w:pPr>
      <w:r>
        <w:rPr>
          <w:rFonts w:ascii="Arial" w:cs="Arial" w:eastAsia="Arial" w:hAnsi="Arial"/>
          <w:b/>
          <w:bCs/>
          <w:color w:val="2E75B6"/>
          <w:sz w:val="22"/>
          <w:szCs w:val="22"/>
        </w:rPr>
        <w:t xml:space="preserve">Step 2: </w:t>
      </w:r>
      <w:r>
        <w:rPr>
          <w:rFonts w:ascii="Arial" w:cs="Arial" w:eastAsia="Arial" w:hAnsi="Arial"/>
          <w:b/>
          <w:bCs/>
          <w:sz w:val="22"/>
          <w:szCs w:val="22"/>
        </w:rPr>
        <w:t xml:space="preserve">Remove User from Tenant</w:t>
      </w:r>
    </w:p>
    <w:p>
      <w:pPr>
        <w:spacing w:before="40" w:after="80"/>
        <w:ind w:left="360"/>
      </w:pPr>
      <w:r>
        <w:rPr>
          <w:rFonts w:ascii="Arial" w:cs="Arial" w:eastAsia="Arial" w:hAnsi="Arial"/>
          <w:sz w:val="22"/>
          <w:szCs w:val="22"/>
        </w:rPr>
        <w:t xml:space="preserve">Remove user from all service ACL files. Revoke the user's mTLS certificate if one was issued. Invalidate the user's TOTP secret. Confirm all active sessions for this user are terminated. Record removal in the tenant audit log.</w:t>
      </w:r>
    </w:p>
    <w:p>
      <w:pPr>
        <w:spacing w:before="120" w:after="40"/>
      </w:pPr>
      <w:r>
        <w:rPr>
          <w:rFonts w:ascii="Arial" w:cs="Arial" w:eastAsia="Arial" w:hAnsi="Arial"/>
          <w:b/>
          <w:bCs/>
          <w:color w:val="2E75B6"/>
          <w:sz w:val="22"/>
          <w:szCs w:val="22"/>
        </w:rPr>
        <w:t xml:space="preserve">Step 3: </w:t>
      </w:r>
      <w:r>
        <w:rPr>
          <w:rFonts w:ascii="Arial" w:cs="Arial" w:eastAsia="Arial" w:hAnsi="Arial"/>
          <w:b/>
          <w:bCs/>
          <w:sz w:val="22"/>
          <w:szCs w:val="22"/>
        </w:rPr>
        <w:t xml:space="preserve">Modify Service Authorization</w:t>
      </w:r>
    </w:p>
    <w:p>
      <w:pPr>
        <w:spacing w:before="40" w:after="80"/>
        <w:ind w:left="360"/>
      </w:pPr>
      <w:r>
        <w:rPr>
          <w:rFonts w:ascii="Arial" w:cs="Arial" w:eastAsia="Arial" w:hAnsi="Arial"/>
          <w:sz w:val="22"/>
          <w:szCs w:val="22"/>
        </w:rPr>
        <w:t xml:space="preserve">Update the user's ACL membership across affected service ACL files. Hot-reload ACL files without service interruption. Confirm the updated authorization is effective for the next connection attempt. Record the change with before/after ACL state in the tenant audit log.</w:t>
      </w:r>
    </w:p>
    <w:p>
      <w:r>
        <w:br w:type="page"/>
      </w:r>
    </w:p>
    <w:p>
      <w:pPr>
        <w:pStyle w:val="Heading1"/>
        <w:spacing w:before="360" w:after="120"/>
      </w:pPr>
      <w:r>
        <w:rPr>
          <w:rFonts w:ascii="Arial" w:cs="Arial" w:eastAsia="Arial" w:hAnsi="Arial"/>
          <w:b/>
          <w:bCs/>
          <w:color w:val="1F3864"/>
          <w:sz w:val="32"/>
          <w:szCs w:val="32"/>
        </w:rPr>
        <w:t xml:space="preserve">4. POC Deliverable Schedule</w:t>
      </w:r>
    </w:p>
    <w:p>
      <w:pPr>
        <w:spacing w:before="60" w:after="120"/>
      </w:pPr>
      <w:r>
        <w:rPr>
          <w:rFonts w:ascii="Arial" w:cs="Arial" w:eastAsia="Arial" w:hAnsi="Arial"/>
          <w:sz w:val="22"/>
          <w:szCs w:val="22"/>
        </w:rPr>
        <w:t xml:space="preserve">All deliverables must be submitted by June 30, 2026. Partial submissions are not accepted — all deliverables in each milestone must be complete before the milestone is considered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560"/>
        <w:gridCol w:w="1400"/>
      </w:tblGrid>
      <w:tr>
        <w:trPr>
          <w:tblHeader/>
        </w:trPr>
        <w:tc>
          <w:tcPr>
            <w:tcW w:type="dxa" w:w="1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c>
          <w:tcPr>
            <w:tcW w:type="dxa" w:w="20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Target Date</w:t>
            </w:r>
          </w:p>
        </w:tc>
        <w:tc>
          <w:tcPr>
            <w:tcW w:type="dxa" w:w="4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c>
          <w:tcPr>
            <w:tcW w:type="dxa" w:w="1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14,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setup confirmed. Platform tenancy model documented. Input schema mapped to Tenant Onboarding Workbook. F5 and integrator resource plan confirmed.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Integrator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May 9, 2026</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CR-01 mTLS per-tenant CA isolation demonstrated across 3 tenants. EW-02 certificate issuance workflow documented and executed live. CR-03 DNS rewriting demonstrated.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Integrator + F5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30,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CR-02 SSH managed access demonstrated. Credential vault operational. TOTP and ACL enforcement demonstrated. EW-01 provisioning workflow documented.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Integrator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June 20, 2026</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CR-05 full multi-tenant (5 tenants) simultaneous operation demonstrated. CR-04 lifecycle automation demonstrated including offboarding with residual state verification. All acceptance test suites passing.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Integrator + F5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30,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POC report delivered. All engineering workflow documents finalized. Self-service automation API specification delivered (foundation for September 30 target). POC review meeting conducted.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Integrator</w:t>
            </w:r>
          </w:p>
        </w:tc>
      </w:tr>
    </w:tbl>
    <w:p>
      <w:pPr>
        <w:spacing w:before="200"/>
      </w:pPr>
    </w:p>
    <w:p>
      <w:pPr>
        <w:pStyle w:val="Heading2"/>
        <w:spacing w:before="280" w:after="80"/>
      </w:pPr>
      <w:r>
        <w:rPr>
          <w:rFonts w:ascii="Arial" w:cs="Arial" w:eastAsia="Arial" w:hAnsi="Arial"/>
          <w:b/>
          <w:bCs/>
          <w:color w:val="2E75B6"/>
          <w:sz w:val="26"/>
          <w:szCs w:val="26"/>
        </w:rPr>
        <w:t xml:space="preserve">4.1 Self-Service Delivery Foundation (September 30 Target)</w:t>
      </w:r>
    </w:p>
    <w:p>
      <w:pPr>
        <w:spacing w:before="60" w:after="120"/>
      </w:pPr>
      <w:r>
        <w:rPr>
          <w:rFonts w:ascii="Arial" w:cs="Arial" w:eastAsia="Arial" w:hAnsi="Arial"/>
          <w:sz w:val="22"/>
          <w:szCs w:val="22"/>
        </w:rPr>
        <w:t xml:space="preserve">The engineering workflows documented during the POC phase must be structured as automatable API sequences that form the foundation for the self-service portal. By June 30, the following must be delivered as part of the POC output:</w:t>
      </w:r>
    </w:p>
    <w:p>
      <w:pPr>
        <w:pStyle w:val="ListParagraph"/>
        <w:numPr>
          <w:ilvl w:val="0"/>
          <w:numId w:val="2"/>
        </w:numPr>
        <w:spacing w:before="40" w:after="40"/>
      </w:pPr>
      <w:r>
        <w:rPr>
          <w:rFonts w:ascii="Arial" w:cs="Arial" w:eastAsia="Arial" w:hAnsi="Arial"/>
          <w:sz w:val="22"/>
          <w:szCs w:val="22"/>
        </w:rPr>
        <w:t xml:space="preserve">API specification for each step in EW-01 (Tenant Provisioning) expressed as REST API calls or equivalent platform API operations</w:t>
      </w:r>
    </w:p>
    <w:p>
      <w:pPr>
        <w:pStyle w:val="ListParagraph"/>
        <w:numPr>
          <w:ilvl w:val="0"/>
          <w:numId w:val="2"/>
        </w:numPr>
        <w:spacing w:before="40" w:after="40"/>
      </w:pPr>
      <w:r>
        <w:rPr>
          <w:rFonts w:ascii="Arial" w:cs="Arial" w:eastAsia="Arial" w:hAnsi="Arial"/>
          <w:sz w:val="22"/>
          <w:szCs w:val="22"/>
        </w:rPr>
        <w:t xml:space="preserve">API specification for EW-03 (Tenant Offboarding) with the same structure</w:t>
      </w:r>
    </w:p>
    <w:p>
      <w:pPr>
        <w:pStyle w:val="ListParagraph"/>
        <w:numPr>
          <w:ilvl w:val="0"/>
          <w:numId w:val="2"/>
        </w:numPr>
        <w:spacing w:before="40" w:after="40"/>
      </w:pPr>
      <w:r>
        <w:rPr>
          <w:rFonts w:ascii="Arial" w:cs="Arial" w:eastAsia="Arial" w:hAnsi="Arial"/>
          <w:sz w:val="22"/>
          <w:szCs w:val="22"/>
        </w:rPr>
        <w:t xml:space="preserve">API specification for EW-04 (User Access Management)</w:t>
      </w:r>
    </w:p>
    <w:p>
      <w:pPr>
        <w:pStyle w:val="ListParagraph"/>
        <w:numPr>
          <w:ilvl w:val="0"/>
          <w:numId w:val="2"/>
        </w:numPr>
        <w:spacing w:before="40" w:after="40"/>
      </w:pPr>
      <w:r>
        <w:rPr>
          <w:rFonts w:ascii="Arial" w:cs="Arial" w:eastAsia="Arial" w:hAnsi="Arial"/>
          <w:sz w:val="22"/>
          <w:szCs w:val="22"/>
        </w:rPr>
        <w:t xml:space="preserve">Data schema definition mapping the Tenant Onboarding Workbook to platform API inputs</w:t>
      </w:r>
    </w:p>
    <w:p>
      <w:pPr>
        <w:pStyle w:val="ListParagraph"/>
        <w:numPr>
          <w:ilvl w:val="0"/>
          <w:numId w:val="2"/>
        </w:numPr>
        <w:spacing w:before="40" w:after="40"/>
      </w:pPr>
      <w:r>
        <w:rPr>
          <w:rFonts w:ascii="Arial" w:cs="Arial" w:eastAsia="Arial" w:hAnsi="Arial"/>
          <w:sz w:val="22"/>
          <w:szCs w:val="22"/>
        </w:rPr>
        <w:t xml:space="preserve">Automation dependency map showing the sequence constraints and rollback points in each workflow</w:t>
      </w:r>
    </w:p>
    <w:p>
      <w:pPr>
        <w:spacing w:before="60" w:after="120"/>
      </w:pPr>
      <w:r>
        <w:rPr>
          <w:rFonts w:ascii="Arial" w:cs="Arial" w:eastAsia="Arial" w:hAnsi="Arial"/>
          <w:sz w:val="22"/>
          <w:szCs w:val="22"/>
        </w:rPr>
        <w:t xml:space="preserve">These outputs enable the self-service portal development to begin immediately after POC completion, targeting September 30 delivery.</w:t>
      </w:r>
    </w:p>
    <w:p>
      <w:r>
        <w:br w:type="page"/>
      </w:r>
    </w:p>
    <w:p>
      <w:pPr>
        <w:pStyle w:val="Heading1"/>
        <w:spacing w:before="360" w:after="120"/>
      </w:pPr>
      <w:r>
        <w:rPr>
          <w:rFonts w:ascii="Arial" w:cs="Arial" w:eastAsia="Arial" w:hAnsi="Arial"/>
          <w:b/>
          <w:bCs/>
          <w:color w:val="1F3864"/>
          <w:sz w:val="32"/>
          <w:szCs w:val="32"/>
        </w:rPr>
        <w:t xml:space="preserve">5. POC Environment Requirements</w:t>
      </w:r>
    </w:p>
    <w:p>
      <w:pPr>
        <w:spacing w:before="60" w:after="120"/>
      </w:pPr>
      <w:r>
        <w:rPr>
          <w:rFonts w:ascii="Arial" w:cs="Arial" w:eastAsia="Arial" w:hAnsi="Arial"/>
          <w:sz w:val="22"/>
          <w:szCs w:val="22"/>
        </w:rPr>
        <w:t xml:space="preserve">F5 and the integrator are responsible for provisioning and operating the POC environment. The following requirements apply.</w:t>
      </w:r>
    </w:p>
    <w:p>
      <w:pPr>
        <w:pStyle w:val="Heading2"/>
        <w:spacing w:before="280" w:after="80"/>
      </w:pPr>
      <w:r>
        <w:rPr>
          <w:rFonts w:ascii="Arial" w:cs="Arial" w:eastAsia="Arial" w:hAnsi="Arial"/>
          <w:b/>
          <w:bCs/>
          <w:color w:val="2E75B6"/>
          <w:sz w:val="26"/>
          <w:szCs w:val="26"/>
        </w:rPr>
        <w:t xml:space="preserve">5.1 Platform Configuration</w:t>
      </w:r>
    </w:p>
    <w:p>
      <w:pPr>
        <w:pStyle w:val="ListParagraph"/>
        <w:numPr>
          <w:ilvl w:val="0"/>
          <w:numId w:val="2"/>
        </w:numPr>
        <w:spacing w:before="40" w:after="40"/>
      </w:pPr>
      <w:r>
        <w:rPr>
          <w:rFonts w:ascii="Arial" w:cs="Arial" w:eastAsia="Arial" w:hAnsi="Arial"/>
          <w:sz w:val="22"/>
          <w:szCs w:val="22"/>
        </w:rPr>
        <w:t xml:space="preserve">Minimum five tenant contexts provisioned and simultaneously active during POC review</w:t>
      </w:r>
    </w:p>
    <w:p>
      <w:pPr>
        <w:pStyle w:val="ListParagraph"/>
        <w:numPr>
          <w:ilvl w:val="0"/>
          <w:numId w:val="2"/>
        </w:numPr>
        <w:spacing w:before="40" w:after="40"/>
      </w:pPr>
      <w:r>
        <w:rPr>
          <w:rFonts w:ascii="Arial" w:cs="Arial" w:eastAsia="Arial" w:hAnsi="Arial"/>
          <w:sz w:val="22"/>
          <w:szCs w:val="22"/>
        </w:rPr>
        <w:t xml:space="preserve">F5 Distributed Cloud tenant or dedicated environment — shared multi-customer environments are not acceptable for POC isolation testing</w:t>
      </w:r>
    </w:p>
    <w:p>
      <w:pPr>
        <w:pStyle w:val="ListParagraph"/>
        <w:numPr>
          <w:ilvl w:val="0"/>
          <w:numId w:val="2"/>
        </w:numPr>
        <w:spacing w:before="40" w:after="40"/>
      </w:pPr>
      <w:r>
        <w:rPr>
          <w:rFonts w:ascii="Arial" w:cs="Arial" w:eastAsia="Arial" w:hAnsi="Arial"/>
          <w:sz w:val="22"/>
          <w:szCs w:val="22"/>
        </w:rPr>
        <w:t xml:space="preserve">Dedicated integrator-managed credential vault (HashiCorp Vault or equivalent) — not a shared or demo instance</w:t>
      </w:r>
    </w:p>
    <w:p>
      <w:pPr>
        <w:pStyle w:val="ListParagraph"/>
        <w:numPr>
          <w:ilvl w:val="0"/>
          <w:numId w:val="2"/>
        </w:numPr>
        <w:spacing w:before="40" w:after="40"/>
      </w:pPr>
      <w:r>
        <w:rPr>
          <w:rFonts w:ascii="Arial" w:cs="Arial" w:eastAsia="Arial" w:hAnsi="Arial"/>
          <w:sz w:val="22"/>
          <w:szCs w:val="22"/>
        </w:rPr>
        <w:t xml:space="preserve">PKI hierarchy initialized with a platform root CA, five tenant intermediate CAs (one per test tenant), and operational CRL distribution</w:t>
      </w:r>
    </w:p>
    <w:p>
      <w:pPr>
        <w:pStyle w:val="ListParagraph"/>
        <w:numPr>
          <w:ilvl w:val="0"/>
          <w:numId w:val="2"/>
        </w:numPr>
        <w:spacing w:before="40" w:after="40"/>
      </w:pPr>
      <w:r>
        <w:rPr>
          <w:rFonts w:ascii="Arial" w:cs="Arial" w:eastAsia="Arial" w:hAnsi="Arial"/>
          <w:sz w:val="22"/>
          <w:szCs w:val="22"/>
        </w:rPr>
        <w:t xml:space="preserve">DNS listeners provisioned on per-tenant VIPs — shared DNS listener configurations are not acceptable</w:t>
      </w:r>
    </w:p>
    <w:p>
      <w:pPr>
        <w:pStyle w:val="Heading2"/>
        <w:spacing w:before="280" w:after="80"/>
      </w:pPr>
      <w:r>
        <w:rPr>
          <w:rFonts w:ascii="Arial" w:cs="Arial" w:eastAsia="Arial" w:hAnsi="Arial"/>
          <w:b/>
          <w:bCs/>
          <w:color w:val="2E75B6"/>
          <w:sz w:val="26"/>
          <w:szCs w:val="26"/>
        </w:rPr>
        <w:t xml:space="preserve">5.2 Test Application Targets</w:t>
      </w:r>
    </w:p>
    <w:p>
      <w:pPr>
        <w:spacing w:before="60" w:after="120"/>
      </w:pPr>
      <w:r>
        <w:rPr>
          <w:rFonts w:ascii="Arial" w:cs="Arial" w:eastAsia="Arial" w:hAnsi="Arial"/>
          <w:sz w:val="22"/>
          <w:szCs w:val="22"/>
        </w:rPr>
        <w:t xml:space="preserve">The integrator must provide or simulate the following backend targets for POC demonstration:</w:t>
      </w:r>
    </w:p>
    <w:p>
      <w:pPr>
        <w:pStyle w:val="ListParagraph"/>
        <w:numPr>
          <w:ilvl w:val="0"/>
          <w:numId w:val="2"/>
        </w:numPr>
        <w:spacing w:before="40" w:after="40"/>
      </w:pPr>
      <w:r>
        <w:rPr>
          <w:rFonts w:ascii="Arial" w:cs="Arial" w:eastAsia="Arial" w:hAnsi="Arial"/>
          <w:sz w:val="22"/>
          <w:szCs w:val="22"/>
        </w:rPr>
        <w:t xml:space="preserve">Two HTTPS application endpoints (simulating legacy HTTP applications that cannot support mTLS natively)</w:t>
      </w:r>
    </w:p>
    <w:p>
      <w:pPr>
        <w:pStyle w:val="ListParagraph"/>
        <w:numPr>
          <w:ilvl w:val="0"/>
          <w:numId w:val="2"/>
        </w:numPr>
        <w:spacing w:before="40" w:after="40"/>
      </w:pPr>
      <w:r>
        <w:rPr>
          <w:rFonts w:ascii="Arial" w:cs="Arial" w:eastAsia="Arial" w:hAnsi="Arial"/>
          <w:sz w:val="22"/>
          <w:szCs w:val="22"/>
        </w:rPr>
        <w:t xml:space="preserve">Two SSH-accessible hosts (simulating internal Linux hosts with SSH daemon)</w:t>
      </w:r>
    </w:p>
    <w:p>
      <w:pPr>
        <w:pStyle w:val="ListParagraph"/>
        <w:numPr>
          <w:ilvl w:val="0"/>
          <w:numId w:val="2"/>
        </w:numPr>
        <w:spacing w:before="40" w:after="40"/>
      </w:pPr>
      <w:r>
        <w:rPr>
          <w:rFonts w:ascii="Arial" w:cs="Arial" w:eastAsia="Arial" w:hAnsi="Arial"/>
          <w:sz w:val="22"/>
          <w:szCs w:val="22"/>
        </w:rPr>
        <w:t xml:space="preserve">Internal DNS resolver (simulating enterprise internal DNS)</w:t>
      </w:r>
    </w:p>
    <w:p>
      <w:pPr>
        <w:pStyle w:val="Heading2"/>
        <w:spacing w:before="280" w:after="80"/>
      </w:pPr>
      <w:r>
        <w:rPr>
          <w:rFonts w:ascii="Arial" w:cs="Arial" w:eastAsia="Arial" w:hAnsi="Arial"/>
          <w:b/>
          <w:bCs/>
          <w:color w:val="2E75B6"/>
          <w:sz w:val="26"/>
          <w:szCs w:val="26"/>
        </w:rPr>
        <w:t xml:space="preserve">5.3 CVS Health Participation</w:t>
      </w:r>
    </w:p>
    <w:p>
      <w:pPr>
        <w:spacing w:before="60" w:after="120"/>
      </w:pPr>
      <w:r>
        <w:rPr>
          <w:rFonts w:ascii="Arial" w:cs="Arial" w:eastAsia="Arial" w:hAnsi="Arial"/>
          <w:sz w:val="22"/>
          <w:szCs w:val="22"/>
        </w:rPr>
        <w:t xml:space="preserve">CVS Health will provide:</w:t>
      </w:r>
    </w:p>
    <w:p>
      <w:pPr>
        <w:pStyle w:val="ListParagraph"/>
        <w:numPr>
          <w:ilvl w:val="0"/>
          <w:numId w:val="2"/>
        </w:numPr>
        <w:spacing w:before="40" w:after="40"/>
      </w:pPr>
      <w:r>
        <w:rPr>
          <w:rFonts w:ascii="Arial" w:cs="Arial" w:eastAsia="Arial" w:hAnsi="Arial"/>
          <w:sz w:val="22"/>
          <w:szCs w:val="22"/>
        </w:rPr>
        <w:t xml:space="preserve">Two designated engineers to participate in milestone reviews and acceptance testing</w:t>
      </w:r>
    </w:p>
    <w:p>
      <w:pPr>
        <w:pStyle w:val="ListParagraph"/>
        <w:numPr>
          <w:ilvl w:val="0"/>
          <w:numId w:val="2"/>
        </w:numPr>
        <w:spacing w:before="40" w:after="40"/>
      </w:pPr>
      <w:r>
        <w:rPr>
          <w:rFonts w:ascii="Arial" w:cs="Arial" w:eastAsia="Arial" w:hAnsi="Arial"/>
          <w:sz w:val="22"/>
          <w:szCs w:val="22"/>
        </w:rPr>
        <w:t xml:space="preserve">The completed Tenant Onboarding Workbook template as the input specification</w:t>
      </w:r>
    </w:p>
    <w:p>
      <w:pPr>
        <w:pStyle w:val="ListParagraph"/>
        <w:numPr>
          <w:ilvl w:val="0"/>
          <w:numId w:val="2"/>
        </w:numPr>
        <w:spacing w:before="40" w:after="40"/>
      </w:pPr>
      <w:r>
        <w:rPr>
          <w:rFonts w:ascii="Arial" w:cs="Arial" w:eastAsia="Arial" w:hAnsi="Arial"/>
          <w:sz w:val="22"/>
          <w:szCs w:val="22"/>
        </w:rPr>
        <w:t xml:space="preserve">Test partner credential packages (certificates and TOTP seeds) for POC connectivity testing</w:t>
      </w:r>
    </w:p>
    <w:p>
      <w:pPr>
        <w:pStyle w:val="ListParagraph"/>
        <w:numPr>
          <w:ilvl w:val="0"/>
          <w:numId w:val="2"/>
        </w:numPr>
        <w:spacing w:before="40" w:after="40"/>
      </w:pPr>
      <w:r>
        <w:rPr>
          <w:rFonts w:ascii="Arial" w:cs="Arial" w:eastAsia="Arial" w:hAnsi="Arial"/>
          <w:sz w:val="22"/>
          <w:szCs w:val="22"/>
        </w:rPr>
        <w:t xml:space="preserve">Acceptance test scenarios based on the GW Platform use case catalogue</w:t>
      </w:r>
    </w:p>
    <w:p>
      <w:pPr>
        <w:pStyle w:val="Heading2"/>
        <w:spacing w:before="280" w:after="80"/>
      </w:pPr>
      <w:r>
        <w:rPr>
          <w:rFonts w:ascii="Arial" w:cs="Arial" w:eastAsia="Arial" w:hAnsi="Arial"/>
          <w:b/>
          <w:bCs/>
          <w:color w:val="2E75B6"/>
          <w:sz w:val="26"/>
          <w:szCs w:val="26"/>
        </w:rPr>
        <w:t xml:space="preserve">5.4 Documentation Requirements</w:t>
      </w:r>
    </w:p>
    <w:p>
      <w:pPr>
        <w:spacing w:before="60" w:after="120"/>
      </w:pPr>
      <w:r>
        <w:rPr>
          <w:rFonts w:ascii="Arial" w:cs="Arial" w:eastAsia="Arial" w:hAnsi="Arial"/>
          <w:sz w:val="22"/>
          <w:szCs w:val="22"/>
        </w:rPr>
        <w:t xml:space="preserve">The following documentation must be delivered as part of the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Document</w:t>
            </w:r>
          </w:p>
        </w:tc>
        <w:tc>
          <w:tcPr>
            <w:tcW w:type="dxa" w:w="4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Required By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Architecture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F5 Distributed Cloud implements per-tenant proxy tenancy, CA isolation, and DNS segmentation at the platform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Engineering Workflow Document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Step-by-step workflows EW-01 through EW-04 with API call specifications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 Isolation Model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 description of the isolation boundaries between tenants — what is shared, what is per-tenant, and what structural enforcement prevents cross-tenant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Self-Service API Specification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 sequence specifications for all lifecycle workflows, structured for portal integration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POC Final Report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Capability demonstration results against all acceptance criteria, gap analysis, and production readiness assessment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w:t>
            </w:r>
          </w:p>
        </w:tc>
      </w:tr>
    </w:tbl>
    <w:p>
      <w:r>
        <w:br w:type="page"/>
      </w:r>
    </w:p>
    <w:p>
      <w:pPr>
        <w:pStyle w:val="Heading1"/>
        <w:spacing w:before="360" w:after="120"/>
      </w:pPr>
      <w:r>
        <w:rPr>
          <w:rFonts w:ascii="Arial" w:cs="Arial" w:eastAsia="Arial" w:hAnsi="Arial"/>
          <w:b/>
          <w:bCs/>
          <w:color w:val="1F3864"/>
          <w:sz w:val="32"/>
          <w:szCs w:val="32"/>
        </w:rPr>
        <w:t xml:space="preserve">6. Evaluation Criteria and Scoring</w:t>
      </w:r>
    </w:p>
    <w:p>
      <w:pPr>
        <w:spacing w:before="60" w:after="120"/>
      </w:pPr>
      <w:r>
        <w:rPr>
          <w:rFonts w:ascii="Arial" w:cs="Arial" w:eastAsia="Arial" w:hAnsi="Arial"/>
          <w:sz w:val="22"/>
          <w:szCs w:val="22"/>
        </w:rPr>
        <w:t xml:space="preserve">The POC evaluation is comparative. F5 Distributed Cloud is evaluated against Cloudflare using the same criteria and weighting. The evaluation is conducted by the CVS Health architecture team with input from the designated integrator assessment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Evaluation Dimension</w:t>
            </w:r>
          </w:p>
        </w:tc>
        <w:tc>
          <w:tcPr>
            <w:tcW w:type="dxa" w:w="1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Weight</w:t>
            </w:r>
          </w:p>
        </w:tc>
        <w:tc>
          <w:tcPr>
            <w:tcW w:type="dxa" w:w="47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Is Being Assessed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Per-Tenant CA Isolation (CR-01)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Genuine per-tenant CA trust separation at the platform level, not policy-based isolation over a shared CA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SSH Managed Access Completeness (CR-02)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managed session model including credential vaulting and transparent injection — not TCP passthrough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Tenant Segmentation (CR-03)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Genuine per-tenant DNS isolation — dedicated listener per tenant, not shared resolver with per-tenant filters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Lifecycle Automation Quality (CR-04)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Completeness and quality of provisioning/offboarding workflows, particularly zero residual state on offboarding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Self-Service API Readiness (foundation for Sept 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 and completeness of the API specifications delivered as POC output — these directly determine September 30 feasibility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Multi-Tenant Scale and Isolation (CR-05)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Demonstrated simultaneous operation across five tenants with verified cross-tenant isolation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r>
              <w:rPr>
                <w:rFonts w:ascii="Arial" w:cs="Arial" w:eastAsia="Arial" w:hAnsi="Arial"/>
                <w:b/>
                <w:bCs/>
                <w:color w:val="1F3864"/>
                <w:sz w:val="22"/>
                <w:szCs w:val="22"/>
              </w:rPr>
              <w:t xml:space="preserve">CRITICAL NOTE: </w:t>
            </w:r>
            <w:r>
              <w:rPr>
                <w:rFonts w:ascii="Arial" w:cs="Arial" w:eastAsia="Arial" w:hAnsi="Arial"/>
                <w:color w:val="404040"/>
                <w:sz w:val="22"/>
                <w:szCs w:val="22"/>
              </w:rPr>
              <w:t xml:space="preserve">Per-tenant CA isolation carries the highest single weight (25%) because this is the requirement where F5 and Cloudflare diverge most structurally. Cloudflare's mTLS model is not designed for tenant-scoped CA isolation. F5's POC must demonstrate this capability cleanly and convincingly to support the vendor selection recommendation.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404040"/>
        <w:sz w:val="18"/>
        <w:szCs w:val="18"/>
      </w:rPr>
      <w:t xml:space="preserve">CVS Health — Third-Party Landing Zone Program</w:t>
    </w:r>
    <w:r>
      <w:rPr>
        <w:rFonts w:ascii="Arial" w:cs="Arial" w:eastAsia="Arial" w:hAnsi="Arial"/>
        <w:color w:val="40404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404040"/>
        <w:sz w:val="18"/>
        <w:szCs w:val="18"/>
      </w:rPr>
      <w:t xml:space="preserve">3PLZ Secure Access Edge — F5 Distributed Cloud POC Deliverables</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2026-03-06T15:53:41.090Z</dcterms:created>
  <dcterms:modified xsi:type="dcterms:W3CDTF">2026-03-06T15:53:41.090Z</dcterms:modified>
</cp:coreProperties>
</file>

<file path=docProps/custom.xml><?xml version="1.0" encoding="utf-8"?>
<Properties xmlns="http://schemas.openxmlformats.org/officeDocument/2006/custom-properties" xmlns:vt="http://schemas.openxmlformats.org/officeDocument/2006/docPropsVTypes"/>
</file>