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pBdr>
          <w:bottom w:val="single" w:color="2E75B6" w:sz="16" w:space="1"/>
        </w:pBdr>
        <w:spacing w:before="0" w:after="0"/>
        <w:jc w:val="left"/>
      </w:pPr>
    </w:p>
    <w:p>
      <w:pPr>
        <w:spacing w:before="120" w:after="0"/>
      </w:pPr>
    </w:p>
    <w:p>
      <w:pPr>
        <w:spacing w:before="0" w:after="40"/>
      </w:pPr>
      <w:r>
        <w:rPr>
          <w:rFonts w:ascii="Arial" w:cs="Arial" w:eastAsia="Arial" w:hAnsi="Arial"/>
          <w:b/>
          <w:bCs/>
          <w:color w:val="0F2744"/>
          <w:sz w:val="60"/>
          <w:szCs w:val="60"/>
        </w:rPr>
        <w:t xml:space="preserve">CVS HEALTH</w:t>
      </w:r>
    </w:p>
    <w:p>
      <w:pPr>
        <w:spacing w:before="0" w:after="40"/>
      </w:pPr>
      <w:r>
        <w:rPr>
          <w:rFonts w:ascii="Arial" w:cs="Arial" w:eastAsia="Arial" w:hAnsi="Arial"/>
          <w:color w:val="2E75B6"/>
          <w:sz w:val="32"/>
          <w:szCs w:val="32"/>
        </w:rPr>
        <w:t xml:space="preserve">Third-Party Landing Zone  ·  3PLZ</w:t>
      </w:r>
    </w:p>
    <w:p>
      <w:pPr>
        <w:spacing w:before="60" w:after="0"/>
      </w:pPr>
    </w:p>
    <w:p>
      <w:pPr>
        <w:spacing w:before="0" w:after="20"/>
      </w:pPr>
      <w:r>
        <w:rPr>
          <w:rFonts w:ascii="Arial" w:cs="Arial" w:eastAsia="Arial" w:hAnsi="Arial"/>
          <w:b/>
          <w:bCs/>
          <w:color w:val="1F3864"/>
          <w:sz w:val="52"/>
          <w:szCs w:val="52"/>
        </w:rPr>
        <w:t xml:space="preserve">Request for Quotation</w:t>
      </w:r>
    </w:p>
    <w:p>
      <w:pPr>
        <w:spacing w:before="0" w:after="0"/>
      </w:pPr>
      <w:r>
        <w:rPr>
          <w:rFonts w:ascii="Arial" w:cs="Arial" w:eastAsia="Arial" w:hAnsi="Arial"/>
          <w:color w:val="1F497D"/>
          <w:sz w:val="28"/>
          <w:szCs w:val="28"/>
        </w:rPr>
        <w:t xml:space="preserve">PA-5400 Multi-Tenant Platform — Technical Build &amp; Migration Services</w:t>
      </w:r>
    </w:p>
    <w:p>
      <w:pPr>
        <w:spacing w:before="80" w:after="0"/>
      </w:pPr>
    </w:p>
    <w:p>
      <w:pPr>
        <w:pBdr>
          <w:bottom w:val="single" w:color="D6E4F0" w:sz="4" w:space="1"/>
        </w:pBdr>
        <w:spacing w:before="120" w:after="12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Issuing Organisation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CVS Health Corporation — Network &amp; Security Engineering</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RFQ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3PLZ-RFQ-2026-001</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Programme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Landing Zone (3PLZ) — Secure Access Edge Platform</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build, automation pipeline, and migration execution for 231 partner VPN connections from Cisco ASA to PA-5400 Single-VSYS per-tenant VR architecture</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CVS Retained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partner governance, data collection via Tenant Onboarding Workbook, ServiceNow approval workflow, parallel operation monitoring, and partner sign-off</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Response Deadline</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20"/>
                <w:szCs w:val="20"/>
              </w:rPr>
              <w:t xml:space="preserve">[INSERT DATE — RECOMMENDED: 4 WEEKS FROM ISSUE]</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400" w:after="120"/>
      </w:pPr>
      <w:r>
        <w:rPr>
          <w:rFonts w:ascii="Arial" w:cs="Arial" w:eastAsia="Arial" w:hAnsi="Arial"/>
          <w:b/>
          <w:bCs/>
          <w:color w:val="1F3864"/>
          <w:sz w:val="32"/>
          <w:szCs w:val="32"/>
        </w:rPr>
        <w:t xml:space="preserve">1. Introduction and Programme Context</w:t>
      </w:r>
    </w:p>
    <w:p>
      <w:pPr>
        <w:pStyle w:val="Heading2"/>
        <w:spacing w:before="260" w:after="80"/>
      </w:pPr>
      <w:r>
        <w:rPr>
          <w:rFonts w:ascii="Arial" w:cs="Arial" w:eastAsia="Arial" w:hAnsi="Arial"/>
          <w:b/>
          <w:bCs/>
          <w:color w:val="2E75B6"/>
          <w:sz w:val="26"/>
          <w:szCs w:val="26"/>
        </w:rPr>
        <w:t xml:space="preserve">1.1 Background</w:t>
      </w:r>
    </w:p>
    <w:p>
      <w:pPr>
        <w:spacing w:before="60" w:after="100"/>
      </w:pPr>
      <w:r>
        <w:rPr>
          <w:rFonts w:ascii="Arial" w:cs="Arial" w:eastAsia="Arial" w:hAnsi="Arial"/>
          <w:color w:val="374151"/>
          <w:sz w:val="22"/>
          <w:szCs w:val="22"/>
        </w:rPr>
        <w:t xml:space="preserve">CVS Health operates the Third-Party Landing Zone (3PLZ) programme to govern secure network connectivity between CVS internal application infrastructure and its external partner estate. The current transport platform — a Cisco ASA 5585-SSP-40 designated PAZSHDC-SEC-EXT-VPN-01, running ASA Version 9.12(3)9 — terminates 231 active Layer 2 to Layer 3 VPN connections to third-party partners.</w:t>
      </w:r>
    </w:p>
    <w:p>
      <w:pPr>
        <w:spacing w:before="60" w:after="100"/>
      </w:pPr>
      <w:r>
        <w:rPr>
          <w:rFonts w:ascii="Arial" w:cs="Arial" w:eastAsia="Arial" w:hAnsi="Arial"/>
          <w:color w:val="374151"/>
          <w:sz w:val="22"/>
          <w:szCs w:val="22"/>
        </w:rPr>
        <w:t xml:space="preserve">A full configuration analysis of the ASA has identified material cryptographic, operational, and architectural risks that make the platform unsuitable for continued production use and specifically incompatible with the PA-5400 automation-first architecture that is the confirmed target platform for the 3PLZ programme. These risks are not theoretical — they are present in the running configuration today.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744" w:sz="8"/>
              <w:left w:val="single" w:color="0F2744" w:sz="8"/>
              <w:bottom w:val="single" w:color="0F2744" w:sz="8"/>
              <w:right w:val="single" w:color="0F2744" w:sz="8"/>
            </w:tcBorders>
            <w:shd w:fill="0F2744" w:val="clear"/>
            <w:tcMar>
              <w:top w:type="dxa" w:w="160"/>
              <w:left w:type="dxa" w:w="220"/>
              <w:bottom w:type="dxa" w:w="160"/>
              <w:right w:type="dxa" w:w="220"/>
            </w:tcMar>
          </w:tcPr>
          <w:p>
            <w:pPr>
              <w:spacing w:before="0" w:after="60"/>
            </w:pPr>
            <w:r>
              <w:rPr>
                <w:rFonts w:ascii="Arial" w:cs="Arial" w:eastAsia="Arial" w:hAnsi="Arial"/>
                <w:b/>
                <w:bCs/>
                <w:color w:val="FFFFFF"/>
                <w:sz w:val="22"/>
                <w:szCs w:val="22"/>
              </w:rPr>
              <w:t xml:space="preserve">ASA Risk Summary — Running Configuration</w:t>
            </w:r>
          </w:p>
          <w:p>
            <w:pPr>
              <w:spacing w:before="0" w:after="20"/>
            </w:pPr>
            <w:r>
              <w:rPr>
                <w:rFonts w:ascii="Arial" w:cs="Arial" w:eastAsia="Arial" w:hAnsi="Arial"/>
                <w:color w:val="FFFFFF"/>
                <w:sz w:val="22"/>
                <w:szCs w:val="22"/>
              </w:rPr>
              <w:t xml:space="preserve">231 active L2L tunnel groups  |  158 tunnels on IKEv1 (deprecated per RFC 9395)  |  31 tunnels using DES or 3DES-MD5 (critically weak crypto)</w:t>
            </w:r>
          </w:p>
          <w:p>
            <w:pPr>
              <w:spacing w:before="0" w:after="20"/>
            </w:pPr>
            <w:r>
              <w:rPr>
                <w:rFonts w:ascii="Arial" w:cs="Arial" w:eastAsia="Arial" w:hAnsi="Arial"/>
                <w:color w:val="FFFFFF"/>
                <w:sz w:val="22"/>
                <w:szCs w:val="22"/>
              </w:rPr>
              <w:t xml:space="preserve">26 IKE policies simultaneously active — no enforced minimum standard  |  DH group 2 (1024-bit MODP) permitted — NIST-prohibited since 2015</w:t>
            </w:r>
          </w:p>
          <w:p>
            <w:pPr>
              <w:spacing w:before="0" w:after="20"/>
            </w:pPr>
            <w:r>
              <w:rPr>
                <w:rFonts w:ascii="Arial" w:cs="Arial" w:eastAsia="Arial" w:hAnsi="Arial"/>
                <w:color w:val="FFFFFF"/>
                <w:sz w:val="22"/>
                <w:szCs w:val="22"/>
              </w:rPr>
              <w:t xml:space="preserve">229 of 231 tunnel groups keyed by peer IP — no stable identity, automation-incompatible</w:t>
            </w:r>
          </w:p>
          <w:p>
            <w:pPr>
              <w:spacing w:before="0" w:after="20"/>
            </w:pPr>
            <w:r>
              <w:rPr>
                <w:rFonts w:ascii="Arial" w:cs="Arial" w:eastAsia="Arial" w:hAnsi="Arial"/>
                <w:color w:val="FFFFFF"/>
                <w:sz w:val="22"/>
                <w:szCs w:val="22"/>
              </w:rPr>
              <w:t xml:space="preserve">340 PSK references — no certificate auth, no revocation mechanism, no documented rotation</w:t>
            </w:r>
          </w:p>
          <w:p>
            <w:pPr>
              <w:spacing w:before="0" w:after="20"/>
            </w:pPr>
            <w:r>
              <w:rPr>
                <w:rFonts w:ascii="Arial" w:cs="Arial" w:eastAsia="Arial" w:hAnsi="Arial"/>
                <w:color w:val="FFFFFF"/>
                <w:sz w:val="22"/>
                <w:szCs w:val="22"/>
              </w:rPr>
              <w:t xml:space="preserve">12 NAT rules govern 231 tunnels — no per-partner SNAT, internal addressing visible to partners</w:t>
            </w:r>
          </w:p>
        </w:tc>
      </w:tr>
    </w:tbl>
    <w:p>
      <w:pPr>
        <w:spacing w:before="80" w:after="80"/>
      </w:pPr>
    </w:p>
    <w:p>
      <w:pPr>
        <w:pStyle w:val="Heading2"/>
        <w:spacing w:before="260" w:after="80"/>
      </w:pPr>
      <w:r>
        <w:rPr>
          <w:rFonts w:ascii="Arial" w:cs="Arial" w:eastAsia="Arial" w:hAnsi="Arial"/>
          <w:b/>
          <w:bCs/>
          <w:color w:val="2E75B6"/>
          <w:sz w:val="26"/>
          <w:szCs w:val="26"/>
        </w:rPr>
        <w:t xml:space="preserve">1.2 Target Architecture</w:t>
      </w:r>
    </w:p>
    <w:p>
      <w:pPr>
        <w:spacing w:before="60" w:after="100"/>
      </w:pPr>
      <w:r>
        <w:rPr>
          <w:rFonts w:ascii="Arial" w:cs="Arial" w:eastAsia="Arial" w:hAnsi="Arial"/>
          <w:color w:val="374151"/>
          <w:sz w:val="22"/>
          <w:szCs w:val="22"/>
        </w:rPr>
        <w:t xml:space="preserve">The confirmed replacement platform is a Palo Alto PA-5400 series Active/Passive HA pair operating in a Single-VSYS, Per-Tenant Virtual Router architecture governed by a Panorama-integrated automation pipeline. The architecture is described in full in the reference document: PA-5400 Multi-Tenant Firewall Platform — Architecture Design Document v1.0.</w:t>
      </w:r>
    </w:p>
    <w:p>
      <w:pPr>
        <w:spacing w:before="60" w:after="100"/>
      </w:pPr>
      <w:r>
        <w:rPr>
          <w:rFonts w:ascii="Arial" w:cs="Arial" w:eastAsia="Arial" w:hAnsi="Arial"/>
          <w:color w:val="374151"/>
          <w:sz w:val="22"/>
          <w:szCs w:val="22"/>
        </w:rPr>
        <w:t xml:space="preserve">The four governing principles of the target architecture are:</w:t>
      </w:r>
    </w:p>
    <w:p>
      <w:pPr>
        <w:pStyle w:val="ListParagraph"/>
        <w:numPr>
          <w:ilvl w:val="0"/>
          <w:numId w:val="2"/>
        </w:numPr>
        <w:spacing w:before="40" w:after="40"/>
      </w:pPr>
      <w:r>
        <w:rPr>
          <w:rFonts w:ascii="Arial" w:cs="Arial" w:eastAsia="Arial" w:hAnsi="Arial"/>
          <w:b/>
          <w:bCs/>
          <w:color w:val="1F3864"/>
          <w:sz w:val="22"/>
          <w:szCs w:val="22"/>
        </w:rPr>
        <w:t xml:space="preserve">Automation-first: </w:t>
      </w:r>
      <w:r>
        <w:rPr>
          <w:rFonts w:ascii="Arial" w:cs="Arial" w:eastAsia="Arial" w:hAnsi="Arial"/>
          <w:color w:val="374151"/>
          <w:sz w:val="22"/>
          <w:szCs w:val="22"/>
        </w:rPr>
        <w:t xml:space="preserve">All tenant configuration is delivered exclusively through a validated automation pipeline. The firewall is a rendering target — it is never modified directly. Manual CLI changes to tenant configuration are prohibited.</w:t>
      </w:r>
    </w:p>
    <w:p>
      <w:pPr>
        <w:pStyle w:val="ListParagraph"/>
        <w:numPr>
          <w:ilvl w:val="0"/>
          <w:numId w:val="2"/>
        </w:numPr>
        <w:spacing w:before="40" w:after="40"/>
      </w:pPr>
      <w:r>
        <w:rPr>
          <w:rFonts w:ascii="Arial" w:cs="Arial" w:eastAsia="Arial" w:hAnsi="Arial"/>
          <w:b/>
          <w:bCs/>
          <w:color w:val="1F3864"/>
          <w:sz w:val="22"/>
          <w:szCs w:val="22"/>
        </w:rPr>
        <w:t xml:space="preserve">Per-tenant zone and virtual router isolation: </w:t>
      </w:r>
      <w:r>
        <w:rPr>
          <w:rFonts w:ascii="Arial" w:cs="Arial" w:eastAsia="Arial" w:hAnsi="Arial"/>
          <w:color w:val="374151"/>
          <w:sz w:val="22"/>
          <w:szCs w:val="22"/>
        </w:rPr>
        <w:t xml:space="preserve">Each tenant receives a dedicated security zone (tz-{TID}-ipsec) and a dedicated virtual router (vr-{TID}). Zone and routing context isolation are platform-enforced, not configuration-disciplined.</w:t>
      </w:r>
    </w:p>
    <w:p>
      <w:pPr>
        <w:pStyle w:val="ListParagraph"/>
        <w:numPr>
          <w:ilvl w:val="0"/>
          <w:numId w:val="2"/>
        </w:numPr>
        <w:spacing w:before="40" w:after="40"/>
      </w:pPr>
      <w:r>
        <w:rPr>
          <w:rFonts w:ascii="Arial" w:cs="Arial" w:eastAsia="Arial" w:hAnsi="Arial"/>
          <w:b/>
          <w:bCs/>
          <w:color w:val="1F3864"/>
          <w:sz w:val="22"/>
          <w:szCs w:val="22"/>
        </w:rPr>
        <w:t xml:space="preserve">Bidirectional SNAT identity masking: </w:t>
      </w:r>
      <w:r>
        <w:rPr>
          <w:rFonts w:ascii="Arial" w:cs="Arial" w:eastAsia="Arial" w:hAnsi="Arial"/>
          <w:color w:val="374151"/>
          <w:sz w:val="22"/>
          <w:szCs w:val="22"/>
        </w:rPr>
        <w:t xml:space="preserve">Per-tenant inbound and outbound SNAT identities ensure that neither the remote partner nor the internal network can observe the real addressing of the other party.</w:t>
      </w:r>
    </w:p>
    <w:p>
      <w:pPr>
        <w:pStyle w:val="ListParagraph"/>
        <w:numPr>
          <w:ilvl w:val="0"/>
          <w:numId w:val="2"/>
        </w:numPr>
        <w:spacing w:before="40" w:after="40"/>
      </w:pPr>
      <w:r>
        <w:rPr>
          <w:rFonts w:ascii="Arial" w:cs="Arial" w:eastAsia="Arial" w:hAnsi="Arial"/>
          <w:b/>
          <w:bCs/>
          <w:color w:val="1F3864"/>
          <w:sz w:val="22"/>
          <w:szCs w:val="22"/>
        </w:rPr>
        <w:t xml:space="preserve">Loopback-anchored IKE identity: </w:t>
      </w:r>
      <w:r>
        <w:rPr>
          <w:rFonts w:ascii="Arial" w:cs="Arial" w:eastAsia="Arial" w:hAnsi="Arial"/>
          <w:color w:val="374151"/>
          <w:sz w:val="22"/>
          <w:szCs w:val="22"/>
        </w:rPr>
        <w:t xml:space="preserve">IKE negotiation is anchored to a per-tenant loopback interface (/32). The identity is stable across physical interface changes, carrier changes, and HA failover.</w:t>
      </w:r>
    </w:p>
    <w:p>
      <w:pPr>
        <w:spacing w:before="80" w:after="80"/>
      </w:pPr>
    </w:p>
    <w:p>
      <w:pPr>
        <w:pStyle w:val="Heading2"/>
        <w:spacing w:before="260" w:after="80"/>
      </w:pPr>
      <w:r>
        <w:rPr>
          <w:rFonts w:ascii="Arial" w:cs="Arial" w:eastAsia="Arial" w:hAnsi="Arial"/>
          <w:b/>
          <w:bCs/>
          <w:color w:val="2E75B6"/>
          <w:sz w:val="26"/>
          <w:szCs w:val="26"/>
        </w:rPr>
        <w:t xml:space="preserve">1.3 Scope Division — What CVS Retains, What This RFQ Covers</w:t>
      </w:r>
    </w:p>
    <w:p>
      <w:pPr>
        <w:spacing w:before="60" w:after="100"/>
      </w:pPr>
      <w:r>
        <w:rPr>
          <w:rFonts w:ascii="Arial" w:cs="Arial" w:eastAsia="Arial" w:hAnsi="Arial"/>
          <w:color w:val="374151"/>
          <w:sz w:val="22"/>
          <w:szCs w:val="22"/>
        </w:rPr>
        <w:t xml:space="preserve">CVS Health will retain all governance, partner relationship management, and data collection work associated with the migration. This is not work that is out of scope because it is unimportant — it is retained because it requires CVS Health's direct partner relationships, internal access to ServiceNow, and knowledge of the business context of each connection.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CVS Health retains</w:t>
            </w:r>
          </w:p>
        </w:tc>
        <w:tc>
          <w:tcPr>
            <w:tcW w:type="dxa" w:w="4680"/>
            <w:tcBorders>
              <w:top w:val="single" w:color="2E75B6" w:sz="4"/>
              <w:left w:val="single" w:color="2E75B6" w:sz="4"/>
              <w:bottom w:val="single" w:color="2E75B6" w:sz="4"/>
              <w:right w:val="single" w:color="2E75B6" w:sz="4"/>
            </w:tcBorders>
            <w:shd w:fill="C55A11"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Vendor is responsible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Completing the Tenant Onboarding Workbook for each of the 231 tunnels — all data collection from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PA-5400 hardware and Panorama deployment, integration, and initial configuration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ServiceNow request creation, approval workflow management, and SNOW record maintenance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Automation pipeline — build, test, deployment, and documentation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Issuing migration notices to partners and scheduling cutover windows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IPAM service deployment and configuration for loopback, VTI, SNAT, and DMZ address pool management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Parallel operation monitoring and traffic verification during the 72-hour hold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HashiCorp Vault (or approved equivalent) deployment, PKI bootstrap integration, and PSK lifecycle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Partner confirmation and sign-off at the end of each migration event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Per-tunnel provisioning execution: gwreg alloc, pipeline render/validate/commit, acceptance test, and cutover support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ASA configuration decommission instruction and authorisation for each tunnel after partner sign-off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Physical removal of each ASA tunnel group, crypto map entry, ACL, and orphaned object-groups after CVS instruction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SIEM integration requirements definition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PA-5400 log forwarding to CVS SIEM target, tenant_id field validation, and log attribution testing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Programme governance, status reporting, and steering committee updates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Defect management, rollback execution, and post-migration remediation within the migration scope</w:t>
            </w:r>
          </w:p>
        </w:tc>
      </w:tr>
    </w:tbl>
    <w:p>
      <w:pPr>
        <w:spacing w:before="120" w:after="120"/>
      </w:pPr>
    </w:p>
    <w:p>
      <w:r>
        <w:br w:type="page"/>
      </w:r>
    </w:p>
    <w:p>
      <w:pPr>
        <w:pStyle w:val="Heading1"/>
        <w:spacing w:before="400" w:after="120"/>
      </w:pPr>
      <w:r>
        <w:rPr>
          <w:rFonts w:ascii="Arial" w:cs="Arial" w:eastAsia="Arial" w:hAnsi="Arial"/>
          <w:b/>
          <w:bCs/>
          <w:color w:val="1F3864"/>
          <w:sz w:val="32"/>
          <w:szCs w:val="32"/>
        </w:rPr>
        <w:t xml:space="preserve">2. Technical Requirements</w:t>
      </w:r>
    </w:p>
    <w:p>
      <w:pPr>
        <w:spacing w:before="60" w:after="100"/>
      </w:pPr>
      <w:r>
        <w:rPr>
          <w:rFonts w:ascii="Arial" w:cs="Arial" w:eastAsia="Arial" w:hAnsi="Arial"/>
          <w:color w:val="374151"/>
          <w:sz w:val="22"/>
          <w:szCs w:val="22"/>
        </w:rPr>
        <w:t xml:space="preserve">This section defines the mandatory technical requirements for the engagement. Responses must address each requirement explicitly. Requirements marked MANDATORY must be met in full — partial compliance is not acceptable. Where a requirement references a specific architecture document or workbook, respondents must confirm they have reviewed that document.</w:t>
      </w:r>
    </w:p>
    <w:p>
      <w:pPr>
        <w:pStyle w:val="Heading2"/>
        <w:spacing w:before="260" w:after="80"/>
      </w:pPr>
      <w:r>
        <w:rPr>
          <w:rFonts w:ascii="Arial" w:cs="Arial" w:eastAsia="Arial" w:hAnsi="Arial"/>
          <w:b/>
          <w:bCs/>
          <w:color w:val="2E75B6"/>
          <w:sz w:val="26"/>
          <w:szCs w:val="26"/>
        </w:rPr>
        <w:t xml:space="preserve">2.1 Platform Build Requirements</w:t>
      </w:r>
    </w:p>
    <w:p>
      <w:pPr>
        <w:pStyle w:val="Heading3"/>
        <w:spacing w:before="200" w:after="60"/>
      </w:pPr>
      <w:r>
        <w:rPr>
          <w:rFonts w:ascii="Arial" w:cs="Arial" w:eastAsia="Arial" w:hAnsi="Arial"/>
          <w:b/>
          <w:bCs/>
          <w:color w:val="1F497D"/>
          <w:sz w:val="23"/>
          <w:szCs w:val="23"/>
        </w:rPr>
        <w:t xml:space="preserve">TR-01 — PA-5400 HA Pair Deployment</w:t>
      </w:r>
    </w:p>
    <w:p>
      <w:pPr>
        <w:spacing w:before="60" w:after="100"/>
      </w:pPr>
      <w:r>
        <w:rPr>
          <w:rFonts w:ascii="Arial" w:cs="Arial" w:eastAsia="Arial" w:hAnsi="Arial"/>
          <w:color w:val="374151"/>
          <w:sz w:val="22"/>
          <w:szCs w:val="22"/>
        </w:rPr>
        <w:t xml:space="preserve">The vendor must deploy and commission a PA-5400 series Active/Passive HA pair. Both nodes must reach a fully synchronised operational state before any tenant provisioning activity begins.</w:t>
      </w:r>
    </w:p>
    <w:p>
      <w:pPr>
        <w:pStyle w:val="ListParagraph"/>
        <w:numPr>
          <w:ilvl w:val="0"/>
          <w:numId w:val="2"/>
        </w:numPr>
        <w:spacing w:before="40" w:after="40"/>
      </w:pPr>
      <w:r>
        <w:rPr>
          <w:rFonts w:ascii="Arial" w:cs="Arial" w:eastAsia="Arial" w:hAnsi="Arial"/>
          <w:color w:val="374151"/>
          <w:sz w:val="22"/>
          <w:szCs w:val="22"/>
        </w:rPr>
        <w:t xml:space="preserve">Active/Passive HA with state synchronisation across all session, IKE, and IPsec tables</w:t>
      </w:r>
    </w:p>
    <w:p>
      <w:pPr>
        <w:pStyle w:val="ListParagraph"/>
        <w:numPr>
          <w:ilvl w:val="0"/>
          <w:numId w:val="2"/>
        </w:numPr>
        <w:spacing w:before="40" w:after="40"/>
      </w:pPr>
      <w:r>
        <w:rPr>
          <w:rFonts w:ascii="Arial" w:cs="Arial" w:eastAsia="Arial" w:hAnsi="Arial"/>
          <w:color w:val="374151"/>
          <w:sz w:val="22"/>
          <w:szCs w:val="22"/>
        </w:rPr>
        <w:t xml:space="preserve">HA failover tested and validated — IKE and IPsec SAs must survive failover without tunnel renegotiation</w:t>
      </w:r>
    </w:p>
    <w:p>
      <w:pPr>
        <w:pStyle w:val="ListParagraph"/>
        <w:numPr>
          <w:ilvl w:val="0"/>
          <w:numId w:val="2"/>
        </w:numPr>
        <w:spacing w:before="40" w:after="40"/>
      </w:pPr>
      <w:r>
        <w:rPr>
          <w:rFonts w:ascii="Arial" w:cs="Arial" w:eastAsia="Arial" w:hAnsi="Arial"/>
          <w:color w:val="374151"/>
          <w:sz w:val="22"/>
          <w:szCs w:val="22"/>
        </w:rPr>
        <w:t xml:space="preserve">Floating IP address assignment tested across both HA nodes</w:t>
      </w:r>
    </w:p>
    <w:p>
      <w:pPr>
        <w:pStyle w:val="ListParagraph"/>
        <w:numPr>
          <w:ilvl w:val="0"/>
          <w:numId w:val="2"/>
        </w:numPr>
        <w:spacing w:before="40" w:after="40"/>
      </w:pPr>
      <w:r>
        <w:rPr>
          <w:rFonts w:ascii="Arial" w:cs="Arial" w:eastAsia="Arial" w:hAnsi="Arial"/>
          <w:color w:val="374151"/>
          <w:sz w:val="22"/>
          <w:szCs w:val="22"/>
        </w:rPr>
        <w:t xml:space="preserve">All physical cabling, interface assignment, and uplink connectivity completed by the vendor before handover to the pipeline integration phase</w:t>
      </w:r>
    </w:p>
    <w:p>
      <w:pPr>
        <w:pStyle w:val="ListParagraph"/>
        <w:numPr>
          <w:ilvl w:val="0"/>
          <w:numId w:val="2"/>
        </w:numPr>
        <w:spacing w:before="40" w:after="40"/>
      </w:pPr>
      <w:r>
        <w:rPr>
          <w:rFonts w:ascii="Arial" w:cs="Arial" w:eastAsia="Arial" w:hAnsi="Arial"/>
          <w:color w:val="374151"/>
          <w:sz w:val="22"/>
          <w:szCs w:val="22"/>
        </w:rPr>
        <w:t xml:space="preserve">HA configuration documented with interface mapping, failover trigger thresholds, and state sync verification results</w:t>
      </w:r>
    </w:p>
    <w:p>
      <w:pPr>
        <w:spacing w:before="40" w:after="40"/>
      </w:pPr>
    </w:p>
    <w:p>
      <w:pPr>
        <w:pStyle w:val="Heading3"/>
        <w:spacing w:before="200" w:after="60"/>
      </w:pPr>
      <w:r>
        <w:rPr>
          <w:rFonts w:ascii="Arial" w:cs="Arial" w:eastAsia="Arial" w:hAnsi="Arial"/>
          <w:b/>
          <w:bCs/>
          <w:color w:val="1F497D"/>
          <w:sz w:val="23"/>
          <w:szCs w:val="23"/>
        </w:rPr>
        <w:t xml:space="preserve">TR-02 — Panorama Integration</w:t>
      </w:r>
    </w:p>
    <w:p>
      <w:pPr>
        <w:spacing w:before="60" w:after="100"/>
      </w:pPr>
      <w:r>
        <w:rPr>
          <w:rFonts w:ascii="Arial" w:cs="Arial" w:eastAsia="Arial" w:hAnsi="Arial"/>
          <w:color w:val="374151"/>
          <w:sz w:val="22"/>
          <w:szCs w:val="22"/>
        </w:rPr>
        <w:t xml:space="preserve">All firewall configuration must be managed exclusively through Panorama. No tenant configuration may be applied directly to the firewall CLI.</w:t>
      </w:r>
    </w:p>
    <w:p>
      <w:pPr>
        <w:pStyle w:val="ListParagraph"/>
        <w:numPr>
          <w:ilvl w:val="0"/>
          <w:numId w:val="2"/>
        </w:numPr>
        <w:spacing w:before="40" w:after="40"/>
      </w:pPr>
      <w:r>
        <w:rPr>
          <w:rFonts w:ascii="Arial" w:cs="Arial" w:eastAsia="Arial" w:hAnsi="Arial"/>
          <w:color w:val="374151"/>
          <w:sz w:val="22"/>
          <w:szCs w:val="22"/>
        </w:rPr>
        <w:t xml:space="preserve">Panorama deployed and registered to the PA-5400 HA pair</w:t>
      </w:r>
    </w:p>
    <w:p>
      <w:pPr>
        <w:pStyle w:val="ListParagraph"/>
        <w:numPr>
          <w:ilvl w:val="0"/>
          <w:numId w:val="2"/>
        </w:numPr>
        <w:spacing w:before="40" w:after="40"/>
      </w:pPr>
      <w:r>
        <w:rPr>
          <w:rFonts w:ascii="Arial" w:cs="Arial" w:eastAsia="Arial" w:hAnsi="Arial"/>
          <w:color w:val="374151"/>
          <w:sz w:val="22"/>
          <w:szCs w:val="22"/>
        </w:rPr>
        <w:t xml:space="preserve">Per-tenant device group structure created in Panorama — one device group per tenant, scoped commit capability confirmed</w:t>
      </w:r>
    </w:p>
    <w:p>
      <w:pPr>
        <w:pStyle w:val="ListParagraph"/>
        <w:numPr>
          <w:ilvl w:val="0"/>
          <w:numId w:val="2"/>
        </w:numPr>
        <w:spacing w:before="40" w:after="40"/>
      </w:pPr>
      <w:r>
        <w:rPr>
          <w:rFonts w:ascii="Arial" w:cs="Arial" w:eastAsia="Arial" w:hAnsi="Arial"/>
          <w:color w:val="374151"/>
          <w:sz w:val="22"/>
          <w:szCs w:val="22"/>
        </w:rPr>
        <w:t xml:space="preserve">Template and template stack hierarchy designed to support the per-tenant VR and zone model defined in the architecture document</w:t>
      </w:r>
    </w:p>
    <w:p>
      <w:pPr>
        <w:pStyle w:val="ListParagraph"/>
        <w:numPr>
          <w:ilvl w:val="0"/>
          <w:numId w:val="2"/>
        </w:numPr>
        <w:spacing w:before="40" w:after="40"/>
      </w:pPr>
      <w:r>
        <w:rPr>
          <w:rFonts w:ascii="Arial" w:cs="Arial" w:eastAsia="Arial" w:hAnsi="Arial"/>
          <w:color w:val="374151"/>
          <w:sz w:val="22"/>
          <w:szCs w:val="22"/>
        </w:rPr>
        <w:t xml:space="preserve">Panorama API access confirmed from the automation pipeline service account — read, write, and commit operations validated</w:t>
      </w:r>
    </w:p>
    <w:p>
      <w:pPr>
        <w:pStyle w:val="ListParagraph"/>
        <w:numPr>
          <w:ilvl w:val="0"/>
          <w:numId w:val="2"/>
        </w:numPr>
        <w:spacing w:before="40" w:after="40"/>
      </w:pPr>
      <w:r>
        <w:rPr>
          <w:rFonts w:ascii="Arial" w:cs="Arial" w:eastAsia="Arial" w:hAnsi="Arial"/>
          <w:color w:val="374151"/>
          <w:sz w:val="22"/>
          <w:szCs w:val="22"/>
        </w:rPr>
        <w:t xml:space="preserve">Panorama administrator accounts provisioned per CVS RBAC requirements — break-glass access procedure documented</w:t>
      </w:r>
    </w:p>
    <w:p>
      <w:pPr>
        <w:spacing w:before="40" w:after="40"/>
      </w:pPr>
    </w:p>
    <w:p>
      <w:pPr>
        <w:pStyle w:val="Heading3"/>
        <w:spacing w:before="200" w:after="60"/>
      </w:pPr>
      <w:r>
        <w:rPr>
          <w:rFonts w:ascii="Arial" w:cs="Arial" w:eastAsia="Arial" w:hAnsi="Arial"/>
          <w:b/>
          <w:bCs/>
          <w:color w:val="1F497D"/>
          <w:sz w:val="23"/>
          <w:szCs w:val="23"/>
        </w:rPr>
        <w:t xml:space="preserve">TR-03 — Base Platform Configuration</w:t>
      </w:r>
    </w:p>
    <w:p>
      <w:pPr>
        <w:spacing w:before="60" w:after="100"/>
      </w:pPr>
      <w:r>
        <w:rPr>
          <w:rFonts w:ascii="Arial" w:cs="Arial" w:eastAsia="Arial" w:hAnsi="Arial"/>
          <w:color w:val="374151"/>
          <w:sz w:val="22"/>
          <w:szCs w:val="22"/>
        </w:rPr>
        <w:t xml:space="preserve">Before any tenant is provisioned, the following platform baseline must be validated:</w:t>
      </w:r>
    </w:p>
    <w:p>
      <w:pPr>
        <w:pStyle w:val="ListParagraph"/>
        <w:numPr>
          <w:ilvl w:val="0"/>
          <w:numId w:val="2"/>
        </w:numPr>
        <w:spacing w:before="40" w:after="40"/>
      </w:pPr>
      <w:r>
        <w:rPr>
          <w:rFonts w:ascii="Arial" w:cs="Arial" w:eastAsia="Arial" w:hAnsi="Arial"/>
          <w:color w:val="374151"/>
          <w:sz w:val="22"/>
          <w:szCs w:val="22"/>
        </w:rPr>
        <w:t xml:space="preserve">Single-VSYS confirmed — multi-VSYS explicitly disabled</w:t>
      </w:r>
    </w:p>
    <w:p>
      <w:pPr>
        <w:pStyle w:val="ListParagraph"/>
        <w:numPr>
          <w:ilvl w:val="0"/>
          <w:numId w:val="2"/>
        </w:numPr>
        <w:spacing w:before="40" w:after="40"/>
      </w:pPr>
      <w:r>
        <w:rPr>
          <w:rFonts w:ascii="Arial" w:cs="Arial" w:eastAsia="Arial" w:hAnsi="Arial"/>
          <w:color w:val="374151"/>
          <w:sz w:val="22"/>
          <w:szCs w:val="22"/>
        </w:rPr>
        <w:t xml:space="preserve">Shared zones configured: shared-sidecar, shared-intranet, and management zone</w:t>
      </w:r>
    </w:p>
    <w:p>
      <w:pPr>
        <w:pStyle w:val="ListParagraph"/>
        <w:numPr>
          <w:ilvl w:val="0"/>
          <w:numId w:val="2"/>
        </w:numPr>
        <w:spacing w:before="40" w:after="40"/>
      </w:pPr>
      <w:r>
        <w:rPr>
          <w:rFonts w:ascii="Arial" w:cs="Arial" w:eastAsia="Arial" w:hAnsi="Arial"/>
          <w:color w:val="374151"/>
          <w:sz w:val="22"/>
          <w:szCs w:val="22"/>
        </w:rPr>
        <w:t xml:space="preserve">Platform-level security profiles configured: threat inspection profiles for IPsec-connected tenants and circuit-connected tenants per architecture document Section 7.2</w:t>
      </w:r>
    </w:p>
    <w:p>
      <w:pPr>
        <w:pStyle w:val="ListParagraph"/>
        <w:numPr>
          <w:ilvl w:val="0"/>
          <w:numId w:val="2"/>
        </w:numPr>
        <w:spacing w:before="40" w:after="40"/>
      </w:pPr>
      <w:r>
        <w:rPr>
          <w:rFonts w:ascii="Arial" w:cs="Arial" w:eastAsia="Arial" w:hAnsi="Arial"/>
          <w:color w:val="374151"/>
          <w:sz w:val="22"/>
          <w:szCs w:val="22"/>
        </w:rPr>
        <w:t xml:space="preserve">QoS policy framework configured at platform level — per-tenant QoS binding points defined</w:t>
      </w:r>
    </w:p>
    <w:p>
      <w:pPr>
        <w:pStyle w:val="ListParagraph"/>
        <w:numPr>
          <w:ilvl w:val="0"/>
          <w:numId w:val="2"/>
        </w:numPr>
        <w:spacing w:before="40" w:after="40"/>
      </w:pPr>
      <w:r>
        <w:rPr>
          <w:rFonts w:ascii="Arial" w:cs="Arial" w:eastAsia="Arial" w:hAnsi="Arial"/>
          <w:color w:val="374151"/>
          <w:sz w:val="22"/>
          <w:szCs w:val="22"/>
        </w:rPr>
        <w:t xml:space="preserve">DNS proxy framework configured — per-tenant dns-{TID} objects renderable from pipeline</w:t>
      </w:r>
    </w:p>
    <w:p>
      <w:pPr>
        <w:pStyle w:val="ListParagraph"/>
        <w:numPr>
          <w:ilvl w:val="0"/>
          <w:numId w:val="2"/>
        </w:numPr>
        <w:spacing w:before="40" w:after="40"/>
      </w:pPr>
      <w:r>
        <w:rPr>
          <w:rFonts w:ascii="Arial" w:cs="Arial" w:eastAsia="Arial" w:hAnsi="Arial"/>
          <w:color w:val="374151"/>
          <w:sz w:val="22"/>
          <w:szCs w:val="22"/>
        </w:rPr>
        <w:t xml:space="preserve">Global IKEv2-only enforcement confirmed — IKEv1 disabled at platform level</w:t>
      </w:r>
    </w:p>
    <w:p>
      <w:pPr>
        <w:pStyle w:val="Heading2"/>
        <w:spacing w:before="260" w:after="80"/>
      </w:pPr>
      <w:r>
        <w:rPr>
          <w:rFonts w:ascii="Arial" w:cs="Arial" w:eastAsia="Arial" w:hAnsi="Arial"/>
          <w:b/>
          <w:bCs/>
          <w:color w:val="2E75B6"/>
          <w:sz w:val="26"/>
          <w:szCs w:val="26"/>
        </w:rPr>
        <w:t xml:space="preserve">2.2 Automation Pipeline Requirements</w:t>
      </w:r>
    </w:p>
    <w:p>
      <w:pPr>
        <w:pStyle w:val="Heading3"/>
        <w:spacing w:before="200" w:after="60"/>
      </w:pPr>
      <w:r>
        <w:rPr>
          <w:rFonts w:ascii="Arial" w:cs="Arial" w:eastAsia="Arial" w:hAnsi="Arial"/>
          <w:b/>
          <w:bCs/>
          <w:color w:val="1F497D"/>
          <w:sz w:val="23"/>
          <w:szCs w:val="23"/>
        </w:rPr>
        <w:t xml:space="preserve">TR-04 — Pipeline Architecture and Implementation</w:t>
      </w:r>
    </w:p>
    <w:p>
      <w:pPr>
        <w:spacing w:before="60" w:after="100"/>
      </w:pPr>
      <w:r>
        <w:rPr>
          <w:rFonts w:ascii="Arial" w:cs="Arial" w:eastAsia="Arial" w:hAnsi="Arial"/>
          <w:color w:val="374151"/>
          <w:sz w:val="22"/>
          <w:szCs w:val="22"/>
        </w:rPr>
        <w:t xml:space="preserve">The automation pipeline is the sole path through which any tenant configuration is created, modified, or removed. This is an architectural constraint, not an operational preference. The pipeline must be implemented as a production-grade service before the first tenant migration begins.</w:t>
      </w:r>
    </w:p>
    <w:p>
      <w:pPr>
        <w:pStyle w:val="ListParagraph"/>
        <w:numPr>
          <w:ilvl w:val="0"/>
          <w:numId w:val="2"/>
        </w:numPr>
        <w:spacing w:before="40" w:after="40"/>
      </w:pPr>
      <w:r>
        <w:rPr>
          <w:rFonts w:ascii="Arial" w:cs="Arial" w:eastAsia="Arial" w:hAnsi="Arial"/>
          <w:color w:val="374151"/>
          <w:sz w:val="22"/>
          <w:szCs w:val="22"/>
        </w:rPr>
        <w:t xml:space="preserve">Stateless pipeline service that reads from the TenantProfile store, renders configuration from versioned templates, validates the rendered bundle, and submits to Panorama via the API</w:t>
      </w:r>
    </w:p>
    <w:p>
      <w:pPr>
        <w:pStyle w:val="ListParagraph"/>
        <w:numPr>
          <w:ilvl w:val="0"/>
          <w:numId w:val="2"/>
        </w:numPr>
        <w:spacing w:before="40" w:after="40"/>
      </w:pPr>
      <w:r>
        <w:rPr>
          <w:rFonts w:ascii="Arial" w:cs="Arial" w:eastAsia="Arial" w:hAnsi="Arial"/>
          <w:color w:val="374151"/>
          <w:sz w:val="22"/>
          <w:szCs w:val="22"/>
        </w:rPr>
        <w:t xml:space="preserve">Pipeline must be idempotent — repeated execution of the same tenant profile must produce identical output</w:t>
      </w:r>
    </w:p>
    <w:p>
      <w:pPr>
        <w:pStyle w:val="ListParagraph"/>
        <w:numPr>
          <w:ilvl w:val="0"/>
          <w:numId w:val="2"/>
        </w:numPr>
        <w:spacing w:before="40" w:after="40"/>
      </w:pPr>
      <w:r>
        <w:rPr>
          <w:rFonts w:ascii="Arial" w:cs="Arial" w:eastAsia="Arial" w:hAnsi="Arial"/>
          <w:color w:val="374151"/>
          <w:sz w:val="22"/>
          <w:szCs w:val="22"/>
        </w:rPr>
        <w:t xml:space="preserve">Pipeline halts and does not commit on any validation failure — partial configuration commits are not acceptable under any condition</w:t>
      </w:r>
    </w:p>
    <w:p>
      <w:pPr>
        <w:pStyle w:val="ListParagraph"/>
        <w:numPr>
          <w:ilvl w:val="0"/>
          <w:numId w:val="2"/>
        </w:numPr>
        <w:spacing w:before="40" w:after="40"/>
      </w:pPr>
      <w:r>
        <w:rPr>
          <w:rFonts w:ascii="Arial" w:cs="Arial" w:eastAsia="Arial" w:hAnsi="Arial"/>
          <w:color w:val="374151"/>
          <w:sz w:val="22"/>
          <w:szCs w:val="22"/>
        </w:rPr>
        <w:t xml:space="preserve">All pipeline code maintained in source control with peer review required for template changes</w:t>
      </w:r>
    </w:p>
    <w:p>
      <w:pPr>
        <w:pStyle w:val="ListParagraph"/>
        <w:numPr>
          <w:ilvl w:val="0"/>
          <w:numId w:val="2"/>
        </w:numPr>
        <w:spacing w:before="40" w:after="40"/>
      </w:pPr>
      <w:r>
        <w:rPr>
          <w:rFonts w:ascii="Arial" w:cs="Arial" w:eastAsia="Arial" w:hAnsi="Arial"/>
          <w:color w:val="374151"/>
          <w:sz w:val="22"/>
          <w:szCs w:val="22"/>
        </w:rPr>
        <w:t xml:space="preserve">Pipeline deployed in a CVS-accessible environment with documented runbook for CVS operations team</w:t>
      </w:r>
    </w:p>
    <w:p>
      <w:pPr>
        <w:spacing w:before="40" w:after="40"/>
      </w:pPr>
    </w:p>
    <w:p>
      <w:pPr>
        <w:pStyle w:val="Heading3"/>
        <w:spacing w:before="200" w:after="60"/>
      </w:pPr>
      <w:r>
        <w:rPr>
          <w:rFonts w:ascii="Arial" w:cs="Arial" w:eastAsia="Arial" w:hAnsi="Arial"/>
          <w:b/>
          <w:bCs/>
          <w:color w:val="1F497D"/>
          <w:sz w:val="23"/>
          <w:szCs w:val="23"/>
        </w:rPr>
        <w:t xml:space="preserve">TR-05 — IPAM Service Integration</w:t>
      </w:r>
    </w:p>
    <w:p>
      <w:pPr>
        <w:spacing w:before="60" w:after="100"/>
      </w:pPr>
      <w:r>
        <w:rPr>
          <w:rFonts w:ascii="Arial" w:cs="Arial" w:eastAsia="Arial" w:hAnsi="Arial"/>
          <w:color w:val="374151"/>
          <w:sz w:val="22"/>
          <w:szCs w:val="22"/>
        </w:rPr>
        <w:t xml:space="preserve">All address allocations must be made by the IPAM service. No manual address assignment is permitted at any point in the migration.</w:t>
      </w:r>
    </w:p>
    <w:p>
      <w:pPr>
        <w:pStyle w:val="ListParagraph"/>
        <w:numPr>
          <w:ilvl w:val="0"/>
          <w:numId w:val="2"/>
        </w:numPr>
        <w:spacing w:before="40" w:after="40"/>
      </w:pPr>
      <w:r>
        <w:rPr>
          <w:rFonts w:ascii="Arial" w:cs="Arial" w:eastAsia="Arial" w:hAnsi="Arial"/>
          <w:color w:val="374151"/>
          <w:sz w:val="22"/>
          <w:szCs w:val="22"/>
        </w:rPr>
        <w:t xml:space="preserve">IPAM service deployed with address pools defined for: IKE loopback (/32 per tenant), VTI local and remote IPs, SNAT inbound identity (/32 per tenant), SNAT outbound identity (/32 per tenant), DMZ prefix and gateway (where required)</w:t>
      </w:r>
    </w:p>
    <w:p>
      <w:pPr>
        <w:pStyle w:val="ListParagraph"/>
        <w:numPr>
          <w:ilvl w:val="0"/>
          <w:numId w:val="2"/>
        </w:numPr>
        <w:spacing w:before="40" w:after="40"/>
      </w:pPr>
      <w:r>
        <w:rPr>
          <w:rFonts w:ascii="Arial" w:cs="Arial" w:eastAsia="Arial" w:hAnsi="Arial"/>
          <w:color w:val="374151"/>
          <w:sz w:val="22"/>
          <w:szCs w:val="22"/>
        </w:rPr>
        <w:t xml:space="preserve">gwreg tenant alloc &lt;tenant_id&gt; --placement balanced command (or equivalent) allocates all addresses atomically in a single operation and writes results to the tenant profile</w:t>
      </w:r>
    </w:p>
    <w:p>
      <w:pPr>
        <w:pStyle w:val="ListParagraph"/>
        <w:numPr>
          <w:ilvl w:val="0"/>
          <w:numId w:val="2"/>
        </w:numPr>
        <w:spacing w:before="40" w:after="40"/>
      </w:pPr>
      <w:r>
        <w:rPr>
          <w:rFonts w:ascii="Arial" w:cs="Arial" w:eastAsia="Arial" w:hAnsi="Arial"/>
          <w:color w:val="374151"/>
          <w:sz w:val="22"/>
          <w:szCs w:val="22"/>
        </w:rPr>
        <w:t xml:space="preserve">IPAM returns all allocated addresses to pool on tenant offboarding — zero address leakage confirmed</w:t>
      </w:r>
    </w:p>
    <w:p>
      <w:pPr>
        <w:pStyle w:val="ListParagraph"/>
        <w:numPr>
          <w:ilvl w:val="0"/>
          <w:numId w:val="2"/>
        </w:numPr>
        <w:spacing w:before="40" w:after="40"/>
      </w:pPr>
      <w:r>
        <w:rPr>
          <w:rFonts w:ascii="Arial" w:cs="Arial" w:eastAsia="Arial" w:hAnsi="Arial"/>
          <w:color w:val="374151"/>
          <w:sz w:val="22"/>
          <w:szCs w:val="22"/>
        </w:rPr>
        <w:t xml:space="preserve">IPAM allocation registry queryable by CVS operations team — all allocations visible with tenant ID, allocation date, and current status</w:t>
      </w:r>
    </w:p>
    <w:p>
      <w:pPr>
        <w:spacing w:before="40" w:after="40"/>
      </w:pPr>
    </w:p>
    <w:p>
      <w:pPr>
        <w:pStyle w:val="Heading3"/>
        <w:spacing w:before="200" w:after="60"/>
      </w:pPr>
      <w:r>
        <w:rPr>
          <w:rFonts w:ascii="Arial" w:cs="Arial" w:eastAsia="Arial" w:hAnsi="Arial"/>
          <w:b/>
          <w:bCs/>
          <w:color w:val="1F497D"/>
          <w:sz w:val="23"/>
          <w:szCs w:val="23"/>
        </w:rPr>
        <w:t xml:space="preserve">TR-06 — Secrets Manager (Vault) Integration</w:t>
      </w:r>
    </w:p>
    <w:p>
      <w:pPr>
        <w:spacing w:before="60" w:after="100"/>
      </w:pPr>
      <w:r>
        <w:rPr>
          <w:rFonts w:ascii="Arial" w:cs="Arial" w:eastAsia="Arial" w:hAnsi="Arial"/>
          <w:color w:val="374151"/>
          <w:sz w:val="22"/>
          <w:szCs w:val="22"/>
        </w:rPr>
        <w:t xml:space="preserve">PSK generation and storage must be handled entirely by the Secrets Manager. No PSK values may appear in workbooks, SNOW tickets, configuration files, or any medium other than the Vault store and the IKE session for which the PSK is used.</w:t>
      </w:r>
    </w:p>
    <w:p>
      <w:pPr>
        <w:pStyle w:val="ListParagraph"/>
        <w:numPr>
          <w:ilvl w:val="0"/>
          <w:numId w:val="2"/>
        </w:numPr>
        <w:spacing w:before="40" w:after="40"/>
      </w:pPr>
      <w:r>
        <w:rPr>
          <w:rFonts w:ascii="Arial" w:cs="Arial" w:eastAsia="Arial" w:hAnsi="Arial"/>
          <w:color w:val="374151"/>
          <w:sz w:val="22"/>
          <w:szCs w:val="22"/>
        </w:rPr>
        <w:t xml:space="preserve">HashiCorp Vault (or CVS-approved equivalent) deployed and accessible from pipeline service account</w:t>
      </w:r>
    </w:p>
    <w:p>
      <w:pPr>
        <w:pStyle w:val="ListParagraph"/>
        <w:numPr>
          <w:ilvl w:val="0"/>
          <w:numId w:val="2"/>
        </w:numPr>
        <w:spacing w:before="40" w:after="40"/>
      </w:pPr>
      <w:r>
        <w:rPr>
          <w:rFonts w:ascii="Arial" w:cs="Arial" w:eastAsia="Arial" w:hAnsi="Arial"/>
          <w:color w:val="374151"/>
          <w:sz w:val="22"/>
          <w:szCs w:val="22"/>
        </w:rPr>
        <w:t xml:space="preserve">PSK generated by Vault at pki-bootstrap / onboarding time and stored at psk/{tenant_id}</w:t>
      </w:r>
    </w:p>
    <w:p>
      <w:pPr>
        <w:pStyle w:val="ListParagraph"/>
        <w:numPr>
          <w:ilvl w:val="0"/>
          <w:numId w:val="2"/>
        </w:numPr>
        <w:spacing w:before="40" w:after="40"/>
      </w:pPr>
      <w:r>
        <w:rPr>
          <w:rFonts w:ascii="Arial" w:cs="Arial" w:eastAsia="Arial" w:hAnsi="Arial"/>
          <w:color w:val="374151"/>
          <w:sz w:val="22"/>
          <w:szCs w:val="22"/>
        </w:rPr>
        <w:t xml:space="preserve">PSK Vault path reference (not the PSK value) written to the Resource Allocation sheet of the Tenant Onboarding Workbook</w:t>
      </w:r>
    </w:p>
    <w:p>
      <w:pPr>
        <w:pStyle w:val="ListParagraph"/>
        <w:numPr>
          <w:ilvl w:val="0"/>
          <w:numId w:val="2"/>
        </w:numPr>
        <w:spacing w:before="40" w:after="40"/>
      </w:pPr>
      <w:r>
        <w:rPr>
          <w:rFonts w:ascii="Arial" w:cs="Arial" w:eastAsia="Arial" w:hAnsi="Arial"/>
          <w:color w:val="374151"/>
          <w:sz w:val="22"/>
          <w:szCs w:val="22"/>
        </w:rPr>
        <w:t xml:space="preserve">Vault backup confirmed via gw-pki-backup.sh backup-tenant (or equivalent) before workbook submission</w:t>
      </w:r>
    </w:p>
    <w:p>
      <w:pPr>
        <w:pStyle w:val="ListParagraph"/>
        <w:numPr>
          <w:ilvl w:val="0"/>
          <w:numId w:val="2"/>
        </w:numPr>
        <w:spacing w:before="40" w:after="40"/>
      </w:pPr>
      <w:r>
        <w:rPr>
          <w:rFonts w:ascii="Arial" w:cs="Arial" w:eastAsia="Arial" w:hAnsi="Arial"/>
          <w:color w:val="374151"/>
          <w:sz w:val="22"/>
          <w:szCs w:val="22"/>
        </w:rPr>
        <w:t xml:space="preserve">Per-tenant PSK rotation procedure documented and tested — rotation must not require ASA or partner reconfiguration for post-migration tenants</w:t>
      </w:r>
    </w:p>
    <w:p>
      <w:pPr>
        <w:spacing w:before="40" w:after="40"/>
      </w:pPr>
    </w:p>
    <w:p>
      <w:pPr>
        <w:pStyle w:val="Heading3"/>
        <w:spacing w:before="200" w:after="60"/>
      </w:pPr>
      <w:r>
        <w:rPr>
          <w:rFonts w:ascii="Arial" w:cs="Arial" w:eastAsia="Arial" w:hAnsi="Arial"/>
          <w:b/>
          <w:bCs/>
          <w:color w:val="1F497D"/>
          <w:sz w:val="23"/>
          <w:szCs w:val="23"/>
        </w:rPr>
        <w:t xml:space="preserve">TR-07 — Template Set</w:t>
      </w:r>
    </w:p>
    <w:p>
      <w:pPr>
        <w:spacing w:before="60" w:after="100"/>
      </w:pPr>
      <w:r>
        <w:rPr>
          <w:rFonts w:ascii="Arial" w:cs="Arial" w:eastAsia="Arial" w:hAnsi="Arial"/>
          <w:color w:val="374151"/>
          <w:sz w:val="22"/>
          <w:szCs w:val="22"/>
        </w:rPr>
        <w:t xml:space="preserve">The pipeline's template set is the definitive description of the PA-5400 configuration objects that constitute a tenant. Templates must be:</w:t>
      </w:r>
    </w:p>
    <w:p>
      <w:pPr>
        <w:pStyle w:val="ListParagraph"/>
        <w:numPr>
          <w:ilvl w:val="0"/>
          <w:numId w:val="2"/>
        </w:numPr>
        <w:spacing w:before="40" w:after="40"/>
      </w:pPr>
      <w:r>
        <w:rPr>
          <w:rFonts w:ascii="Arial" w:cs="Arial" w:eastAsia="Arial" w:hAnsi="Arial"/>
          <w:color w:val="374151"/>
          <w:sz w:val="22"/>
          <w:szCs w:val="22"/>
        </w:rPr>
        <w:t xml:space="preserve">Versioned in source control — each template responsible for exactly one object class (IKE gateway, IPsec SA, tunnel interface, VR, zones, NAT rules, security policy, DNS proxy, log profile, QoS binding)</w:t>
      </w:r>
    </w:p>
    <w:p>
      <w:pPr>
        <w:pStyle w:val="ListParagraph"/>
        <w:numPr>
          <w:ilvl w:val="0"/>
          <w:numId w:val="2"/>
        </w:numPr>
        <w:spacing w:before="40" w:after="40"/>
      </w:pPr>
      <w:r>
        <w:rPr>
          <w:rFonts w:ascii="Arial" w:cs="Arial" w:eastAsia="Arial" w:hAnsi="Arial"/>
          <w:color w:val="374151"/>
          <w:sz w:val="22"/>
          <w:szCs w:val="22"/>
        </w:rPr>
        <w:t xml:space="preserve">Fully parameterised against the tenant profile — no hardcoded values in any template</w:t>
      </w:r>
    </w:p>
    <w:p>
      <w:pPr>
        <w:pStyle w:val="ListParagraph"/>
        <w:numPr>
          <w:ilvl w:val="0"/>
          <w:numId w:val="2"/>
        </w:numPr>
        <w:spacing w:before="40" w:after="40"/>
      </w:pPr>
      <w:r>
        <w:rPr>
          <w:rFonts w:ascii="Arial" w:cs="Arial" w:eastAsia="Arial" w:hAnsi="Arial"/>
          <w:color w:val="374151"/>
          <w:sz w:val="22"/>
          <w:szCs w:val="22"/>
        </w:rPr>
        <w:t xml:space="preserve">Validated against the PA-5400 architecture document — every object defined in architecture Section 3.2 must have a corresponding template</w:t>
      </w:r>
    </w:p>
    <w:p>
      <w:pPr>
        <w:pStyle w:val="ListParagraph"/>
        <w:numPr>
          <w:ilvl w:val="0"/>
          <w:numId w:val="2"/>
        </w:numPr>
        <w:spacing w:before="40" w:after="40"/>
      </w:pPr>
      <w:r>
        <w:rPr>
          <w:rFonts w:ascii="Arial" w:cs="Arial" w:eastAsia="Arial" w:hAnsi="Arial"/>
          <w:color w:val="374151"/>
          <w:sz w:val="22"/>
          <w:szCs w:val="22"/>
        </w:rPr>
        <w:t xml:space="preserve">Template changes subject to peer review and validation service regression testing before production deployment</w:t>
      </w:r>
    </w:p>
    <w:p>
      <w:pPr>
        <w:pStyle w:val="ListParagraph"/>
        <w:numPr>
          <w:ilvl w:val="0"/>
          <w:numId w:val="2"/>
        </w:numPr>
        <w:spacing w:before="40" w:after="40"/>
      </w:pPr>
      <w:r>
        <w:rPr>
          <w:rFonts w:ascii="Arial" w:cs="Arial" w:eastAsia="Arial" w:hAnsi="Arial"/>
          <w:color w:val="374151"/>
          <w:sz w:val="22"/>
          <w:szCs w:val="22"/>
        </w:rPr>
        <w:t xml:space="preserve">Template set documentation delivered as a vendor deliverable — one document per template object class</w:t>
      </w:r>
    </w:p>
    <w:p>
      <w:pPr>
        <w:spacing w:before="40" w:after="40"/>
      </w:pPr>
    </w:p>
    <w:p>
      <w:pPr>
        <w:pStyle w:val="Heading3"/>
        <w:spacing w:before="200" w:after="60"/>
      </w:pPr>
      <w:r>
        <w:rPr>
          <w:rFonts w:ascii="Arial" w:cs="Arial" w:eastAsia="Arial" w:hAnsi="Arial"/>
          <w:b/>
          <w:bCs/>
          <w:color w:val="1F497D"/>
          <w:sz w:val="23"/>
          <w:szCs w:val="23"/>
        </w:rPr>
        <w:t xml:space="preserve">TR-08 — Acceptance Test Suite</w:t>
      </w:r>
    </w:p>
    <w:p>
      <w:pPr>
        <w:spacing w:before="60" w:after="100"/>
      </w:pPr>
      <w:r>
        <w:rPr>
          <w:rFonts w:ascii="Arial" w:cs="Arial" w:eastAsia="Arial" w:hAnsi="Arial"/>
          <w:color w:val="374151"/>
          <w:sz w:val="22"/>
          <w:szCs w:val="22"/>
        </w:rPr>
        <w:t xml:space="preserve">An automated acceptance test suite must execute automatically after every pipeline commit. All tests must pass before the tenant state is set to ACTIVE. The suite must test at minimum:</w:t>
      </w:r>
    </w:p>
    <w:p>
      <w:pPr>
        <w:pStyle w:val="ListParagraph"/>
        <w:numPr>
          <w:ilvl w:val="0"/>
          <w:numId w:val="2"/>
        </w:numPr>
        <w:spacing w:before="40" w:after="40"/>
      </w:pPr>
      <w:r>
        <w:rPr>
          <w:rFonts w:ascii="Arial" w:cs="Arial" w:eastAsia="Arial" w:hAnsi="Arial"/>
          <w:color w:val="374151"/>
          <w:sz w:val="22"/>
          <w:szCs w:val="22"/>
        </w:rPr>
        <w:t xml:space="preserve">IKE SA established — confirmed via Panorama API or CLI</w:t>
      </w:r>
    </w:p>
    <w:p>
      <w:pPr>
        <w:pStyle w:val="ListParagraph"/>
        <w:numPr>
          <w:ilvl w:val="0"/>
          <w:numId w:val="2"/>
        </w:numPr>
        <w:spacing w:before="40" w:after="40"/>
      </w:pPr>
      <w:r>
        <w:rPr>
          <w:rFonts w:ascii="Arial" w:cs="Arial" w:eastAsia="Arial" w:hAnsi="Arial"/>
          <w:color w:val="374151"/>
          <w:sz w:val="22"/>
          <w:szCs w:val="22"/>
        </w:rPr>
        <w:t xml:space="preserve">IPsec tunnel UP — confirmed via tunnel state query</w:t>
      </w:r>
    </w:p>
    <w:p>
      <w:pPr>
        <w:pStyle w:val="ListParagraph"/>
        <w:numPr>
          <w:ilvl w:val="0"/>
          <w:numId w:val="2"/>
        </w:numPr>
        <w:spacing w:before="40" w:after="40"/>
      </w:pPr>
      <w:r>
        <w:rPr>
          <w:rFonts w:ascii="Arial" w:cs="Arial" w:eastAsia="Arial" w:hAnsi="Arial"/>
          <w:color w:val="374151"/>
          <w:sz w:val="22"/>
          <w:szCs w:val="22"/>
        </w:rPr>
        <w:t xml:space="preserve">VTI route active — per-tenant VR routing table verified</w:t>
      </w:r>
    </w:p>
    <w:p>
      <w:pPr>
        <w:pStyle w:val="ListParagraph"/>
        <w:numPr>
          <w:ilvl w:val="0"/>
          <w:numId w:val="2"/>
        </w:numPr>
        <w:spacing w:before="40" w:after="40"/>
      </w:pPr>
      <w:r>
        <w:rPr>
          <w:rFonts w:ascii="Arial" w:cs="Arial" w:eastAsia="Arial" w:hAnsi="Arial"/>
          <w:color w:val="374151"/>
          <w:sz w:val="22"/>
          <w:szCs w:val="22"/>
        </w:rPr>
        <w:t xml:space="preserve">Direct IP reachability — test ping from permitted internal host to SNAT inbound IP</w:t>
      </w:r>
    </w:p>
    <w:p>
      <w:pPr>
        <w:pStyle w:val="ListParagraph"/>
        <w:numPr>
          <w:ilvl w:val="0"/>
          <w:numId w:val="2"/>
        </w:numPr>
        <w:spacing w:before="40" w:after="40"/>
      </w:pPr>
      <w:r>
        <w:rPr>
          <w:rFonts w:ascii="Arial" w:cs="Arial" w:eastAsia="Arial" w:hAnsi="Arial"/>
          <w:color w:val="374151"/>
          <w:sz w:val="22"/>
          <w:szCs w:val="22"/>
        </w:rPr>
        <w:t xml:space="preserve">SNAT active — inbound and outbound SNAT rules confirmed firing in session table</w:t>
      </w:r>
    </w:p>
    <w:p>
      <w:pPr>
        <w:pStyle w:val="ListParagraph"/>
        <w:numPr>
          <w:ilvl w:val="0"/>
          <w:numId w:val="2"/>
        </w:numPr>
        <w:spacing w:before="40" w:after="40"/>
      </w:pPr>
      <w:r>
        <w:rPr>
          <w:rFonts w:ascii="Arial" w:cs="Arial" w:eastAsia="Arial" w:hAnsi="Arial"/>
          <w:color w:val="374151"/>
          <w:sz w:val="22"/>
          <w:szCs w:val="22"/>
        </w:rPr>
        <w:t xml:space="preserve">DNS proxy responds — FQDN query to dns-{TID} returns SNAT inbound IP, not real internal IP</w:t>
      </w:r>
    </w:p>
    <w:p>
      <w:pPr>
        <w:pStyle w:val="ListParagraph"/>
        <w:numPr>
          <w:ilvl w:val="0"/>
          <w:numId w:val="2"/>
        </w:numPr>
        <w:spacing w:before="40" w:after="40"/>
      </w:pPr>
      <w:r>
        <w:rPr>
          <w:rFonts w:ascii="Arial" w:cs="Arial" w:eastAsia="Arial" w:hAnsi="Arial"/>
          <w:color w:val="374151"/>
          <w:sz w:val="22"/>
          <w:szCs w:val="22"/>
        </w:rPr>
        <w:t xml:space="preserve">QoS binding confirmed — per-tenant QoS profile attached and active</w:t>
      </w:r>
    </w:p>
    <w:p>
      <w:pPr>
        <w:pStyle w:val="ListParagraph"/>
        <w:numPr>
          <w:ilvl w:val="0"/>
          <w:numId w:val="2"/>
        </w:numPr>
        <w:spacing w:before="40" w:after="40"/>
      </w:pPr>
      <w:r>
        <w:rPr>
          <w:rFonts w:ascii="Arial" w:cs="Arial" w:eastAsia="Arial" w:hAnsi="Arial"/>
          <w:color w:val="374151"/>
          <w:sz w:val="22"/>
          <w:szCs w:val="22"/>
        </w:rPr>
        <w:t xml:space="preserve">Log forwarding live — at least one log event generated with correct tenant_id, zone name tz-{TID}-ipsec, and SNAT identity fields visible in CVS SIEM within 5 minutes of tunnel establishment</w:t>
      </w:r>
    </w:p>
    <w:p>
      <w:pPr>
        <w:pStyle w:val="Heading2"/>
        <w:spacing w:before="260" w:after="80"/>
      </w:pPr>
      <w:r>
        <w:rPr>
          <w:rFonts w:ascii="Arial" w:cs="Arial" w:eastAsia="Arial" w:hAnsi="Arial"/>
          <w:b/>
          <w:bCs/>
          <w:color w:val="2E75B6"/>
          <w:sz w:val="26"/>
          <w:szCs w:val="26"/>
        </w:rPr>
        <w:t xml:space="preserve">2.3 Per-Tunnel Migration Requirements</w:t>
      </w:r>
    </w:p>
    <w:p>
      <w:pPr>
        <w:pStyle w:val="Heading3"/>
        <w:spacing w:before="200" w:after="60"/>
      </w:pPr>
      <w:r>
        <w:rPr>
          <w:rFonts w:ascii="Arial" w:cs="Arial" w:eastAsia="Arial" w:hAnsi="Arial"/>
          <w:b/>
          <w:bCs/>
          <w:color w:val="1F497D"/>
          <w:sz w:val="23"/>
          <w:szCs w:val="23"/>
        </w:rPr>
        <w:t xml:space="preserve">TR-09 — Migration Execution Model</w:t>
      </w:r>
    </w:p>
    <w:p>
      <w:pPr>
        <w:spacing w:before="60" w:after="100"/>
      </w:pPr>
      <w:r>
        <w:rPr>
          <w:rFonts w:ascii="Arial" w:cs="Arial" w:eastAsia="Arial" w:hAnsi="Arial"/>
          <w:color w:val="374151"/>
          <w:sz w:val="22"/>
          <w:szCs w:val="22"/>
        </w:rPr>
        <w:t xml:space="preserve">The vendor executes the technical steps of the per-tunnel migration process for each of the 231 connections. CVS Health provides the completed Tenant Onboarding Workbook for each tunnel before the vendor begins engineer work on that tunnel. The vendor does not proceed past Gate 1 (IKEv2 confirmed, IPAM conflict check clean, workbook complete) for any tunnel without a workbook received from CVS.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6E4F0" w:val="clear"/>
            <w:tcMar>
              <w:top w:type="dxa" w:w="160"/>
              <w:left w:type="dxa" w:w="220"/>
              <w:bottom w:type="dxa" w:w="160"/>
              <w:right w:type="dxa" w:w="220"/>
            </w:tcMar>
          </w:tcPr>
          <w:p>
            <w:pPr>
              <w:spacing w:before="0" w:after="60"/>
            </w:pPr>
            <w:r>
              <w:rPr>
                <w:rFonts w:ascii="Arial" w:cs="Arial" w:eastAsia="Arial" w:hAnsi="Arial"/>
                <w:b/>
                <w:bCs/>
                <w:color w:val="1F3864"/>
                <w:sz w:val="22"/>
                <w:szCs w:val="22"/>
              </w:rPr>
              <w:t xml:space="preserve">Scope clarity — who does what per tunnel</w:t>
            </w:r>
          </w:p>
          <w:p>
            <w:pPr>
              <w:spacing w:before="0" w:after="20"/>
            </w:pPr>
            <w:r>
              <w:rPr>
                <w:rFonts w:ascii="Arial" w:cs="Arial" w:eastAsia="Arial" w:hAnsi="Arial"/>
                <w:color w:val="374151"/>
                <w:sz w:val="22"/>
                <w:szCs w:val="22"/>
              </w:rPr>
              <w:t xml:space="preserve">CVS provides: completed Tenant Onboarding Workbook (Sheets 2, 3 Section A, 4, 5 Section A), IKEv2 capability confirmation, partner cutover window.</w:t>
            </w:r>
          </w:p>
          <w:p>
            <w:pPr>
              <w:spacing w:before="0" w:after="20"/>
            </w:pPr>
            <w:r>
              <w:rPr>
                <w:rFonts w:ascii="Arial" w:cs="Arial" w:eastAsia="Arial" w:hAnsi="Arial"/>
                <w:color w:val="374151"/>
                <w:sz w:val="22"/>
                <w:szCs w:val="22"/>
              </w:rPr>
              <w:t xml:space="preserve">Vendor completes: Sheet 3 Section B (platform IKE parameters), Sheet 5 Section B (internal host IPs and PNAT mapping), Sheets 6 (SNAT), 7 (DNS), gwreg alloc, Vault bootstrap, SNOW submission, pipeline execution, acceptance tests, cutover support, ASA decommission (on CVS instruction).</w:t>
            </w:r>
          </w:p>
          <w:p>
            <w:pPr>
              <w:spacing w:before="0" w:after="20"/>
            </w:pPr>
            <w:r>
              <w:rPr>
                <w:rFonts w:ascii="Arial" w:cs="Arial" w:eastAsia="Arial" w:hAnsi="Arial"/>
                <w:color w:val="374151"/>
                <w:sz w:val="22"/>
                <w:szCs w:val="22"/>
              </w:rPr>
              <w:t xml:space="preserve">CVS manages: ServiceNow approval, partner notification, parallel operation monitoring, 72-hour hold confirmation, partner sign-off, ASA decommission authorisation.</w:t>
            </w:r>
          </w:p>
        </w:tc>
      </w:tr>
    </w:tbl>
    <w:p>
      <w:pPr>
        <w:spacing w:before="80" w:after="80"/>
      </w:pPr>
    </w:p>
    <w:p>
      <w:pPr>
        <w:pStyle w:val="Heading3"/>
        <w:spacing w:before="200" w:after="60"/>
      </w:pPr>
      <w:r>
        <w:rPr>
          <w:rFonts w:ascii="Arial" w:cs="Arial" w:eastAsia="Arial" w:hAnsi="Arial"/>
          <w:b/>
          <w:bCs/>
          <w:color w:val="1F497D"/>
          <w:sz w:val="23"/>
          <w:szCs w:val="23"/>
        </w:rPr>
        <w:t xml:space="preserve">TR-10 — IKE and Cryptographic Enforcement</w:t>
      </w:r>
    </w:p>
    <w:p>
      <w:pPr>
        <w:spacing w:before="60" w:after="100"/>
      </w:pPr>
      <w:r>
        <w:rPr>
          <w:rFonts w:ascii="Arial" w:cs="Arial" w:eastAsia="Arial" w:hAnsi="Arial"/>
          <w:color w:val="374151"/>
          <w:sz w:val="22"/>
          <w:szCs w:val="22"/>
        </w:rPr>
        <w:t xml:space="preserve">Every tunnel migrated to the PA-5400 must use IKEv2 with the enforced cryptographic profile. No exceptions, no transitional configurations, and no legacy cipher modes are acceptable on the target platform.</w:t>
      </w:r>
    </w:p>
    <w:p>
      <w:pPr>
        <w:pStyle w:val="ListParagraph"/>
        <w:numPr>
          <w:ilvl w:val="0"/>
          <w:numId w:val="2"/>
        </w:numPr>
        <w:spacing w:before="40" w:after="40"/>
      </w:pPr>
      <w:r>
        <w:rPr>
          <w:rFonts w:ascii="Arial" w:cs="Arial" w:eastAsia="Arial" w:hAnsi="Arial"/>
          <w:color w:val="374151"/>
          <w:sz w:val="22"/>
          <w:szCs w:val="22"/>
        </w:rPr>
        <w:t xml:space="preserve">IKEv2 mandatory — IKEv1 is not supported on the PA-5400 architecture and must not be configured</w:t>
      </w:r>
    </w:p>
    <w:p>
      <w:pPr>
        <w:pStyle w:val="ListParagraph"/>
        <w:numPr>
          <w:ilvl w:val="0"/>
          <w:numId w:val="2"/>
        </w:numPr>
        <w:spacing w:before="40" w:after="40"/>
      </w:pPr>
      <w:r>
        <w:rPr>
          <w:rFonts w:ascii="Arial" w:cs="Arial" w:eastAsia="Arial" w:hAnsi="Arial"/>
          <w:color w:val="374151"/>
          <w:sz w:val="22"/>
          <w:szCs w:val="22"/>
        </w:rPr>
        <w:t xml:space="preserve">Encryption: AES-256-GCM</w:t>
      </w:r>
    </w:p>
    <w:p>
      <w:pPr>
        <w:pStyle w:val="ListParagraph"/>
        <w:numPr>
          <w:ilvl w:val="0"/>
          <w:numId w:val="2"/>
        </w:numPr>
        <w:spacing w:before="40" w:after="40"/>
      </w:pPr>
      <w:r>
        <w:rPr>
          <w:rFonts w:ascii="Arial" w:cs="Arial" w:eastAsia="Arial" w:hAnsi="Arial"/>
          <w:color w:val="374151"/>
          <w:sz w:val="22"/>
          <w:szCs w:val="22"/>
        </w:rPr>
        <w:t xml:space="preserve">Integrity: SHA-256 minimum, SHA-384 preferred</w:t>
      </w:r>
    </w:p>
    <w:p>
      <w:pPr>
        <w:pStyle w:val="ListParagraph"/>
        <w:numPr>
          <w:ilvl w:val="0"/>
          <w:numId w:val="2"/>
        </w:numPr>
        <w:spacing w:before="40" w:after="40"/>
      </w:pPr>
      <w:r>
        <w:rPr>
          <w:rFonts w:ascii="Arial" w:cs="Arial" w:eastAsia="Arial" w:hAnsi="Arial"/>
          <w:color w:val="374151"/>
          <w:sz w:val="22"/>
          <w:szCs w:val="22"/>
        </w:rPr>
        <w:t xml:space="preserve">Diffie-Hellman group: ECDH group 19 or group 20</w:t>
      </w:r>
    </w:p>
    <w:p>
      <w:pPr>
        <w:pStyle w:val="ListParagraph"/>
        <w:numPr>
          <w:ilvl w:val="0"/>
          <w:numId w:val="2"/>
        </w:numPr>
        <w:spacing w:before="40" w:after="40"/>
      </w:pPr>
      <w:r>
        <w:rPr>
          <w:rFonts w:ascii="Arial" w:cs="Arial" w:eastAsia="Arial" w:hAnsi="Arial"/>
          <w:color w:val="374151"/>
          <w:sz w:val="22"/>
          <w:szCs w:val="22"/>
        </w:rPr>
        <w:t xml:space="preserve">Dead peer detection: enabled on all tunnels</w:t>
      </w:r>
    </w:p>
    <w:p>
      <w:pPr>
        <w:pStyle w:val="ListParagraph"/>
        <w:numPr>
          <w:ilvl w:val="0"/>
          <w:numId w:val="2"/>
        </w:numPr>
        <w:spacing w:before="40" w:after="40"/>
      </w:pPr>
      <w:r>
        <w:rPr>
          <w:rFonts w:ascii="Arial" w:cs="Arial" w:eastAsia="Arial" w:hAnsi="Arial"/>
          <w:color w:val="374151"/>
          <w:sz w:val="22"/>
          <w:szCs w:val="22"/>
        </w:rPr>
        <w:t xml:space="preserve">IPsec SA lifetime: 8 hours (default) unless partner constraint requires deviation — any deviation requires CVS approval and documentation</w:t>
      </w:r>
    </w:p>
    <w:p>
      <w:pPr>
        <w:pStyle w:val="ListParagraph"/>
        <w:numPr>
          <w:ilvl w:val="0"/>
          <w:numId w:val="2"/>
        </w:numPr>
        <w:spacing w:before="40" w:after="40"/>
      </w:pPr>
      <w:r>
        <w:rPr>
          <w:rFonts w:ascii="Arial" w:cs="Arial" w:eastAsia="Arial" w:hAnsi="Arial"/>
          <w:color w:val="374151"/>
          <w:sz w:val="22"/>
          <w:szCs w:val="22"/>
        </w:rPr>
        <w:t xml:space="preserve">IKE SA lifetime: 24 hours (default)</w:t>
      </w:r>
    </w:p>
    <w:p>
      <w:pPr>
        <w:pStyle w:val="ListParagraph"/>
        <w:numPr>
          <w:ilvl w:val="0"/>
          <w:numId w:val="2"/>
        </w:numPr>
        <w:spacing w:before="40" w:after="40"/>
      </w:pPr>
      <w:r>
        <w:rPr>
          <w:rFonts w:ascii="Arial" w:cs="Arial" w:eastAsia="Arial" w:hAnsi="Arial"/>
          <w:color w:val="374151"/>
          <w:sz w:val="22"/>
          <w:szCs w:val="22"/>
        </w:rPr>
        <w:t xml:space="preserve">Single IKE profile per tenant rendered from versioned template — no ad-hoc policy variants</w:t>
      </w:r>
    </w:p>
    <w:p>
      <w:pPr>
        <w:spacing w:before="40" w:after="40"/>
      </w:pPr>
    </w:p>
    <w:p>
      <w:pPr>
        <w:pStyle w:val="Heading3"/>
        <w:spacing w:before="200" w:after="60"/>
      </w:pPr>
      <w:r>
        <w:rPr>
          <w:rFonts w:ascii="Arial" w:cs="Arial" w:eastAsia="Arial" w:hAnsi="Arial"/>
          <w:b/>
          <w:bCs/>
          <w:color w:val="1F497D"/>
          <w:sz w:val="23"/>
          <w:szCs w:val="23"/>
        </w:rPr>
        <w:t xml:space="preserve">TR-11 — Per-Tenant Object Set</w:t>
      </w:r>
    </w:p>
    <w:p>
      <w:pPr>
        <w:spacing w:before="60" w:after="100"/>
      </w:pPr>
      <w:r>
        <w:rPr>
          <w:rFonts w:ascii="Arial" w:cs="Arial" w:eastAsia="Arial" w:hAnsi="Arial"/>
          <w:color w:val="374151"/>
          <w:sz w:val="22"/>
          <w:szCs w:val="22"/>
        </w:rPr>
        <w:t xml:space="preserve">Every tenant provisioned on the PA-5400 must receive the complete set of dedicated objects defined in the architecture document Section 3.2. The vendor confirms in their response that their pipeline template set covers every object in the following list:</w:t>
      </w:r>
    </w:p>
    <w:p>
      <w:pPr>
        <w:pStyle w:val="ListParagraph"/>
        <w:numPr>
          <w:ilvl w:val="0"/>
          <w:numId w:val="2"/>
        </w:numPr>
        <w:spacing w:before="40" w:after="40"/>
      </w:pPr>
      <w:r>
        <w:rPr>
          <w:rFonts w:ascii="Arial" w:cs="Arial" w:eastAsia="Arial" w:hAnsi="Arial"/>
          <w:color w:val="374151"/>
          <w:sz w:val="22"/>
          <w:szCs w:val="22"/>
        </w:rPr>
        <w:t xml:space="preserve">loopback.{TID} — per-tenant loopback interface, /32, IKE identity anchor</w:t>
      </w:r>
    </w:p>
    <w:p>
      <w:pPr>
        <w:pStyle w:val="ListParagraph"/>
        <w:numPr>
          <w:ilvl w:val="0"/>
          <w:numId w:val="2"/>
        </w:numPr>
        <w:spacing w:before="40" w:after="40"/>
      </w:pPr>
      <w:r>
        <w:rPr>
          <w:rFonts w:ascii="Arial" w:cs="Arial" w:eastAsia="Arial" w:hAnsi="Arial"/>
          <w:color w:val="374151"/>
          <w:sz w:val="22"/>
          <w:szCs w:val="22"/>
        </w:rPr>
        <w:t xml:space="preserve">tunnel.{TID} — VTI tunnel interface, point-to-point</w:t>
      </w:r>
    </w:p>
    <w:p>
      <w:pPr>
        <w:pStyle w:val="ListParagraph"/>
        <w:numPr>
          <w:ilvl w:val="0"/>
          <w:numId w:val="2"/>
        </w:numPr>
        <w:spacing w:before="40" w:after="40"/>
      </w:pPr>
      <w:r>
        <w:rPr>
          <w:rFonts w:ascii="Arial" w:cs="Arial" w:eastAsia="Arial" w:hAnsi="Arial"/>
          <w:color w:val="374151"/>
          <w:sz w:val="22"/>
          <w:szCs w:val="22"/>
        </w:rPr>
        <w:t xml:space="preserve">vr-{TID} — per-tenant virtual router with static routes to remote prefixes</w:t>
      </w:r>
    </w:p>
    <w:p>
      <w:pPr>
        <w:pStyle w:val="ListParagraph"/>
        <w:numPr>
          <w:ilvl w:val="0"/>
          <w:numId w:val="2"/>
        </w:numPr>
        <w:spacing w:before="40" w:after="40"/>
      </w:pPr>
      <w:r>
        <w:rPr>
          <w:rFonts w:ascii="Arial" w:cs="Arial" w:eastAsia="Arial" w:hAnsi="Arial"/>
          <w:color w:val="374151"/>
          <w:sz w:val="22"/>
          <w:szCs w:val="22"/>
        </w:rPr>
        <w:t xml:space="preserve">tz-{TID}-ipsec — per-tenant IPsec zone, tunnel interface bound</w:t>
      </w:r>
    </w:p>
    <w:p>
      <w:pPr>
        <w:pStyle w:val="ListParagraph"/>
        <w:numPr>
          <w:ilvl w:val="0"/>
          <w:numId w:val="2"/>
        </w:numPr>
        <w:spacing w:before="40" w:after="40"/>
      </w:pPr>
      <w:r>
        <w:rPr>
          <w:rFonts w:ascii="Arial" w:cs="Arial" w:eastAsia="Arial" w:hAnsi="Arial"/>
          <w:color w:val="374151"/>
          <w:sz w:val="22"/>
          <w:szCs w:val="22"/>
        </w:rPr>
        <w:t xml:space="preserve">tz-{TID}-dmz — per-tenant DMZ zone (provisioned if DMZ enabled)</w:t>
      </w:r>
    </w:p>
    <w:p>
      <w:pPr>
        <w:pStyle w:val="ListParagraph"/>
        <w:numPr>
          <w:ilvl w:val="0"/>
          <w:numId w:val="2"/>
        </w:numPr>
        <w:spacing w:before="40" w:after="40"/>
      </w:pPr>
      <w:r>
        <w:rPr>
          <w:rFonts w:ascii="Arial" w:cs="Arial" w:eastAsia="Arial" w:hAnsi="Arial"/>
          <w:color w:val="374151"/>
          <w:sz w:val="22"/>
          <w:szCs w:val="22"/>
        </w:rPr>
        <w:t xml:space="preserve">ike-gw-{TID} — IKE gateway object, loopback-anchored, peer IP from workbook</w:t>
      </w:r>
    </w:p>
    <w:p>
      <w:pPr>
        <w:pStyle w:val="ListParagraph"/>
        <w:numPr>
          <w:ilvl w:val="0"/>
          <w:numId w:val="2"/>
        </w:numPr>
        <w:spacing w:before="40" w:after="40"/>
      </w:pPr>
      <w:r>
        <w:rPr>
          <w:rFonts w:ascii="Arial" w:cs="Arial" w:eastAsia="Arial" w:hAnsi="Arial"/>
          <w:color w:val="374151"/>
          <w:sz w:val="22"/>
          <w:szCs w:val="22"/>
        </w:rPr>
        <w:t xml:space="preserve">ipsec-sa-{TID} — IPsec SA object, AES-256-GCM profile</w:t>
      </w:r>
    </w:p>
    <w:p>
      <w:pPr>
        <w:pStyle w:val="ListParagraph"/>
        <w:numPr>
          <w:ilvl w:val="0"/>
          <w:numId w:val="2"/>
        </w:numPr>
        <w:spacing w:before="40" w:after="40"/>
      </w:pPr>
      <w:r>
        <w:rPr>
          <w:rFonts w:ascii="Arial" w:cs="Arial" w:eastAsia="Arial" w:hAnsi="Arial"/>
          <w:color w:val="374151"/>
          <w:sz w:val="22"/>
          <w:szCs w:val="22"/>
        </w:rPr>
        <w:t xml:space="preserve">nat-{TID}-inbound — SNAT rule, tenant zone to shared-sidecar, SNAT inbound /32</w:t>
      </w:r>
    </w:p>
    <w:p>
      <w:pPr>
        <w:pStyle w:val="ListParagraph"/>
        <w:numPr>
          <w:ilvl w:val="0"/>
          <w:numId w:val="2"/>
        </w:numPr>
        <w:spacing w:before="40" w:after="40"/>
      </w:pPr>
      <w:r>
        <w:rPr>
          <w:rFonts w:ascii="Arial" w:cs="Arial" w:eastAsia="Arial" w:hAnsi="Arial"/>
          <w:color w:val="374151"/>
          <w:sz w:val="22"/>
          <w:szCs w:val="22"/>
        </w:rPr>
        <w:t xml:space="preserve">nat-{TID}-outbound — SNAT rule, shared-intranet to shared-sidecar, SNAT outbound /32</w:t>
      </w:r>
    </w:p>
    <w:p>
      <w:pPr>
        <w:pStyle w:val="ListParagraph"/>
        <w:numPr>
          <w:ilvl w:val="0"/>
          <w:numId w:val="2"/>
        </w:numPr>
        <w:spacing w:before="40" w:after="40"/>
      </w:pPr>
      <w:r>
        <w:rPr>
          <w:rFonts w:ascii="Arial" w:cs="Arial" w:eastAsia="Arial" w:hAnsi="Arial"/>
          <w:color w:val="374151"/>
          <w:sz w:val="22"/>
          <w:szCs w:val="22"/>
        </w:rPr>
        <w:t xml:space="preserve">pol-{TID}-inbound and pol-{TID}-outbound — per-tenant security policy rules, application/port-level</w:t>
      </w:r>
    </w:p>
    <w:p>
      <w:pPr>
        <w:pStyle w:val="ListParagraph"/>
        <w:numPr>
          <w:ilvl w:val="0"/>
          <w:numId w:val="2"/>
        </w:numPr>
        <w:spacing w:before="40" w:after="40"/>
      </w:pPr>
      <w:r>
        <w:rPr>
          <w:rFonts w:ascii="Arial" w:cs="Arial" w:eastAsia="Arial" w:hAnsi="Arial"/>
          <w:color w:val="374151"/>
          <w:sz w:val="22"/>
          <w:szCs w:val="22"/>
        </w:rPr>
        <w:t xml:space="preserve">dns-{TID} — per-tenant DNS proxy with conditional forwarding and A-record rewriting to SNAT inbound IP</w:t>
      </w:r>
    </w:p>
    <w:p>
      <w:pPr>
        <w:pStyle w:val="ListParagraph"/>
        <w:numPr>
          <w:ilvl w:val="0"/>
          <w:numId w:val="2"/>
        </w:numPr>
        <w:spacing w:before="40" w:after="40"/>
      </w:pPr>
      <w:r>
        <w:rPr>
          <w:rFonts w:ascii="Arial" w:cs="Arial" w:eastAsia="Arial" w:hAnsi="Arial"/>
          <w:color w:val="374151"/>
          <w:sz w:val="22"/>
          <w:szCs w:val="22"/>
        </w:rPr>
        <w:t xml:space="preserve">log-{TID} — per-tenant logging profile with tenant_id, tenant_name, and connection_type fields</w:t>
      </w:r>
    </w:p>
    <w:p>
      <w:pPr>
        <w:spacing w:before="40" w:after="40"/>
      </w:pPr>
    </w:p>
    <w:p>
      <w:pPr>
        <w:pStyle w:val="Heading3"/>
        <w:spacing w:before="200" w:after="60"/>
      </w:pPr>
      <w:r>
        <w:rPr>
          <w:rFonts w:ascii="Arial" w:cs="Arial" w:eastAsia="Arial" w:hAnsi="Arial"/>
          <w:b/>
          <w:bCs/>
          <w:color w:val="1F497D"/>
          <w:sz w:val="23"/>
          <w:szCs w:val="23"/>
        </w:rPr>
        <w:t xml:space="preserve">TR-12 — Parallel Operation and Cutover</w:t>
      </w:r>
    </w:p>
    <w:p>
      <w:pPr>
        <w:spacing w:before="60" w:after="100"/>
      </w:pPr>
      <w:r>
        <w:rPr>
          <w:rFonts w:ascii="Arial" w:cs="Arial" w:eastAsia="Arial" w:hAnsi="Arial"/>
          <w:color w:val="374151"/>
          <w:sz w:val="22"/>
          <w:szCs w:val="22"/>
        </w:rPr>
        <w:t xml:space="preserve">No migration event is complete until the parallel operation phase is successfully concluded. The vendor must support CVS through this phase for every tunnel.</w:t>
      </w:r>
    </w:p>
    <w:p>
      <w:pPr>
        <w:pStyle w:val="ListParagraph"/>
        <w:numPr>
          <w:ilvl w:val="0"/>
          <w:numId w:val="2"/>
        </w:numPr>
        <w:spacing w:before="40" w:after="40"/>
      </w:pPr>
      <w:r>
        <w:rPr>
          <w:rFonts w:ascii="Arial" w:cs="Arial" w:eastAsia="Arial" w:hAnsi="Arial"/>
          <w:color w:val="374151"/>
          <w:sz w:val="22"/>
          <w:szCs w:val="22"/>
        </w:rPr>
        <w:t xml:space="preserve">New PA-5400 tunnel operates in parallel with existing ASA tunnel during the validation period — both tunnels active simultaneously</w:t>
      </w:r>
    </w:p>
    <w:p>
      <w:pPr>
        <w:pStyle w:val="ListParagraph"/>
        <w:numPr>
          <w:ilvl w:val="0"/>
          <w:numId w:val="2"/>
        </w:numPr>
        <w:spacing w:before="40" w:after="40"/>
      </w:pPr>
      <w:r>
        <w:rPr>
          <w:rFonts w:ascii="Arial" w:cs="Arial" w:eastAsia="Arial" w:hAnsi="Arial"/>
          <w:color w:val="374151"/>
          <w:sz w:val="22"/>
          <w:szCs w:val="22"/>
        </w:rPr>
        <w:t xml:space="preserve">Vendor confirms IKE SA and IPsec SA establishment on the PA-5400 side via Panorama</w:t>
      </w:r>
    </w:p>
    <w:p>
      <w:pPr>
        <w:pStyle w:val="ListParagraph"/>
        <w:numPr>
          <w:ilvl w:val="0"/>
          <w:numId w:val="2"/>
        </w:numPr>
        <w:spacing w:before="40" w:after="40"/>
      </w:pPr>
      <w:r>
        <w:rPr>
          <w:rFonts w:ascii="Arial" w:cs="Arial" w:eastAsia="Arial" w:hAnsi="Arial"/>
          <w:color w:val="374151"/>
          <w:sz w:val="22"/>
          <w:szCs w:val="22"/>
        </w:rPr>
        <w:t xml:space="preserve">Vendor validates end-to-end: all application services reachable via PA-5400 tunnel, SNAT firing correctly inbound and outbound, DNS proxy returning SNAT inbound IP for all FQDNs in the workbook, SIEM logs carrying correct tenant_id and zone attribution</w:t>
      </w:r>
    </w:p>
    <w:p>
      <w:pPr>
        <w:pStyle w:val="ListParagraph"/>
        <w:numPr>
          <w:ilvl w:val="0"/>
          <w:numId w:val="2"/>
        </w:numPr>
        <w:spacing w:before="40" w:after="40"/>
      </w:pPr>
      <w:r>
        <w:rPr>
          <w:rFonts w:ascii="Arial" w:cs="Arial" w:eastAsia="Arial" w:hAnsi="Arial"/>
          <w:color w:val="374151"/>
          <w:sz w:val="22"/>
          <w:szCs w:val="22"/>
        </w:rPr>
        <w:t xml:space="preserve">Cutover executed in an agreed maintenance window — vendor supports the cutover event and confirms traffic is flowing on the PA-5400 tunnel</w:t>
      </w:r>
    </w:p>
    <w:p>
      <w:pPr>
        <w:pStyle w:val="ListParagraph"/>
        <w:numPr>
          <w:ilvl w:val="0"/>
          <w:numId w:val="2"/>
        </w:numPr>
        <w:spacing w:before="40" w:after="40"/>
      </w:pPr>
      <w:r>
        <w:rPr>
          <w:rFonts w:ascii="Arial" w:cs="Arial" w:eastAsia="Arial" w:hAnsi="Arial"/>
          <w:color w:val="374151"/>
          <w:sz w:val="22"/>
          <w:szCs w:val="22"/>
        </w:rPr>
        <w:t xml:space="preserve">72-hour monitoring hold begins at cutover — ASA configuration must not be removed until: (a) 72 hours have elapsed with no tunnel flaps, consistent traffic volumes, and no partner issues, AND (b) CVS has received partner confirmation and issued decommission instruction</w:t>
      </w:r>
    </w:p>
    <w:p>
      <w:pPr>
        <w:pStyle w:val="ListParagraph"/>
        <w:numPr>
          <w:ilvl w:val="0"/>
          <w:numId w:val="2"/>
        </w:numPr>
        <w:spacing w:before="40" w:after="40"/>
      </w:pPr>
      <w:r>
        <w:rPr>
          <w:rFonts w:ascii="Arial" w:cs="Arial" w:eastAsia="Arial" w:hAnsi="Arial"/>
          <w:color w:val="374151"/>
          <w:sz w:val="22"/>
          <w:szCs w:val="22"/>
        </w:rPr>
        <w:t xml:space="preserve">Vendor is available for out-of-hours cutover support where partner maintenance windows require it</w:t>
      </w:r>
    </w:p>
    <w:p>
      <w:pPr>
        <w:spacing w:before="40" w:after="40"/>
      </w:pPr>
    </w:p>
    <w:p>
      <w:pPr>
        <w:pStyle w:val="Heading3"/>
        <w:spacing w:before="200" w:after="60"/>
      </w:pPr>
      <w:r>
        <w:rPr>
          <w:rFonts w:ascii="Arial" w:cs="Arial" w:eastAsia="Arial" w:hAnsi="Arial"/>
          <w:b/>
          <w:bCs/>
          <w:color w:val="1F497D"/>
          <w:sz w:val="23"/>
          <w:szCs w:val="23"/>
        </w:rPr>
        <w:t xml:space="preserve">TR-13 — ASA Decommission</w:t>
      </w:r>
    </w:p>
    <w:p>
      <w:pPr>
        <w:spacing w:before="60" w:after="100"/>
      </w:pPr>
      <w:r>
        <w:rPr>
          <w:rFonts w:ascii="Arial" w:cs="Arial" w:eastAsia="Arial" w:hAnsi="Arial"/>
          <w:color w:val="374151"/>
          <w:sz w:val="22"/>
          <w:szCs w:val="22"/>
        </w:rPr>
        <w:t xml:space="preserve">Physical removal of ASA configuration for each tunnel is performed by the vendor on instruction from CVS Health after partner sign-off. The vendor must not remove any ASA configuration without a documented CVS instruction for that specific tunnel.</w:t>
      </w:r>
    </w:p>
    <w:p>
      <w:pPr>
        <w:pStyle w:val="ListParagraph"/>
        <w:numPr>
          <w:ilvl w:val="0"/>
          <w:numId w:val="2"/>
        </w:numPr>
        <w:spacing w:before="40" w:after="40"/>
      </w:pPr>
      <w:r>
        <w:rPr>
          <w:rFonts w:ascii="Arial" w:cs="Arial" w:eastAsia="Arial" w:hAnsi="Arial"/>
          <w:color w:val="374151"/>
          <w:sz w:val="22"/>
          <w:szCs w:val="22"/>
        </w:rPr>
        <w:t xml:space="preserve">Remove crypto map entry (Outside_map1 sequence number) for the migrated tunnel</w:t>
      </w:r>
    </w:p>
    <w:p>
      <w:pPr>
        <w:pStyle w:val="ListParagraph"/>
        <w:numPr>
          <w:ilvl w:val="0"/>
          <w:numId w:val="2"/>
        </w:numPr>
        <w:spacing w:before="40" w:after="40"/>
      </w:pPr>
      <w:r>
        <w:rPr>
          <w:rFonts w:ascii="Arial" w:cs="Arial" w:eastAsia="Arial" w:hAnsi="Arial"/>
          <w:color w:val="374151"/>
          <w:sz w:val="22"/>
          <w:szCs w:val="22"/>
        </w:rPr>
        <w:t xml:space="preserve">Remove the associated ACL (access-list) used as the crypto ACL for that tunnel</w:t>
      </w:r>
    </w:p>
    <w:p>
      <w:pPr>
        <w:pStyle w:val="ListParagraph"/>
        <w:numPr>
          <w:ilvl w:val="0"/>
          <w:numId w:val="2"/>
        </w:numPr>
        <w:spacing w:before="40" w:after="40"/>
      </w:pPr>
      <w:r>
        <w:rPr>
          <w:rFonts w:ascii="Arial" w:cs="Arial" w:eastAsia="Arial" w:hAnsi="Arial"/>
          <w:color w:val="374151"/>
          <w:sz w:val="22"/>
          <w:szCs w:val="22"/>
        </w:rPr>
        <w:t xml:space="preserve">Remove the tunnel-group for the migrated peer</w:t>
      </w:r>
    </w:p>
    <w:p>
      <w:pPr>
        <w:pStyle w:val="ListParagraph"/>
        <w:numPr>
          <w:ilvl w:val="0"/>
          <w:numId w:val="2"/>
        </w:numPr>
        <w:spacing w:before="40" w:after="40"/>
      </w:pPr>
      <w:r>
        <w:rPr>
          <w:rFonts w:ascii="Arial" w:cs="Arial" w:eastAsia="Arial" w:hAnsi="Arial"/>
          <w:color w:val="374151"/>
          <w:sz w:val="22"/>
          <w:szCs w:val="22"/>
        </w:rPr>
        <w:t xml:space="preserve">Identify and remove any network object-groups exclusively used by this tunnel and no other active tunnel — shared object-groups must not be removed</w:t>
      </w:r>
    </w:p>
    <w:p>
      <w:pPr>
        <w:pStyle w:val="ListParagraph"/>
        <w:numPr>
          <w:ilvl w:val="0"/>
          <w:numId w:val="2"/>
        </w:numPr>
        <w:spacing w:before="40" w:after="40"/>
      </w:pPr>
      <w:r>
        <w:rPr>
          <w:rFonts w:ascii="Arial" w:cs="Arial" w:eastAsia="Arial" w:hAnsi="Arial"/>
          <w:color w:val="374151"/>
          <w:sz w:val="22"/>
          <w:szCs w:val="22"/>
        </w:rPr>
        <w:t xml:space="preserve">Confirm no other active crypto map entry references the removed objects before executing deletion</w:t>
      </w:r>
    </w:p>
    <w:p>
      <w:pPr>
        <w:pStyle w:val="ListParagraph"/>
        <w:numPr>
          <w:ilvl w:val="0"/>
          <w:numId w:val="2"/>
        </w:numPr>
        <w:spacing w:before="40" w:after="40"/>
      </w:pPr>
      <w:r>
        <w:rPr>
          <w:rFonts w:ascii="Arial" w:cs="Arial" w:eastAsia="Arial" w:hAnsi="Arial"/>
          <w:color w:val="374151"/>
          <w:sz w:val="22"/>
          <w:szCs w:val="22"/>
        </w:rPr>
        <w:t xml:space="preserve">Record configuration state (show run) before and after each decommission event — diffs retained for audit</w:t>
      </w:r>
    </w:p>
    <w:p>
      <w:pPr>
        <w:pStyle w:val="ListParagraph"/>
        <w:numPr>
          <w:ilvl w:val="0"/>
          <w:numId w:val="2"/>
        </w:numPr>
        <w:spacing w:before="40" w:after="40"/>
      </w:pPr>
      <w:r>
        <w:rPr>
          <w:rFonts w:ascii="Arial" w:cs="Arial" w:eastAsia="Arial" w:hAnsi="Arial"/>
          <w:color w:val="374151"/>
          <w:sz w:val="22"/>
          <w:szCs w:val="22"/>
        </w:rPr>
        <w:t xml:space="preserve">Update IPAM to retire the ASA peer IP record for the decommissioned tunnel</w:t>
      </w:r>
    </w:p>
    <w:p>
      <w:pPr>
        <w:spacing w:before="40" w:after="40"/>
      </w:pPr>
    </w:p>
    <w:p>
      <w:pPr>
        <w:pStyle w:val="Heading3"/>
        <w:spacing w:before="200" w:after="60"/>
      </w:pPr>
      <w:r>
        <w:rPr>
          <w:rFonts w:ascii="Arial" w:cs="Arial" w:eastAsia="Arial" w:hAnsi="Arial"/>
          <w:b/>
          <w:bCs/>
          <w:color w:val="1F497D"/>
          <w:sz w:val="23"/>
          <w:szCs w:val="23"/>
        </w:rPr>
        <w:t xml:space="preserve">TR-14 — SIEM Log Integration</w:t>
      </w:r>
    </w:p>
    <w:p>
      <w:pPr>
        <w:spacing w:before="60" w:after="100"/>
      </w:pPr>
      <w:r>
        <w:rPr>
          <w:rFonts w:ascii="Arial" w:cs="Arial" w:eastAsia="Arial" w:hAnsi="Arial"/>
          <w:color w:val="374151"/>
          <w:sz w:val="22"/>
          <w:szCs w:val="22"/>
        </w:rPr>
        <w:t xml:space="preserve">SIEM integration is a non-negotiable gate for the programme. No production cutover may proceed for any tunnel until SIEM integration is validated end-to-end.</w:t>
      </w:r>
    </w:p>
    <w:p>
      <w:pPr>
        <w:pStyle w:val="ListParagraph"/>
        <w:numPr>
          <w:ilvl w:val="0"/>
          <w:numId w:val="2"/>
        </w:numPr>
        <w:spacing w:before="40" w:after="40"/>
      </w:pPr>
      <w:r>
        <w:rPr>
          <w:rFonts w:ascii="Arial" w:cs="Arial" w:eastAsia="Arial" w:hAnsi="Arial"/>
          <w:color w:val="374151"/>
          <w:sz w:val="22"/>
          <w:szCs w:val="22"/>
        </w:rPr>
        <w:t xml:space="preserve">PA-5400 log forwarding configured to the CVS SIEM target (target details provided at contract stage)</w:t>
      </w:r>
    </w:p>
    <w:p>
      <w:pPr>
        <w:pStyle w:val="ListParagraph"/>
        <w:numPr>
          <w:ilvl w:val="0"/>
          <w:numId w:val="2"/>
        </w:numPr>
        <w:spacing w:before="40" w:after="40"/>
      </w:pPr>
      <w:r>
        <w:rPr>
          <w:rFonts w:ascii="Arial" w:cs="Arial" w:eastAsia="Arial" w:hAnsi="Arial"/>
          <w:color w:val="374151"/>
          <w:sz w:val="22"/>
          <w:szCs w:val="22"/>
        </w:rPr>
        <w:t xml:space="preserve">Every log event must carry: tenant_id, zone name (tz-{TID}-ipsec), SNAT identity (nat_src and nat_dst), rule name (pol-{TID}-inbound / pol-{TID}-outbound), and connection_type</w:t>
      </w:r>
    </w:p>
    <w:p>
      <w:pPr>
        <w:pStyle w:val="ListParagraph"/>
        <w:numPr>
          <w:ilvl w:val="0"/>
          <w:numId w:val="2"/>
        </w:numPr>
        <w:spacing w:before="40" w:after="40"/>
      </w:pPr>
      <w:r>
        <w:rPr>
          <w:rFonts w:ascii="Arial" w:cs="Arial" w:eastAsia="Arial" w:hAnsi="Arial"/>
          <w:color w:val="374151"/>
          <w:sz w:val="22"/>
          <w:szCs w:val="22"/>
        </w:rPr>
        <w:t xml:space="preserve">Validation: test tenant provisioned, traffic generated, log events retrieved from SIEM, all mandatory fields confirmed present and correctly populated</w:t>
      </w:r>
    </w:p>
    <w:p>
      <w:pPr>
        <w:pStyle w:val="ListParagraph"/>
        <w:numPr>
          <w:ilvl w:val="0"/>
          <w:numId w:val="2"/>
        </w:numPr>
        <w:spacing w:before="40" w:after="40"/>
      </w:pPr>
      <w:r>
        <w:rPr>
          <w:rFonts w:ascii="Arial" w:cs="Arial" w:eastAsia="Arial" w:hAnsi="Arial"/>
          <w:color w:val="374151"/>
          <w:sz w:val="22"/>
          <w:szCs w:val="22"/>
        </w:rPr>
        <w:t xml:space="preserve">SIEM integration validation documented and signed off by CVS Security Operations before first production cutover</w:t>
      </w:r>
    </w:p>
    <w:p>
      <w:pPr>
        <w:pStyle w:val="ListParagraph"/>
        <w:numPr>
          <w:ilvl w:val="0"/>
          <w:numId w:val="2"/>
        </w:numPr>
        <w:spacing w:before="40" w:after="40"/>
      </w:pPr>
      <w:r>
        <w:rPr>
          <w:rFonts w:ascii="Arial" w:cs="Arial" w:eastAsia="Arial" w:hAnsi="Arial"/>
          <w:color w:val="374151"/>
          <w:sz w:val="22"/>
          <w:szCs w:val="22"/>
        </w:rPr>
        <w:t xml:space="preserve">Per-tenant log attribution verified for at least the first three production tunnels — spot check schedule agreed with CVS for remaining tunnels</w:t>
      </w:r>
    </w:p>
    <w:p>
      <w:pPr>
        <w:pStyle w:val="Heading2"/>
        <w:spacing w:before="260" w:after="80"/>
      </w:pPr>
      <w:r>
        <w:rPr>
          <w:rFonts w:ascii="Arial" w:cs="Arial" w:eastAsia="Arial" w:hAnsi="Arial"/>
          <w:b/>
          <w:bCs/>
          <w:color w:val="2E75B6"/>
          <w:sz w:val="26"/>
          <w:szCs w:val="26"/>
        </w:rPr>
        <w:t xml:space="preserve">2.4 Documentation Requirements</w:t>
      </w:r>
    </w:p>
    <w:p>
      <w:pPr>
        <w:pStyle w:val="Heading3"/>
        <w:spacing w:before="200" w:after="60"/>
      </w:pPr>
      <w:r>
        <w:rPr>
          <w:rFonts w:ascii="Arial" w:cs="Arial" w:eastAsia="Arial" w:hAnsi="Arial"/>
          <w:b/>
          <w:bCs/>
          <w:color w:val="1F497D"/>
          <w:sz w:val="23"/>
          <w:szCs w:val="23"/>
        </w:rPr>
        <w:t xml:space="preserve">TR-15 — Technical Documentation</w:t>
      </w:r>
    </w:p>
    <w:p>
      <w:pPr>
        <w:spacing w:before="60" w:after="100"/>
      </w:pPr>
      <w:r>
        <w:rPr>
          <w:rFonts w:ascii="Arial" w:cs="Arial" w:eastAsia="Arial" w:hAnsi="Arial"/>
          <w:color w:val="374151"/>
          <w:sz w:val="22"/>
          <w:szCs w:val="22"/>
        </w:rPr>
        <w:t xml:space="preserve">The following documentation must be delivered as part of the engagement. Documentation is a contractual deliverable — its completeness is evaluated as part of milestone sign-off.</w:t>
      </w:r>
    </w:p>
    <w:p>
      <w:pPr>
        <w:pStyle w:val="ListParagraph"/>
        <w:numPr>
          <w:ilvl w:val="0"/>
          <w:numId w:val="2"/>
        </w:numPr>
        <w:spacing w:before="40" w:after="40"/>
      </w:pPr>
      <w:r>
        <w:rPr>
          <w:rFonts w:ascii="Arial" w:cs="Arial" w:eastAsia="Arial" w:hAnsi="Arial"/>
          <w:color w:val="374151"/>
          <w:sz w:val="22"/>
          <w:szCs w:val="22"/>
        </w:rPr>
        <w:t xml:space="preserve">Platform build documentation: HA configuration, interface mapping, Panorama integration, base zone and policy structure, and validated baseline state</w:t>
      </w:r>
    </w:p>
    <w:p>
      <w:pPr>
        <w:pStyle w:val="ListParagraph"/>
        <w:numPr>
          <w:ilvl w:val="0"/>
          <w:numId w:val="2"/>
        </w:numPr>
        <w:spacing w:before="40" w:after="40"/>
      </w:pPr>
      <w:r>
        <w:rPr>
          <w:rFonts w:ascii="Arial" w:cs="Arial" w:eastAsia="Arial" w:hAnsi="Arial"/>
          <w:color w:val="374151"/>
          <w:sz w:val="22"/>
          <w:szCs w:val="22"/>
        </w:rPr>
        <w:t xml:space="preserve">Pipeline architecture document: pipeline component diagram, data flow, error handling, rollback procedures, and runbook for CVS operations team</w:t>
      </w:r>
    </w:p>
    <w:p>
      <w:pPr>
        <w:pStyle w:val="ListParagraph"/>
        <w:numPr>
          <w:ilvl w:val="0"/>
          <w:numId w:val="2"/>
        </w:numPr>
        <w:spacing w:before="40" w:after="40"/>
      </w:pPr>
      <w:r>
        <w:rPr>
          <w:rFonts w:ascii="Arial" w:cs="Arial" w:eastAsia="Arial" w:hAnsi="Arial"/>
          <w:color w:val="374151"/>
          <w:sz w:val="22"/>
          <w:szCs w:val="22"/>
        </w:rPr>
        <w:t xml:space="preserve">Template set documentation: one document per template object class, covering input parameters, rendered output example, and validation rules</w:t>
      </w:r>
    </w:p>
    <w:p>
      <w:pPr>
        <w:pStyle w:val="ListParagraph"/>
        <w:numPr>
          <w:ilvl w:val="0"/>
          <w:numId w:val="2"/>
        </w:numPr>
        <w:spacing w:before="40" w:after="40"/>
      </w:pPr>
      <w:r>
        <w:rPr>
          <w:rFonts w:ascii="Arial" w:cs="Arial" w:eastAsia="Arial" w:hAnsi="Arial"/>
          <w:color w:val="374151"/>
          <w:sz w:val="22"/>
          <w:szCs w:val="22"/>
        </w:rPr>
        <w:t xml:space="preserve">IPAM design document: pool definitions, allocation ranges, gwreg command reference, and recovery procedure for failed allocations</w:t>
      </w:r>
    </w:p>
    <w:p>
      <w:pPr>
        <w:pStyle w:val="ListParagraph"/>
        <w:numPr>
          <w:ilvl w:val="0"/>
          <w:numId w:val="2"/>
        </w:numPr>
        <w:spacing w:before="40" w:after="40"/>
      </w:pPr>
      <w:r>
        <w:rPr>
          <w:rFonts w:ascii="Arial" w:cs="Arial" w:eastAsia="Arial" w:hAnsi="Arial"/>
          <w:color w:val="374151"/>
          <w:sz w:val="22"/>
          <w:szCs w:val="22"/>
        </w:rPr>
        <w:t xml:space="preserve">Vault integration document: PSK lifecycle, rotation procedure, backup and recovery, and audit log access</w:t>
      </w:r>
    </w:p>
    <w:p>
      <w:pPr>
        <w:pStyle w:val="ListParagraph"/>
        <w:numPr>
          <w:ilvl w:val="0"/>
          <w:numId w:val="2"/>
        </w:numPr>
        <w:spacing w:before="40" w:after="40"/>
      </w:pPr>
      <w:r>
        <w:rPr>
          <w:rFonts w:ascii="Arial" w:cs="Arial" w:eastAsia="Arial" w:hAnsi="Arial"/>
          <w:color w:val="374151"/>
          <w:sz w:val="22"/>
          <w:szCs w:val="22"/>
        </w:rPr>
        <w:t xml:space="preserve">Acceptance test specification: full test case list, expected results, failure handling, and re-test procedure</w:t>
      </w:r>
    </w:p>
    <w:p>
      <w:pPr>
        <w:pStyle w:val="ListParagraph"/>
        <w:numPr>
          <w:ilvl w:val="0"/>
          <w:numId w:val="2"/>
        </w:numPr>
        <w:spacing w:before="40" w:after="40"/>
      </w:pPr>
      <w:r>
        <w:rPr>
          <w:rFonts w:ascii="Arial" w:cs="Arial" w:eastAsia="Arial" w:hAnsi="Arial"/>
          <w:color w:val="374151"/>
          <w:sz w:val="22"/>
          <w:szCs w:val="22"/>
        </w:rPr>
        <w:t xml:space="preserve">Migration tracker: per-tunnel status record updated in real-time, accessible to CVS programme management at all times</w:t>
      </w:r>
    </w:p>
    <w:p>
      <w:pPr>
        <w:pStyle w:val="ListParagraph"/>
        <w:numPr>
          <w:ilvl w:val="0"/>
          <w:numId w:val="2"/>
        </w:numPr>
        <w:spacing w:before="40" w:after="40"/>
      </w:pPr>
      <w:r>
        <w:rPr>
          <w:rFonts w:ascii="Arial" w:cs="Arial" w:eastAsia="Arial" w:hAnsi="Arial"/>
          <w:color w:val="374151"/>
          <w:sz w:val="22"/>
          <w:szCs w:val="22"/>
        </w:rPr>
        <w:t xml:space="preserve">ASA decommission audit log: pre- and post-decommission configuration diffs for every tunnel, signed by executing engineer</w:t>
      </w:r>
    </w:p>
    <w:p>
      <w:pPr>
        <w:spacing w:before="120" w:after="120"/>
      </w:pPr>
    </w:p>
    <w:p>
      <w:r>
        <w:br w:type="page"/>
      </w:r>
    </w:p>
    <w:p>
      <w:pPr>
        <w:pStyle w:val="Heading1"/>
        <w:spacing w:before="400" w:after="120"/>
      </w:pPr>
      <w:r>
        <w:rPr>
          <w:rFonts w:ascii="Arial" w:cs="Arial" w:eastAsia="Arial" w:hAnsi="Arial"/>
          <w:b/>
          <w:bCs/>
          <w:color w:val="1F3864"/>
          <w:sz w:val="32"/>
          <w:szCs w:val="32"/>
        </w:rPr>
        <w:t xml:space="preserve">3. Responsibility Matrix</w:t>
      </w:r>
    </w:p>
    <w:p>
      <w:pPr>
        <w:spacing w:before="60" w:after="100"/>
      </w:pPr>
      <w:r>
        <w:rPr>
          <w:rFonts w:ascii="Arial" w:cs="Arial" w:eastAsia="Arial" w:hAnsi="Arial"/>
          <w:color w:val="374151"/>
          <w:sz w:val="22"/>
          <w:szCs w:val="22"/>
        </w:rPr>
        <w:t xml:space="preserve">The following matrix defines responsibility for every activity category in the programme. CVS Health retains all governance, partner engagement, and approval activities. The vendor is responsible for all technical build and migration execution activities. Shared responsibilities are activities where both parties must actively participate.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1500"/>
        <w:gridCol w:w="150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Activity</w:t>
            </w:r>
          </w:p>
        </w:tc>
        <w:tc>
          <w:tcPr>
            <w:tcW w:type="dxa" w:w="3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Detail</w:t>
            </w:r>
          </w:p>
        </w:tc>
        <w:tc>
          <w:tcPr>
            <w:tcW w:type="dxa" w:w="15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Owner</w:t>
            </w:r>
          </w:p>
        </w:tc>
        <w:tc>
          <w:tcPr>
            <w:tcW w:type="dxa" w:w="15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
            </w:r>
          </w:p>
        </w:tc>
      </w:tr>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3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15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CVS Health</w:t>
            </w:r>
          </w:p>
        </w:tc>
        <w:tc>
          <w:tcPr>
            <w:tcW w:type="dxa" w:w="1500"/>
            <w:tcBorders>
              <w:top w:val="single" w:color="2E75B6" w:sz="4"/>
              <w:left w:val="single" w:color="2E75B6" w:sz="4"/>
              <w:bottom w:val="single" w:color="2E75B6" w:sz="4"/>
              <w:right w:val="single" w:color="2E75B6" w:sz="4"/>
            </w:tcBorders>
            <w:shd w:fill="C55A11"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Vendor</w:t>
            </w:r>
          </w:p>
        </w:tc>
      </w:tr>
      <w:tr>
        <w:tc>
          <w:tcPr>
            <w:tcW w:type="dxa" w:w="9360"/>
            <w:gridSpan w:val="4"/>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PLATFORM &amp; INFRASTRUCTURE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PA-5400 hardware procurement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PA-5400 HA pair SKU selection, purchase, rack, cable, and power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PA-5400 hardware delivery to site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Physical delivery and installation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PA-5400 platform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OS version, base configuration, Panorama registration, HA commissioning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Panorama deployment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Panorama instance, device group structure, template stack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IPAM service deployment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Pool design, service deployment, gwreg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Vault deployment and PKI bootstrap</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Vault HA, PSK path structure, pipeline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SIEM target definition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 target IP, port, format, and field requirements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SIEM integration implementation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Log profile configuration, forwarding, field mapping,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9360"/>
            <w:gridSpan w:val="4"/>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AUTOMATION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Pipeline architecture and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Stateless service, TenantProfile store, render/validate/commit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Template set development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Per-object-class templates, versioned, parameterised, validated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Acceptance test suite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Automated post-commit test battery (TR-08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Pipeline access for CVS ops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Documented runbook, read-only access to tracker and state store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Pipeline change approval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Changes to production templates require CVS approval</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r>
      <w:tr>
        <w:tc>
          <w:tcPr>
            <w:tcW w:type="dxa" w:w="9360"/>
            <w:gridSpan w:val="4"/>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GOVERNANCE &amp; DATA COLLECTION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ASA tunnel group inventory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Mapping all 231 peer IPs to named partners with business owners</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Tenant Onboarding Workbook completion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Sheets 2, 3A, 4, 5A — partner data collection for each tunnel</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IKEv2 capability confirmation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Confirming each partner can support IKEv2 before scheduling</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Migration notice to partners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Issuing formal notice with new IKE endpoint, PSK, parameters</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Cutover window scheduling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Agreeing maintenance window with each partner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9360"/>
            <w:gridSpan w:val="4"/>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PER-TUNNEL MIGRATION EXECUTION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Workbook engineer completion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Sheets 3B, 5B, 6, 7 — engineer fields per tunnel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gwreg alloc and Vault bootstrap</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Resource allocation and PSK generation per 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ServiceNow submission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Raising SNOW request with completed workbook attached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ServiceNow approval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Approving or returning the SNOW request</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Pipeline render/validate/commit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gwctl pipeline execution per 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Acceptance test execution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Automated suite run post-commit, results recorded on Sheet 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PSK delivery to partner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Secure out-of-band delivery of new PSK to partner contact</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Parallel tunnel validation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End-to-end service validation before cutover — all workbook services</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Cutover execution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Traffic shift to PA-5400 in agreed window</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72-hour monitoring hold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CVS monitors traffic volumes and stability during hold period</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Partner confirmation and sign-off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Obtaining partner written sign-off after 72-hour hold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ASA decommission instruction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Formal instruction issued by CVS after partner sign-off</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ASA config removal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Removing crypto map, ACL, tunnel group, object-groups on instruction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IPAM retirement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Retiring ASA peer IP record after decommission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Workbook closure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Completing Sheet 11 closure record and archiving against SNOW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9360"/>
            <w:gridSpan w:val="4"/>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ASA DECOMMISSION &amp; PROGRAMME CLOSURE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ASA monitoring-only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Confirming ASA is receiving zero tunnel traffic before full decommission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30-day clean observation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30-day observation period before ASA formal decommission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ASA formal decommission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Physical decommission and disposal of ASA after observation period</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CVS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Object-group lifecycle audit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Auditing 563 object-groups against active tunnel inventory, removing orphans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595959"/>
                <w:sz w:val="22"/>
                <w:szCs w:val="22"/>
              </w:rPr>
              <w:t xml:space="preserve">—</w:t>
            </w:r>
          </w:p>
        </w:tc>
        <w:tc>
          <w:tcPr>
            <w:tcW w:type="dxa" w:w="1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Vendor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Programme closure documentation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Final migration tracker, audit log, and lessons learned report</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c>
          <w:tcPr>
            <w:tcW w:type="dxa" w:w="15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Shared</w:t>
            </w:r>
          </w:p>
        </w:tc>
      </w:tr>
    </w:tbl>
    <w:p>
      <w:pPr>
        <w:spacing w:before="120" w:after="120"/>
      </w:pPr>
    </w:p>
    <w:p>
      <w:r>
        <w:br w:type="page"/>
      </w:r>
    </w:p>
    <w:p>
      <w:pPr>
        <w:pStyle w:val="Heading1"/>
        <w:spacing w:before="400" w:after="120"/>
      </w:pPr>
      <w:r>
        <w:rPr>
          <w:rFonts w:ascii="Arial" w:cs="Arial" w:eastAsia="Arial" w:hAnsi="Arial"/>
          <w:b/>
          <w:bCs/>
          <w:color w:val="1F3864"/>
          <w:sz w:val="32"/>
          <w:szCs w:val="32"/>
        </w:rPr>
        <w:t xml:space="preserve">4. Deliverables and Acceptance Criteria</w:t>
      </w:r>
    </w:p>
    <w:p>
      <w:pPr>
        <w:spacing w:before="60" w:after="100"/>
      </w:pPr>
      <w:r>
        <w:rPr>
          <w:rFonts w:ascii="Arial" w:cs="Arial" w:eastAsia="Arial" w:hAnsi="Arial"/>
          <w:color w:val="374151"/>
          <w:sz w:val="22"/>
          <w:szCs w:val="22"/>
        </w:rPr>
        <w:t xml:space="preserve">All deliverables are contractual. Milestone payments are conditional on the acceptance criteria for each deliverable being met in full. Partial deliverables are not accepted. CVS Health has 10 business days to review and either accept or return a deliverable with specific objections after submission.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360"/>
        <w:gridCol w:w="1600"/>
        <w:gridCol w:w="160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Ref</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Deliverable</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Acceptance Criteria</w:t>
            </w:r>
          </w:p>
        </w:tc>
        <w:tc>
          <w:tcPr>
            <w:tcW w:type="dxa" w:w="1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Format</w:t>
            </w:r>
          </w:p>
        </w:tc>
        <w:tc>
          <w:tcPr>
            <w:tcW w:type="dxa" w:w="1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Milestone</w:t>
            </w:r>
          </w:p>
        </w:tc>
      </w:tr>
      <w:tr>
        <w:tc>
          <w:tcPr>
            <w:tcW w:type="dxa" w:w="9360"/>
            <w:gridSpan w:val="5"/>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MILESTONE 1 — Platform Ready (gate before first migration)</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Build Documentation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 configuration, interface mapping, Panorama registration, baseline zone structure, and HA failover test results documented. Panorama API access from pipeline service account confirmed.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IPAM Service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Address pools defined and tested. gwreg tenant alloc executes and returns all required allocations. IPAM registry queryable by CVS.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Service +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Vault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PSK generation at psk/{tenant_id} confirmed. Backup procedure tested. Pipeline service account access confirmed. No PSK values in any workbook or ticket.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Service +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Automation Pipeline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Render, validate, and commit operations functional end-to-end against a test tenant. Idempotency confirmed. Rollback procedure documented and tested.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Service +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Template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template per object class covering all TR-11 objects. Versioned in source control. Parameterisation validated against architecture document. No hardcoded values.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Code +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D-06</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Acceptance Test Suite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All TR-08 tests implemented and passing against a test tenant. Test results logged to CVS SIEM with correct field attribution. Suite executable on demand by CVS.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Automated Suite +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SIEM Integration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tenant log events visible in CVS SIEM. All mandatory fields present: tenant_id, tz-{TID}-ipsec, nat_src, nat_dst, rule name, connection_type. Signed off by CVS Security Operations.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Sign-off Record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M1</w:t>
            </w:r>
          </w:p>
        </w:tc>
      </w:tr>
      <w:tr>
        <w:tc>
          <w:tcPr>
            <w:tcW w:type="dxa" w:w="9360"/>
            <w:gridSpan w:val="5"/>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MILESTONE 2 — Tier 1 Migration Complete (31 critical-crypto + 47 IKEv2 tunnels)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D-08</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1 Migration — 78 Tunnels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All 31 DES/3DES-MD5 tunnels and all 47 IKEv2 tunnels migrated, acceptance tests passed, 72-hour parallel hold completed, partner sign-off received, ASA config removed on CVS instruction. Migration tracker updated per tunnel.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Signed migration tracker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M2</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D-09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1 ASA Decommission Audit 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 and post-decommission configuration diffs for all 78 decommissioned tunnel entries. Each diff signed by executing engineer with date and CVS instruction reference.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Audit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M2</w:t>
            </w:r>
          </w:p>
        </w:tc>
      </w:tr>
      <w:tr>
        <w:tc>
          <w:tcPr>
            <w:tcW w:type="dxa" w:w="9360"/>
            <w:gridSpan w:val="5"/>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MILESTONE 3 — Tier 2 Migration Complete (111 IKEv1 AES-256 tunnels)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2 Migration — 111 Tunnels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All 111 IKEv1 AES-256-SHA tunnels migrated. Same acceptance criteria as D-08. Migration tracker updated per tunnel.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Signed migration tracker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M3</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2 ASA Decommission Audit 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 and post-decommission diffs for all 111 entries, signed by executing engineer.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Audit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M3</w:t>
            </w:r>
          </w:p>
        </w:tc>
      </w:tr>
      <w:tr>
        <w:tc>
          <w:tcPr>
            <w:tcW w:type="dxa" w:w="9360"/>
            <w:gridSpan w:val="5"/>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MILESTONE 4 — Full Migration Complete + ASA Residual Clean (all 231 tunnels)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3 Migration — Residual Tunnels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All remaining tunnels migrated. Same acceptance criteria as D-08. Migration tracker shows all 231 entries COMPLETE.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Signed migration tracker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M4</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Full ASA Decommission Audit 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audit log covering all 231 tunnel decommission events, pre/post diffs, and CVS instruction references.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Audit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M4</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Object-Group Audit and Cleanup</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4151"/>
                <w:sz w:val="20"/>
                <w:szCs w:val="20"/>
              </w:rPr>
              <w:t xml:space="preserve">All 563 ASA object-groups audited against active tunnel inventory. Orphaned object-groups removed. Result documented — groups retained (with reason) vs groups removed.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Audit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M4</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D-15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Programme Closure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Migration tracker final state, total tunnel counts by tier, exception register (tunnels not migrated and reason), lessons learned, and platform handover statement.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M4</w:t>
            </w:r>
          </w:p>
        </w:tc>
      </w:tr>
    </w:tbl>
    <w:p>
      <w:pPr>
        <w:spacing w:before="120" w:after="120"/>
      </w:pPr>
    </w:p>
    <w:p>
      <w:r>
        <w:br w:type="page"/>
      </w:r>
    </w:p>
    <w:p>
      <w:pPr>
        <w:pStyle w:val="Heading1"/>
        <w:spacing w:before="400" w:after="120"/>
      </w:pPr>
      <w:r>
        <w:rPr>
          <w:rFonts w:ascii="Arial" w:cs="Arial" w:eastAsia="Arial" w:hAnsi="Arial"/>
          <w:b/>
          <w:bCs/>
          <w:color w:val="1F3864"/>
          <w:sz w:val="32"/>
          <w:szCs w:val="32"/>
        </w:rPr>
        <w:t xml:space="preserve">5. Illustrative Workplan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8"/>
              <w:bottom w:val="single" w:color="B45309" w:sz="8"/>
              <w:right w:val="single" w:color="B45309" w:sz="8"/>
            </w:tcBorders>
            <w:shd w:fill="FEF3C7" w:val="clear"/>
            <w:tcMar>
              <w:top w:type="dxa" w:w="160"/>
              <w:left w:type="dxa" w:w="220"/>
              <w:bottom w:type="dxa" w:w="160"/>
              <w:right w:type="dxa" w:w="220"/>
            </w:tcMar>
          </w:tcPr>
          <w:p>
            <w:pPr>
              <w:spacing w:before="0" w:after="60"/>
            </w:pPr>
            <w:r>
              <w:rPr>
                <w:rFonts w:ascii="Arial" w:cs="Arial" w:eastAsia="Arial" w:hAnsi="Arial"/>
                <w:b/>
                <w:bCs/>
                <w:color w:val="B45309"/>
                <w:sz w:val="22"/>
                <w:szCs w:val="22"/>
              </w:rPr>
              <w:t xml:space="preserve">Note on this workplan</w:t>
            </w:r>
          </w:p>
          <w:p>
            <w:pPr>
              <w:spacing w:before="0" w:after="20"/>
            </w:pPr>
            <w:r>
              <w:rPr>
                <w:rFonts w:ascii="Arial" w:cs="Arial" w:eastAsia="Arial" w:hAnsi="Arial"/>
                <w:color w:val="374151"/>
                <w:sz w:val="22"/>
                <w:szCs w:val="22"/>
              </w:rPr>
              <w:t xml:space="preserve">The phase structure and tunnel sequencing below are based on the confirmed technical requirements and risk prioritisation. The week number ranges are illustrative — they assume a 3-engineer delivery team at high availability and good partner engagement rates. Respondents are asked to propose their own workplan with resource assumptions stated explicitly. The timetable is a planning model, not a contractual commitment at this stage.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360"/>
        <w:gridCol w:w="1300"/>
      </w:tblGrid>
      <w:tr>
        <w:trPr>
          <w:tblHeader/>
        </w:trPr>
        <w:tc>
          <w:tcPr>
            <w:tcW w:type="dxa" w:w="7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Title</w:t>
            </w:r>
          </w:p>
        </w:tc>
        <w:tc>
          <w:tcPr>
            <w:tcW w:type="dxa" w:w="5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Scope</w:t>
            </w:r>
          </w:p>
        </w:tc>
        <w:tc>
          <w:tcPr>
            <w:tcW w:type="dxa" w:w="1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Lead</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Build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PA-5400 HA pair, Panorama, IPAM, Vault. Build automation pipeline, template set, and acceptance test suite. Validate SIEM integration. Commission and baseline entire platform. No partner migrations until Milestone 1 accepted by CVS.</w:t>
            </w:r>
          </w:p>
        </w:tc>
        <w:tc>
          <w:tcPr>
            <w:tcW w:type="dxa" w:w="13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595959"/>
                <w:sz w:val="20"/>
                <w:szCs w:val="20"/>
              </w:rPr>
              <w:t xml:space="preserve">Vendor</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Discovery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with P1. Vendor supports CVS discovery: reviews completed workbooks as they arrive, identifies data quality issues, confirms IPAM conflict checks, flags IKEv2 capability blockers to CVS programme management.</w:t>
            </w:r>
          </w:p>
        </w:tc>
        <w:tc>
          <w:tcPr>
            <w:tcW w:type="dxa" w:w="13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val="false"/>
                <w:bCs w:val="false"/>
                <w:color w:val="595959"/>
                <w:sz w:val="20"/>
                <w:szCs w:val="20"/>
              </w:rPr>
              <w:t xml:space="preserve">Shared</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1 — Critical Crypto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31 DES/3DES-MD5 tunnels and all 47 IKEv2 tunnels. Highest-risk tunnels first. All migrations follow the 6-phase per-tunnel process. Milestone 2 payment on completion of all 78 tunnels and D-08/D-09 acceptance.</w:t>
            </w:r>
          </w:p>
        </w:tc>
        <w:tc>
          <w:tcPr>
            <w:tcW w:type="dxa" w:w="13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595959"/>
                <w:sz w:val="20"/>
                <w:szCs w:val="20"/>
              </w:rPr>
              <w:t xml:space="preserve">Vendor</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2 — IKEv1 AES-256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111 IKEv1 AES-256-SHA tunnels. These require IKEv2 protocol upgrade from the partner side — CVS partner engagement will be the pacing constraint. Vendor batches migrations by partner organisation where multiple tunnels exist. Milestone 3 on completion.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595959"/>
                <w:sz w:val="20"/>
                <w:szCs w:val="20"/>
              </w:rPr>
              <w:t xml:space="preserve">Vendor</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3 &amp; Residual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remaining tunnels. Execute object-group lifecycle audit. Assist CVS with ASA monitoring-only confirmation. Deliver D-12 through D-15. Final milestone on programme closure report acceptance.</w:t>
            </w:r>
          </w:p>
        </w:tc>
        <w:tc>
          <w:tcPr>
            <w:tcW w:type="dxa" w:w="13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color w:val="595959"/>
                <w:sz w:val="20"/>
                <w:szCs w:val="20"/>
              </w:rPr>
              <w:t xml:space="preserve">Vendor</w:t>
            </w:r>
          </w:p>
        </w:tc>
      </w:tr>
    </w:tbl>
    <w:p>
      <w:pPr>
        <w:spacing w:before="80" w:after="80"/>
      </w:pPr>
    </w:p>
    <w:p>
      <w:pPr>
        <w:pStyle w:val="Heading2"/>
        <w:spacing w:before="260" w:after="80"/>
      </w:pPr>
      <w:r>
        <w:rPr>
          <w:rFonts w:ascii="Arial" w:cs="Arial" w:eastAsia="Arial" w:hAnsi="Arial"/>
          <w:b/>
          <w:bCs/>
          <w:color w:val="2E75B6"/>
          <w:sz w:val="26"/>
          <w:szCs w:val="26"/>
        </w:rPr>
        <w:t xml:space="preserve">5.1 Throughput Model — Respondents Must Address</w:t>
      </w:r>
    </w:p>
    <w:p>
      <w:pPr>
        <w:spacing w:before="60" w:after="100"/>
      </w:pPr>
      <w:r>
        <w:rPr>
          <w:rFonts w:ascii="Arial" w:cs="Arial" w:eastAsia="Arial" w:hAnsi="Arial"/>
          <w:color w:val="374151"/>
          <w:sz w:val="22"/>
          <w:szCs w:val="22"/>
        </w:rPr>
        <w:t xml:space="preserve">Respondents must include in their response a throughput model that states:</w:t>
      </w:r>
    </w:p>
    <w:p>
      <w:pPr>
        <w:pStyle w:val="ListParagraph"/>
        <w:numPr>
          <w:ilvl w:val="0"/>
          <w:numId w:val="3"/>
        </w:numPr>
        <w:spacing w:before="40" w:after="40"/>
      </w:pPr>
      <w:r>
        <w:rPr>
          <w:rFonts w:ascii="Arial" w:cs="Arial" w:eastAsia="Arial" w:hAnsi="Arial"/>
          <w:color w:val="374151"/>
          <w:sz w:val="22"/>
          <w:szCs w:val="22"/>
        </w:rPr>
        <w:t xml:space="preserve">The number of provisioning engineers proposed for migration execution and their availability as a percentage of their time</w:t>
      </w:r>
    </w:p>
    <w:p>
      <w:pPr>
        <w:pStyle w:val="ListParagraph"/>
        <w:numPr>
          <w:ilvl w:val="0"/>
          <w:numId w:val="3"/>
        </w:numPr>
        <w:spacing w:before="40" w:after="40"/>
      </w:pPr>
      <w:r>
        <w:rPr>
          <w:rFonts w:ascii="Arial" w:cs="Arial" w:eastAsia="Arial" w:hAnsi="Arial"/>
          <w:color w:val="374151"/>
          <w:sz w:val="22"/>
          <w:szCs w:val="22"/>
        </w:rPr>
        <w:t xml:space="preserve">The estimated number of tunnel migrations completable per engineer per week during steady-state execution, with the assumptions that drive that estimate</w:t>
      </w:r>
    </w:p>
    <w:p>
      <w:pPr>
        <w:pStyle w:val="ListParagraph"/>
        <w:numPr>
          <w:ilvl w:val="0"/>
          <w:numId w:val="3"/>
        </w:numPr>
        <w:spacing w:before="40" w:after="40"/>
      </w:pPr>
      <w:r>
        <w:rPr>
          <w:rFonts w:ascii="Arial" w:cs="Arial" w:eastAsia="Arial" w:hAnsi="Arial"/>
          <w:color w:val="374151"/>
          <w:sz w:val="22"/>
          <w:szCs w:val="22"/>
        </w:rPr>
        <w:t xml:space="preserve">The proposed programme duration in weeks from P1 start to full programme closure, with sensitivity to: (a) partner engagement pace, (b) IKEv1-only partner escalations, and (c) CVS workbook delivery rate</w:t>
      </w:r>
    </w:p>
    <w:p>
      <w:pPr>
        <w:pStyle w:val="ListParagraph"/>
        <w:numPr>
          <w:ilvl w:val="0"/>
          <w:numId w:val="3"/>
        </w:numPr>
        <w:spacing w:before="40" w:after="40"/>
      </w:pPr>
      <w:r>
        <w:rPr>
          <w:rFonts w:ascii="Arial" w:cs="Arial" w:eastAsia="Arial" w:hAnsi="Arial"/>
          <w:color w:val="374151"/>
          <w:sz w:val="22"/>
          <w:szCs w:val="22"/>
        </w:rPr>
        <w:t xml:space="preserve">The proposed resourcing for out-of-hours cutover support</w:t>
      </w:r>
    </w:p>
    <w:p>
      <w:pPr>
        <w:pStyle w:val="ListParagraph"/>
        <w:numPr>
          <w:ilvl w:val="0"/>
          <w:numId w:val="3"/>
        </w:numPr>
        <w:spacing w:before="40" w:after="40"/>
      </w:pPr>
      <w:r>
        <w:rPr>
          <w:rFonts w:ascii="Arial" w:cs="Arial" w:eastAsia="Arial" w:hAnsi="Arial"/>
          <w:color w:val="374151"/>
          <w:sz w:val="22"/>
          <w:szCs w:val="22"/>
        </w:rPr>
        <w:t xml:space="preserve">Whether P1 platform build uses the same engineer pool as migration execution — if yes, the respondent must account for the serial dependency</w:t>
      </w:r>
    </w:p>
    <w:p>
      <w:pPr>
        <w:spacing w:before="120" w:after="120"/>
      </w:pPr>
    </w:p>
    <w:p>
      <w:r>
        <w:br w:type="page"/>
      </w:r>
    </w:p>
    <w:p>
      <w:pPr>
        <w:pStyle w:val="Heading1"/>
        <w:spacing w:before="400" w:after="120"/>
      </w:pPr>
      <w:r>
        <w:rPr>
          <w:rFonts w:ascii="Arial" w:cs="Arial" w:eastAsia="Arial" w:hAnsi="Arial"/>
          <w:b/>
          <w:bCs/>
          <w:color w:val="1F3864"/>
          <w:sz w:val="32"/>
          <w:szCs w:val="32"/>
        </w:rPr>
        <w:t xml:space="preserve">6. Commercial Requirements</w:t>
      </w:r>
    </w:p>
    <w:p>
      <w:pPr>
        <w:pStyle w:val="Heading2"/>
        <w:spacing w:before="260" w:after="80"/>
      </w:pPr>
      <w:r>
        <w:rPr>
          <w:rFonts w:ascii="Arial" w:cs="Arial" w:eastAsia="Arial" w:hAnsi="Arial"/>
          <w:b/>
          <w:bCs/>
          <w:color w:val="2E75B6"/>
          <w:sz w:val="26"/>
          <w:szCs w:val="26"/>
        </w:rPr>
        <w:t xml:space="preserve">6.1 Pricing Structure</w:t>
      </w:r>
    </w:p>
    <w:p>
      <w:pPr>
        <w:spacing w:before="60" w:after="100"/>
      </w:pPr>
      <w:r>
        <w:rPr>
          <w:rFonts w:ascii="Arial" w:cs="Arial" w:eastAsia="Arial" w:hAnsi="Arial"/>
          <w:color w:val="374151"/>
          <w:sz w:val="22"/>
          <w:szCs w:val="22"/>
        </w:rPr>
        <w:t xml:space="preserve">Respondents are asked to provide pricing that maps clearly to the milestone and deliverable structure in Section 4. CVS Health's preference is for a fixed-price engagement with milestone-linked payment. Time and materials pricing will be considered where clearly justified, but respondents must explain why fixed-price is not appropriate for the relevant scope element.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49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Scope Element</w:t>
            </w:r>
          </w:p>
        </w:tc>
        <w:tc>
          <w:tcPr>
            <w:tcW w:type="dxa" w:w="3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Pricing Approach Requested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Platform build and pipeline (D-01 through D-07 — Milestone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Fixed price. Scope is fully defined by TR-01 through TR-08.</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P-02</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Tier 1 migration execution — 78 tunnels (D-08, D-09 — Milestone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Fixed price per tunnel or fixed price for the tier. Scope defined by the 6-phase per-tunnel process.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Tier 2 migration execution — 111 tunnels (D-10, D-11 — Milestone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Fixed price per tunnel or fixed price for the tier.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Tier 3 and residual migration + object-group audit (D-12 through D-15 — Milestone 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Fixed price for the tier and audit.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Out-of-hours cutover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Rate card per event (4-hour window). Respondent to state minimum notice period.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P-06</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Defect remediation within migration scope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Included in fixed price. Defects arising from vendor error must be remediated at no additional cost to CVS.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P-07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Change requests outside agreed 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Day rate per engineer grade. Respondent to provide rate card.</w:t>
            </w:r>
          </w:p>
        </w:tc>
      </w:tr>
    </w:tbl>
    <w:p>
      <w:pPr>
        <w:spacing w:before="80" w:after="80"/>
      </w:pPr>
    </w:p>
    <w:p>
      <w:pPr>
        <w:pStyle w:val="Heading2"/>
        <w:spacing w:before="260" w:after="80"/>
      </w:pPr>
      <w:r>
        <w:rPr>
          <w:rFonts w:ascii="Arial" w:cs="Arial" w:eastAsia="Arial" w:hAnsi="Arial"/>
          <w:b/>
          <w:bCs/>
          <w:color w:val="2E75B6"/>
          <w:sz w:val="26"/>
          <w:szCs w:val="26"/>
        </w:rPr>
        <w:t xml:space="preserve">6.2 Milestone Payment Schedule</w:t>
      </w:r>
    </w:p>
    <w:p>
      <w:pPr>
        <w:spacing w:before="60" w:after="100"/>
      </w:pPr>
      <w:r>
        <w:rPr>
          <w:rFonts w:ascii="Arial" w:cs="Arial" w:eastAsia="Arial" w:hAnsi="Arial"/>
          <w:color w:val="374151"/>
          <w:sz w:val="22"/>
          <w:szCs w:val="22"/>
        </w:rPr>
        <w:t xml:space="preserve">The following milestone payment structure is proposed by CVS Health. Respondents may propose alternatives with justification.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2400"/>
        <w:gridCol w:w="240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Milestone</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Trigger</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Payment %</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Contract award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Signed contract, mobilisation 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Mobilisation payment — non-refundable after platform build begins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M1 — Platform Ready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D-01 through D-07 all accepted by CVS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payment. No migration work begins until this milestone is 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M2 — Tier 1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D-08 and D-09 accepted by CVS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78 tunnels migrated and ASA entries decommissioned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M3 — Tier 2 Complete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D-10 and D-11 accepted by CVS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111 tunnels migrated and ASA entries decommissioned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M4 — Programme Closure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D-12 through D-15 accepted by CVS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All 231 tunnels complete, audit log finalised, closure report accepted</w:t>
            </w:r>
          </w:p>
        </w:tc>
      </w:tr>
    </w:tbl>
    <w:p>
      <w:pPr>
        <w:spacing w:before="80" w:after="80"/>
      </w:pPr>
    </w:p>
    <w:p>
      <w:pPr>
        <w:pStyle w:val="Heading2"/>
        <w:spacing w:before="260" w:after="80"/>
      </w:pPr>
      <w:r>
        <w:rPr>
          <w:rFonts w:ascii="Arial" w:cs="Arial" w:eastAsia="Arial" w:hAnsi="Arial"/>
          <w:b/>
          <w:bCs/>
          <w:color w:val="2E75B6"/>
          <w:sz w:val="26"/>
          <w:szCs w:val="26"/>
        </w:rPr>
        <w:t xml:space="preserve">6.3 Key Commercial Terms</w:t>
      </w:r>
    </w:p>
    <w:p>
      <w:pPr>
        <w:pStyle w:val="ListParagraph"/>
        <w:numPr>
          <w:ilvl w:val="0"/>
          <w:numId w:val="2"/>
        </w:numPr>
        <w:spacing w:before="40" w:after="40"/>
      </w:pPr>
      <w:r>
        <w:rPr>
          <w:rFonts w:ascii="Arial" w:cs="Arial" w:eastAsia="Arial" w:hAnsi="Arial"/>
          <w:b/>
          <w:bCs/>
          <w:color w:val="1F3864"/>
          <w:sz w:val="22"/>
          <w:szCs w:val="22"/>
        </w:rPr>
        <w:t xml:space="preserve">Fixed-price commitment: </w:t>
      </w:r>
      <w:r>
        <w:rPr>
          <w:rFonts w:ascii="Arial" w:cs="Arial" w:eastAsia="Arial" w:hAnsi="Arial"/>
          <w:color w:val="374151"/>
          <w:sz w:val="22"/>
          <w:szCs w:val="22"/>
        </w:rPr>
        <w:t xml:space="preserve">Respondents must confirm that the fixed-price elements are firm. CVS will not accept open-ended exposure to scope growth within the defined technical requirements.</w:t>
      </w:r>
    </w:p>
    <w:p>
      <w:pPr>
        <w:pStyle w:val="ListParagraph"/>
        <w:numPr>
          <w:ilvl w:val="0"/>
          <w:numId w:val="2"/>
        </w:numPr>
        <w:spacing w:before="40" w:after="40"/>
      </w:pPr>
      <w:r>
        <w:rPr>
          <w:rFonts w:ascii="Arial" w:cs="Arial" w:eastAsia="Arial" w:hAnsi="Arial"/>
          <w:b/>
          <w:bCs/>
          <w:color w:val="1F3864"/>
          <w:sz w:val="22"/>
          <w:szCs w:val="22"/>
        </w:rPr>
        <w:t xml:space="preserve">Defect liability: </w:t>
      </w:r>
      <w:r>
        <w:rPr>
          <w:rFonts w:ascii="Arial" w:cs="Arial" w:eastAsia="Arial" w:hAnsi="Arial"/>
          <w:color w:val="374151"/>
          <w:sz w:val="22"/>
          <w:szCs w:val="22"/>
        </w:rPr>
        <w:t xml:space="preserve">Any defect arising from vendor implementation error — incorrect template rendering, failed acceptance tests, misconfigured SNAT, incorrect ASA object removal — must be remediated at no cost to CVS and without consuming the agreed change request budget.</w:t>
      </w:r>
    </w:p>
    <w:p>
      <w:pPr>
        <w:pStyle w:val="ListParagraph"/>
        <w:numPr>
          <w:ilvl w:val="0"/>
          <w:numId w:val="2"/>
        </w:numPr>
        <w:spacing w:before="40" w:after="40"/>
      </w:pPr>
      <w:r>
        <w:rPr>
          <w:rFonts w:ascii="Arial" w:cs="Arial" w:eastAsia="Arial" w:hAnsi="Arial"/>
          <w:b/>
          <w:bCs/>
          <w:color w:val="1F3864"/>
          <w:sz w:val="22"/>
          <w:szCs w:val="22"/>
        </w:rPr>
        <w:t xml:space="preserve">Tunnel volume tolerance: </w:t>
      </w:r>
      <w:r>
        <w:rPr>
          <w:rFonts w:ascii="Arial" w:cs="Arial" w:eastAsia="Arial" w:hAnsi="Arial"/>
          <w:color w:val="374151"/>
          <w:sz w:val="22"/>
          <w:szCs w:val="22"/>
        </w:rPr>
        <w:t xml:space="preserve">The 231 tunnel count is based on the current ASA running configuration. CVS will advise if the final count differs by more than 10 tunnels from this figure before contract award. Pricing must accommodate ±10 tunnels within the fixed price.</w:t>
      </w:r>
    </w:p>
    <w:p>
      <w:pPr>
        <w:pStyle w:val="ListParagraph"/>
        <w:numPr>
          <w:ilvl w:val="0"/>
          <w:numId w:val="2"/>
        </w:numPr>
        <w:spacing w:before="40" w:after="40"/>
      </w:pPr>
      <w:r>
        <w:rPr>
          <w:rFonts w:ascii="Arial" w:cs="Arial" w:eastAsia="Arial" w:hAnsi="Arial"/>
          <w:b/>
          <w:bCs/>
          <w:color w:val="1F3864"/>
          <w:sz w:val="22"/>
          <w:szCs w:val="22"/>
        </w:rPr>
        <w:t xml:space="preserve">Partner-driven delays: </w:t>
      </w:r>
      <w:r>
        <w:rPr>
          <w:rFonts w:ascii="Arial" w:cs="Arial" w:eastAsia="Arial" w:hAnsi="Arial"/>
          <w:color w:val="374151"/>
          <w:sz w:val="22"/>
          <w:szCs w:val="22"/>
        </w:rPr>
        <w:t xml:space="preserve">Where migration of a specific tunnel is delayed by partner non-response or partner inability to support IKEv2, CVS will notify the vendor. These tunnels will be re-sequenced — they do not constitute a change request. Vendor must accommodate re-sequencing within the agreed programme timeline.</w:t>
      </w:r>
    </w:p>
    <w:p>
      <w:pPr>
        <w:pStyle w:val="ListParagraph"/>
        <w:numPr>
          <w:ilvl w:val="0"/>
          <w:numId w:val="2"/>
        </w:numPr>
        <w:spacing w:before="40" w:after="40"/>
      </w:pPr>
      <w:r>
        <w:rPr>
          <w:rFonts w:ascii="Arial" w:cs="Arial" w:eastAsia="Arial" w:hAnsi="Arial"/>
          <w:b/>
          <w:bCs/>
          <w:color w:val="1F3864"/>
          <w:sz w:val="22"/>
          <w:szCs w:val="22"/>
        </w:rPr>
        <w:t xml:space="preserve">Out-of-scope escalations: </w:t>
      </w:r>
      <w:r>
        <w:rPr>
          <w:rFonts w:ascii="Arial" w:cs="Arial" w:eastAsia="Arial" w:hAnsi="Arial"/>
          <w:color w:val="374151"/>
          <w:sz w:val="22"/>
          <w:szCs w:val="22"/>
        </w:rPr>
        <w:t xml:space="preserve">Where a tunnel cannot be migrated due to a technical constraint outside the vendor's control (e.g. a partner with no IKEv2 capability and no upgrade path), CVS will issue a written exclusion. Excluded tunnels are removed from the milestone count before payment is calculated.</w:t>
      </w:r>
    </w:p>
    <w:p>
      <w:pPr>
        <w:spacing w:before="120" w:after="120"/>
      </w:pPr>
    </w:p>
    <w:p>
      <w:r>
        <w:br w:type="page"/>
      </w:r>
    </w:p>
    <w:p>
      <w:pPr>
        <w:pStyle w:val="Heading1"/>
        <w:spacing w:before="400" w:after="120"/>
      </w:pPr>
      <w:r>
        <w:rPr>
          <w:rFonts w:ascii="Arial" w:cs="Arial" w:eastAsia="Arial" w:hAnsi="Arial"/>
          <w:b/>
          <w:bCs/>
          <w:color w:val="1F3864"/>
          <w:sz w:val="32"/>
          <w:szCs w:val="32"/>
        </w:rPr>
        <w:t xml:space="preserve">7. Response Requirements</w:t>
      </w:r>
    </w:p>
    <w:p>
      <w:pPr>
        <w:spacing w:before="60" w:after="100"/>
      </w:pPr>
      <w:r>
        <w:rPr>
          <w:rFonts w:ascii="Arial" w:cs="Arial" w:eastAsia="Arial" w:hAnsi="Arial"/>
          <w:color w:val="374151"/>
          <w:sz w:val="22"/>
          <w:szCs w:val="22"/>
        </w:rPr>
        <w:t xml:space="preserve">Responses must be submitted by the deadline stated on the cover page. Late submissions will not be evaluated. Responses that do not address all mandatory items in this section will be considered non-compliant.</w:t>
      </w:r>
    </w:p>
    <w:p>
      <w:pPr>
        <w:pStyle w:val="Heading2"/>
        <w:spacing w:before="260" w:after="80"/>
      </w:pPr>
      <w:r>
        <w:rPr>
          <w:rFonts w:ascii="Arial" w:cs="Arial" w:eastAsia="Arial" w:hAnsi="Arial"/>
          <w:b/>
          <w:bCs/>
          <w:color w:val="2E75B6"/>
          <w:sz w:val="26"/>
          <w:szCs w:val="26"/>
        </w:rPr>
        <w:t xml:space="preserve">7.1 Mandatory Response Items</w:t>
      </w:r>
    </w:p>
    <w:p>
      <w:pPr>
        <w:pStyle w:val="ListParagraph"/>
        <w:numPr>
          <w:ilvl w:val="0"/>
          <w:numId w:val="3"/>
        </w:numPr>
        <w:spacing w:before="40" w:after="40"/>
      </w:pPr>
      <w:r>
        <w:rPr>
          <w:rFonts w:ascii="Arial" w:cs="Arial" w:eastAsia="Arial" w:hAnsi="Arial"/>
          <w:b/>
          <w:bCs/>
          <w:color w:val="1F3864"/>
          <w:sz w:val="22"/>
          <w:szCs w:val="22"/>
        </w:rPr>
        <w:t xml:space="preserve">Technical approach: </w:t>
      </w:r>
      <w:r>
        <w:rPr>
          <w:rFonts w:ascii="Arial" w:cs="Arial" w:eastAsia="Arial" w:hAnsi="Arial"/>
          <w:color w:val="374151"/>
          <w:sz w:val="22"/>
          <w:szCs w:val="22"/>
        </w:rPr>
        <w:t xml:space="preserve">A description of the vendor's proposed approach to each technical requirement group (TR-01 through TR-15). For each group, the response must state: (a) how the requirement will be met, (b) any constraints or assumptions, and (c) any deviation from the stated requirement with justification.</w:t>
      </w:r>
    </w:p>
    <w:p>
      <w:pPr>
        <w:pStyle w:val="ListParagraph"/>
        <w:numPr>
          <w:ilvl w:val="0"/>
          <w:numId w:val="3"/>
        </w:numPr>
        <w:spacing w:before="40" w:after="40"/>
      </w:pPr>
      <w:r>
        <w:rPr>
          <w:rFonts w:ascii="Arial" w:cs="Arial" w:eastAsia="Arial" w:hAnsi="Arial"/>
          <w:b/>
          <w:bCs/>
          <w:color w:val="1F3864"/>
          <w:sz w:val="22"/>
          <w:szCs w:val="22"/>
        </w:rPr>
        <w:t xml:space="preserve">Architecture confirmation: </w:t>
      </w:r>
      <w:r>
        <w:rPr>
          <w:rFonts w:ascii="Arial" w:cs="Arial" w:eastAsia="Arial" w:hAnsi="Arial"/>
          <w:color w:val="374151"/>
          <w:sz w:val="22"/>
          <w:szCs w:val="22"/>
        </w:rPr>
        <w:t xml:space="preserve">Written confirmation that the respondent has reviewed the PA-5400 Multi-Tenant Firewall Platform Architecture Design Document v1.0 and that their proposed implementation is compliant with it. Any deviations must be listed explicitly.</w:t>
      </w:r>
    </w:p>
    <w:p>
      <w:pPr>
        <w:pStyle w:val="ListParagraph"/>
        <w:numPr>
          <w:ilvl w:val="0"/>
          <w:numId w:val="3"/>
        </w:numPr>
        <w:spacing w:before="40" w:after="40"/>
      </w:pPr>
      <w:r>
        <w:rPr>
          <w:rFonts w:ascii="Arial" w:cs="Arial" w:eastAsia="Arial" w:hAnsi="Arial"/>
          <w:b/>
          <w:bCs/>
          <w:color w:val="1F3864"/>
          <w:sz w:val="22"/>
          <w:szCs w:val="22"/>
        </w:rPr>
        <w:t xml:space="preserve">Workbook familiarity: </w:t>
      </w:r>
      <w:r>
        <w:rPr>
          <w:rFonts w:ascii="Arial" w:cs="Arial" w:eastAsia="Arial" w:hAnsi="Arial"/>
          <w:color w:val="374151"/>
          <w:sz w:val="22"/>
          <w:szCs w:val="22"/>
        </w:rPr>
        <w:t xml:space="preserve">Written confirmation that the respondent has reviewed the PA-5400 Tenant Onboarding Workbook and the Tenant Onboarding Workbook RC3.5 and understands the data collection model and the split of tenant-completed vs engineer-completed fields.</w:t>
      </w:r>
    </w:p>
    <w:p>
      <w:pPr>
        <w:pStyle w:val="ListParagraph"/>
        <w:numPr>
          <w:ilvl w:val="0"/>
          <w:numId w:val="3"/>
        </w:numPr>
        <w:spacing w:before="40" w:after="40"/>
      </w:pPr>
      <w:r>
        <w:rPr>
          <w:rFonts w:ascii="Arial" w:cs="Arial" w:eastAsia="Arial" w:hAnsi="Arial"/>
          <w:b/>
          <w:bCs/>
          <w:color w:val="1F3864"/>
          <w:sz w:val="22"/>
          <w:szCs w:val="22"/>
        </w:rPr>
        <w:t xml:space="preserve">Throughput model: </w:t>
      </w:r>
      <w:r>
        <w:rPr>
          <w:rFonts w:ascii="Arial" w:cs="Arial" w:eastAsia="Arial" w:hAnsi="Arial"/>
          <w:color w:val="374151"/>
          <w:sz w:val="22"/>
          <w:szCs w:val="22"/>
        </w:rPr>
        <w:t xml:space="preserve">A response to all five items in Section 5.1, including resource assumptions, per-engineer weekly throughput estimate, and proposed programme duration with sensitivity analysis.</w:t>
      </w:r>
    </w:p>
    <w:p>
      <w:pPr>
        <w:pStyle w:val="ListParagraph"/>
        <w:numPr>
          <w:ilvl w:val="0"/>
          <w:numId w:val="3"/>
        </w:numPr>
        <w:spacing w:before="40" w:after="40"/>
      </w:pPr>
      <w:r>
        <w:rPr>
          <w:rFonts w:ascii="Arial" w:cs="Arial" w:eastAsia="Arial" w:hAnsi="Arial"/>
          <w:b/>
          <w:bCs/>
          <w:color w:val="1F3864"/>
          <w:sz w:val="22"/>
          <w:szCs w:val="22"/>
        </w:rPr>
        <w:t xml:space="preserve">Proposed workplan: </w:t>
      </w:r>
      <w:r>
        <w:rPr>
          <w:rFonts w:ascii="Arial" w:cs="Arial" w:eastAsia="Arial" w:hAnsi="Arial"/>
          <w:color w:val="374151"/>
          <w:sz w:val="22"/>
          <w:szCs w:val="22"/>
        </w:rPr>
        <w:t xml:space="preserve">A phased workplan with proposed timeline from contract award to programme closure. The workplan must identify the critical path, P1/P2 parallel activities, and the assumptions that drive the proposed duration.</w:t>
      </w:r>
    </w:p>
    <w:p>
      <w:pPr>
        <w:pStyle w:val="ListParagraph"/>
        <w:numPr>
          <w:ilvl w:val="0"/>
          <w:numId w:val="3"/>
        </w:numPr>
        <w:spacing w:before="40" w:after="40"/>
      </w:pPr>
      <w:r>
        <w:rPr>
          <w:rFonts w:ascii="Arial" w:cs="Arial" w:eastAsia="Arial" w:hAnsi="Arial"/>
          <w:b/>
          <w:bCs/>
          <w:color w:val="1F3864"/>
          <w:sz w:val="22"/>
          <w:szCs w:val="22"/>
        </w:rPr>
        <w:t xml:space="preserve">Proposed team: </w:t>
      </w:r>
      <w:r>
        <w:rPr>
          <w:rFonts w:ascii="Arial" w:cs="Arial" w:eastAsia="Arial" w:hAnsi="Arial"/>
          <w:color w:val="374151"/>
          <w:sz w:val="22"/>
          <w:szCs w:val="22"/>
        </w:rPr>
        <w:t xml:space="preserve">CVs or profiles for the proposed lead engineer, migration engineers, and project manager. For migration engineers: confirmation of PA-5400/Panorama experience and IKEv2/IPsec migration experience at enterprise scale. Team must be named at proposal stage — substitutions after contract award require CVS approval.</w:t>
      </w:r>
    </w:p>
    <w:p>
      <w:pPr>
        <w:pStyle w:val="ListParagraph"/>
        <w:numPr>
          <w:ilvl w:val="0"/>
          <w:numId w:val="3"/>
        </w:numPr>
        <w:spacing w:before="40" w:after="40"/>
      </w:pPr>
      <w:r>
        <w:rPr>
          <w:rFonts w:ascii="Arial" w:cs="Arial" w:eastAsia="Arial" w:hAnsi="Arial"/>
          <w:b/>
          <w:bCs/>
          <w:color w:val="1F3864"/>
          <w:sz w:val="22"/>
          <w:szCs w:val="22"/>
        </w:rPr>
        <w:t xml:space="preserve">Pricing: </w:t>
      </w:r>
      <w:r>
        <w:rPr>
          <w:rFonts w:ascii="Arial" w:cs="Arial" w:eastAsia="Arial" w:hAnsi="Arial"/>
          <w:color w:val="374151"/>
          <w:sz w:val="22"/>
          <w:szCs w:val="22"/>
        </w:rPr>
        <w:t xml:space="preserve">Pricing completed per Section 6.1, with each line item clearly mapped to a deliverable or milestone. Alternative payment structures may be proposed alongside the requested structure.</w:t>
      </w:r>
    </w:p>
    <w:p>
      <w:pPr>
        <w:pStyle w:val="ListParagraph"/>
        <w:numPr>
          <w:ilvl w:val="0"/>
          <w:numId w:val="3"/>
        </w:numPr>
        <w:spacing w:before="40" w:after="40"/>
      </w:pPr>
      <w:r>
        <w:rPr>
          <w:rFonts w:ascii="Arial" w:cs="Arial" w:eastAsia="Arial" w:hAnsi="Arial"/>
          <w:b/>
          <w:bCs/>
          <w:color w:val="1F3864"/>
          <w:sz w:val="22"/>
          <w:szCs w:val="22"/>
        </w:rPr>
        <w:t xml:space="preserve">References: </w:t>
      </w:r>
      <w:r>
        <w:rPr>
          <w:rFonts w:ascii="Arial" w:cs="Arial" w:eastAsia="Arial" w:hAnsi="Arial"/>
          <w:color w:val="374151"/>
          <w:sz w:val="22"/>
          <w:szCs w:val="22"/>
        </w:rPr>
        <w:t xml:space="preserve">At minimum two references from comparable engagements: PA-5400 platform deployment at enterprise scale and/or large-scale IPsec migration programmes (100+ tunnels). References must be contactable.</w:t>
      </w:r>
    </w:p>
    <w:p>
      <w:pPr>
        <w:pStyle w:val="ListParagraph"/>
        <w:numPr>
          <w:ilvl w:val="0"/>
          <w:numId w:val="3"/>
        </w:numPr>
        <w:spacing w:before="40" w:after="40"/>
      </w:pPr>
      <w:r>
        <w:rPr>
          <w:rFonts w:ascii="Arial" w:cs="Arial" w:eastAsia="Arial" w:hAnsi="Arial"/>
          <w:b/>
          <w:bCs/>
          <w:color w:val="1F3864"/>
          <w:sz w:val="22"/>
          <w:szCs w:val="22"/>
        </w:rPr>
        <w:t xml:space="preserve">Tooling list: </w:t>
      </w:r>
      <w:r>
        <w:rPr>
          <w:rFonts w:ascii="Arial" w:cs="Arial" w:eastAsia="Arial" w:hAnsi="Arial"/>
          <w:color w:val="374151"/>
          <w:sz w:val="22"/>
          <w:szCs w:val="22"/>
        </w:rPr>
        <w:t xml:space="preserve">A list of all third-party tools, software, or platforms the vendor proposes to use that are not Palo Alto Networks products. For each tool: version, licence model, and whether the tool is included in the proposal price or billable separately to CVS.</w:t>
      </w:r>
    </w:p>
    <w:p>
      <w:pPr>
        <w:pStyle w:val="ListParagraph"/>
        <w:numPr>
          <w:ilvl w:val="0"/>
          <w:numId w:val="3"/>
        </w:numPr>
        <w:spacing w:before="40" w:after="40"/>
      </w:pPr>
      <w:r>
        <w:rPr>
          <w:rFonts w:ascii="Arial" w:cs="Arial" w:eastAsia="Arial" w:hAnsi="Arial"/>
          <w:b/>
          <w:bCs/>
          <w:color w:val="1F3864"/>
          <w:sz w:val="22"/>
          <w:szCs w:val="22"/>
        </w:rPr>
        <w:t xml:space="preserve">Exceptions register: </w:t>
      </w:r>
      <w:r>
        <w:rPr>
          <w:rFonts w:ascii="Arial" w:cs="Arial" w:eastAsia="Arial" w:hAnsi="Arial"/>
          <w:color w:val="374151"/>
          <w:sz w:val="22"/>
          <w:szCs w:val="22"/>
        </w:rPr>
        <w:t xml:space="preserve">Any requirement in Sections 2 through 6 that the respondent cannot meet must be listed explicitly with the reason and a proposed alternative. Responses that do not include an exceptions register are assumed to accept all requirements as stated.</w:t>
      </w:r>
    </w:p>
    <w:p>
      <w:pPr>
        <w:spacing w:before="80" w:after="80"/>
      </w:pPr>
    </w:p>
    <w:p>
      <w:pPr>
        <w:pStyle w:val="Heading2"/>
        <w:spacing w:before="260" w:after="80"/>
      </w:pPr>
      <w:r>
        <w:rPr>
          <w:rFonts w:ascii="Arial" w:cs="Arial" w:eastAsia="Arial" w:hAnsi="Arial"/>
          <w:b/>
          <w:bCs/>
          <w:color w:val="2E75B6"/>
          <w:sz w:val="26"/>
          <w:szCs w:val="26"/>
        </w:rPr>
        <w:t xml:space="preserve">7.2 Evaluation Criteria</w:t>
      </w:r>
    </w:p>
    <w:p>
      <w:pPr>
        <w:spacing w:before="60" w:after="100"/>
      </w:pPr>
      <w:r>
        <w:rPr>
          <w:rFonts w:ascii="Arial" w:cs="Arial" w:eastAsia="Arial" w:hAnsi="Arial"/>
          <w:color w:val="374151"/>
          <w:sz w:val="22"/>
          <w:szCs w:val="22"/>
        </w:rPr>
        <w:t xml:space="preserve">Responses will be evaluated against the following weighted criteria. CVS Health reserves the right to request clarification from any respondent before completing evaluation.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2960"/>
      </w:tblGrid>
      <w:tr>
        <w:trPr>
          <w:tblHeader/>
        </w:trPr>
        <w:tc>
          <w:tcPr>
            <w:tcW w:type="dxa" w:w="4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Criterion</w:t>
            </w:r>
          </w:p>
        </w:tc>
        <w:tc>
          <w:tcPr>
            <w:tcW w:type="dxa" w:w="1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Weighting</w:t>
            </w:r>
          </w:p>
        </w:tc>
        <w:tc>
          <w:tcPr>
            <w:tcW w:type="dxa" w:w="29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Technical approach quality — how well the response addresses TR-01 through TR-15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30%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Evaluated against completeness, depth, and absence of unexplained deviations</w:t>
            </w:r>
          </w:p>
        </w:tc>
      </w:tr>
      <w:tr>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Platform and migration experience — PA-5400, Panorama, large-scale IPsec migration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References and named team profiles evaluated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Proposed workplan and throughput model — realism, risk identification, critical 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Sensitivity to partner engagement pace specifically assessed</w:t>
            </w:r>
          </w:p>
        </w:tc>
      </w:tr>
      <w:tr>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Commercial — total cost, milestone structure, and fixed-price confidence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Fixed-price commitment weighted positively; unexplained contingency reserves weighted negatively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Exceptions register — number and materiality of exceptions to stated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Fewer material exceptions weighted positively; exceptions with strong justification assessed on merit</w:t>
            </w:r>
          </w:p>
        </w:tc>
      </w:tr>
    </w:tbl>
    <w:p>
      <w:pPr>
        <w:spacing w:before="80" w:after="80"/>
      </w:pPr>
    </w:p>
    <w:p>
      <w:pPr>
        <w:pStyle w:val="Heading2"/>
        <w:spacing w:before="260" w:after="80"/>
      </w:pPr>
      <w:r>
        <w:rPr>
          <w:rFonts w:ascii="Arial" w:cs="Arial" w:eastAsia="Arial" w:hAnsi="Arial"/>
          <w:b/>
          <w:bCs/>
          <w:color w:val="2E75B6"/>
          <w:sz w:val="26"/>
          <w:szCs w:val="26"/>
        </w:rPr>
        <w:t xml:space="preserve">7.3 Clarification Process</w:t>
      </w:r>
    </w:p>
    <w:p>
      <w:pPr>
        <w:pStyle w:val="ListParagraph"/>
        <w:numPr>
          <w:ilvl w:val="0"/>
          <w:numId w:val="2"/>
        </w:numPr>
        <w:spacing w:before="40" w:after="40"/>
      </w:pPr>
      <w:r>
        <w:rPr>
          <w:rFonts w:ascii="Arial" w:cs="Arial" w:eastAsia="Arial" w:hAnsi="Arial"/>
          <w:color w:val="374151"/>
          <w:sz w:val="22"/>
          <w:szCs w:val="22"/>
        </w:rPr>
        <w:t xml:space="preserve">Questions regarding this RFQ must be submitted in writing to [INSERT CVS PROCUREMENT CONTACT] by [INSERT DATE — RECOMMENDED: 10 BUSINESS DAYS BEFORE RESPONSE DEADLINE].</w:t>
      </w:r>
    </w:p>
    <w:p>
      <w:pPr>
        <w:pStyle w:val="ListParagraph"/>
        <w:numPr>
          <w:ilvl w:val="0"/>
          <w:numId w:val="2"/>
        </w:numPr>
        <w:spacing w:before="40" w:after="40"/>
      </w:pPr>
      <w:r>
        <w:rPr>
          <w:rFonts w:ascii="Arial" w:cs="Arial" w:eastAsia="Arial" w:hAnsi="Arial"/>
          <w:color w:val="374151"/>
          <w:sz w:val="22"/>
          <w:szCs w:val="22"/>
        </w:rPr>
        <w:t xml:space="preserve">All questions and responses will be circulated to all respondents to ensure equal information access. Responses that rely on private clarifications will be treated as non-compliant.</w:t>
      </w:r>
    </w:p>
    <w:p>
      <w:pPr>
        <w:pStyle w:val="ListParagraph"/>
        <w:numPr>
          <w:ilvl w:val="0"/>
          <w:numId w:val="2"/>
        </w:numPr>
        <w:spacing w:before="40" w:after="40"/>
      </w:pPr>
      <w:r>
        <w:rPr>
          <w:rFonts w:ascii="Arial" w:cs="Arial" w:eastAsia="Arial" w:hAnsi="Arial"/>
          <w:color w:val="374151"/>
          <w:sz w:val="22"/>
          <w:szCs w:val="22"/>
        </w:rPr>
        <w:t xml:space="preserve">CVS Health reserves the right to issue addenda to this RFQ before the response deadline. Addenda will be circulated to all respondents.</w:t>
      </w:r>
    </w:p>
    <w:p>
      <w:pPr>
        <w:pStyle w:val="ListParagraph"/>
        <w:numPr>
          <w:ilvl w:val="0"/>
          <w:numId w:val="2"/>
        </w:numPr>
        <w:spacing w:before="40" w:after="40"/>
      </w:pPr>
      <w:r>
        <w:rPr>
          <w:rFonts w:ascii="Arial" w:cs="Arial" w:eastAsia="Arial" w:hAnsi="Arial"/>
          <w:color w:val="374151"/>
          <w:sz w:val="22"/>
          <w:szCs w:val="22"/>
        </w:rPr>
        <w:t xml:space="preserve">CVS Health is not obligated to accept any response or to award a contract as a result of this RFQ.</w:t>
      </w:r>
    </w:p>
    <w:p>
      <w:pPr>
        <w:spacing w:before="120" w:after="120"/>
      </w:pPr>
    </w:p>
    <w:p>
      <w:r>
        <w:br w:type="page"/>
      </w:r>
    </w:p>
    <w:p>
      <w:pPr>
        <w:pStyle w:val="Heading1"/>
        <w:spacing w:before="400" w:after="120"/>
      </w:pPr>
      <w:r>
        <w:rPr>
          <w:rFonts w:ascii="Arial" w:cs="Arial" w:eastAsia="Arial" w:hAnsi="Arial"/>
          <w:b/>
          <w:bCs/>
          <w:color w:val="1F3864"/>
          <w:sz w:val="32"/>
          <w:szCs w:val="32"/>
        </w:rPr>
        <w:t xml:space="preserve">8. Reference Documents</w:t>
      </w:r>
    </w:p>
    <w:p>
      <w:pPr>
        <w:spacing w:before="60" w:after="100"/>
      </w:pPr>
      <w:r>
        <w:rPr>
          <w:rFonts w:ascii="Arial" w:cs="Arial" w:eastAsia="Arial" w:hAnsi="Arial"/>
          <w:color w:val="374151"/>
          <w:sz w:val="22"/>
          <w:szCs w:val="22"/>
        </w:rPr>
        <w:t xml:space="preserve">The following documents are provided as part of this RFQ pack. Respondents are required to review all documents before submitting a response. References to "the architecture document" or "the workbook" in this RFQ refer to the documents listed below.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440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Ref</w:t>
            </w:r>
          </w:p>
        </w:tc>
        <w:tc>
          <w:tcPr>
            <w:tcW w:type="dxa" w:w="4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Document</w:t>
            </w:r>
          </w:p>
        </w:tc>
        <w:tc>
          <w:tcPr>
            <w:tcW w:type="dxa" w:w="4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Relevance to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RD-01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PA-5400 Multi-Tenant Firewall Platform — Architecture Design Document v1.0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Defines the target architecture. Mandatory reading for all technical requirements. Respondents must confirm compliance in their response.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RD-02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PA-5400 Tenant Onboarding Workbook (PA5400 version)</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Defines the per-tenant data collection model. Respondents must understand the engineer-completed fields and their relationship to the pipeline provisioning workflow.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RD-03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Tenant Onboarding Workbook RC3.5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Extended workbook used in the current GW Platform RC3.5 environment. Provides context for the full scope of per-tenant data that may be present for existing tenants migrating from the current platform.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RD-04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ASA Findings and PA-5400 Migration Plan v2</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Detailed configuration analysis of PAZSHDC-SEC-EXT-VPN-01 including per-tunnel cryptographic inventory, risk register, per-tunnel migration process specification, and illustrative programme plan with resourcing model. Available on request from CVS procurement contact.</w:t>
            </w:r>
          </w:p>
        </w:tc>
      </w:tr>
    </w:tbl>
    <w:p>
      <w:pPr>
        <w:spacing w:before="120" w:after="120"/>
      </w:pPr>
    </w:p>
    <w:p>
      <w:r>
        <w:br w:type="page"/>
      </w:r>
    </w:p>
    <w:p>
      <w:pPr>
        <w:pStyle w:val="Heading1"/>
        <w:spacing w:before="400" w:after="120"/>
      </w:pPr>
      <w:r>
        <w:rPr>
          <w:rFonts w:ascii="Arial" w:cs="Arial" w:eastAsia="Arial" w:hAnsi="Arial"/>
          <w:b/>
          <w:bCs/>
          <w:color w:val="1F3864"/>
          <w:sz w:val="32"/>
          <w:szCs w:val="32"/>
        </w:rPr>
        <w:t xml:space="preserve">Appendix A: Per-Tunnel Migration Process Summary</w:t>
      </w:r>
    </w:p>
    <w:p>
      <w:pPr>
        <w:spacing w:before="60" w:after="100"/>
      </w:pPr>
      <w:r>
        <w:rPr>
          <w:rFonts w:ascii="Arial" w:cs="Arial" w:eastAsia="Arial" w:hAnsi="Arial"/>
          <w:color w:val="374151"/>
          <w:sz w:val="22"/>
          <w:szCs w:val="22"/>
        </w:rPr>
        <w:t xml:space="preserve">Every tunnel migration — all 231 — follows the six-phase, 22-step process defined below. This process is not hypothetical and does not vary by tunnel tier. The vendor is responsible for all technically-executed steps. CVS is responsible for all governance and approval steps. Steps involving both parties are labelled Shared.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760"/>
        <w:gridCol w:w="1200"/>
        <w:gridCol w:w="140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Step</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Action</w:t>
            </w:r>
          </w:p>
        </w:tc>
        <w:tc>
          <w:tcPr>
            <w:tcW w:type="dxa" w:w="4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Owner</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Gate</w:t>
            </w:r>
          </w:p>
        </w:tc>
      </w:tr>
      <w:tr>
        <w:tc>
          <w:tcPr>
            <w:tcW w:type="dxa" w:w="9360"/>
            <w:gridSpan w:val="5"/>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PHASE 1 — Qualification &amp; Data Collection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Identify Tunnel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identifies the ASA tunnel group, records peer IP, transform set, and crypto ACL. Compares current cipher against PA-5400 target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Name Partner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confirms partner legal name, technical contact, and business owner. Verifies IKE peer IP is internet-routable.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Enumerate Prefixes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lists all source networks from crypto ACL. Vendor runs IPAM conflict check. Migration blocked if prefix overlap with existing PA-5400 tenant found.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Shared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Enumerate Services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records each application service: name, FQDN, protocol, port (no internal IPs at this stage).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IKEv2 Capability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confirms IKEv2 support at partner gateway. IKEv1-only = migration blocked. CVS escalates.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G1</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IKEv2 confirmed. No IPAM prefix conflict. Sheets 2/3A/4/5A complete. Workbook delivered to vendor.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G1</w:t>
            </w:r>
          </w:p>
        </w:tc>
      </w:tr>
      <w:tr>
        <w:tc>
          <w:tcPr>
            <w:tcW w:type="dxa" w:w="9360"/>
            <w:gridSpan w:val="5"/>
            <w:tcBorders>
              <w:top w:val="single" w:color="CCCCCC" w:sz="1"/>
              <w:left w:val="single" w:color="CCCCCC" w:sz="1"/>
              <w:bottom w:val="single" w:color="CCCCCC" w:sz="1"/>
              <w:right w:val="single" w:color="CCCCCC" w:sz="1"/>
            </w:tcBorders>
            <w:shd w:fill="1F497D" w:val="clear"/>
            <w:tcMar>
              <w:top w:type="dxa" w:w="60"/>
              <w:left w:type="dxa" w:w="120"/>
              <w:bottom w:type="dxa" w:w="60"/>
              <w:right w:type="dxa" w:w="120"/>
            </w:tcMar>
          </w:tcPr>
          <w:p>
            <w:r>
              <w:rPr>
                <w:rFonts w:ascii="Arial" w:cs="Arial" w:eastAsia="Arial" w:hAnsi="Arial"/>
                <w:b/>
                <w:bCs/>
                <w:color w:val="FFFFFF"/>
                <w:sz w:val="20"/>
                <w:szCs w:val="20"/>
              </w:rPr>
              <w:t xml:space="preserve">PHASE 2 — Engineer Completion &amp; Resource Allocation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IKE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completes Sheet 3B: confirms peer IP, sets AES-256-GCM, DH group 19/20, DPD. Loopback and VTI are SYSTEM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PNAT Mapping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completes Sheet 5B: internal host IP and port per service. Verifies external port uniqueness within tenant.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SNAT Directions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defines inbound/outbound SNAT directions on Sheet 6. SNAT IPs are SYSTEM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DNS Config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defines forwarding rules (Sheet 7 Part 1) and A-record rewrite rules (Sheet 7 Part 2). Rewrite targets = SNAT inbound IP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gwreg alloc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runs gwreg tenant alloc. Loopback, VTI, SNAT IPs allocated. Sheet 8 written by 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2.6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PKI Bootstrap</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runs pki-bootstrap.sh init-tenant. PSK written to Vault at psk/{tenant_id}. Backup confirmed.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All engineer fields complete. gwreg alloc run. PSK in Vault. Backup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G2</w:t>
            </w:r>
          </w:p>
        </w:tc>
      </w:tr>
      <w:tr>
        <w:tc>
          <w:tcPr>
            <w:tcW w:type="dxa" w:w="9360"/>
            <w:gridSpan w:val="5"/>
            <w:tcBorders>
              <w:top w:val="single" w:color="CCCCCC" w:sz="1"/>
              <w:left w:val="single" w:color="CCCCCC" w:sz="1"/>
              <w:bottom w:val="single" w:color="CCCCCC" w:sz="1"/>
              <w:right w:val="single" w:color="CCCCCC" w:sz="1"/>
            </w:tcBorders>
            <w:shd w:fill="0A5A4E" w:val="clear"/>
            <w:tcMar>
              <w:top w:type="dxa" w:w="60"/>
              <w:left w:type="dxa" w:w="120"/>
              <w:bottom w:type="dxa" w:w="60"/>
              <w:right w:type="dxa" w:w="120"/>
            </w:tcMar>
          </w:tcPr>
          <w:p>
            <w:r>
              <w:rPr>
                <w:rFonts w:ascii="Arial" w:cs="Arial" w:eastAsia="Arial" w:hAnsi="Arial"/>
                <w:b/>
                <w:bCs/>
                <w:color w:val="FFFFFF"/>
                <w:sz w:val="20"/>
                <w:szCs w:val="20"/>
              </w:rPr>
              <w:t xml:space="preserve">PHASE 3 — Approval &amp; ServiceNow Submission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Checklist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completes Sheet 9 Submission Checklist. All items ✓ Complete. SNAT targets verified. Port uniqueness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3.2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SNOW Submission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raises ServiceNow request with completed workbook attached. Records SNOW request number.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Approval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reviews and approves or returns the SNOW request. Vendor records approval reference and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G3</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3</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SNOW approval reference and date recorded. Pipeline must not run before this gate.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G3</w:t>
            </w:r>
          </w:p>
        </w:tc>
      </w:tr>
      <w:tr>
        <w:tc>
          <w:tcPr>
            <w:tcW w:type="dxa" w:w="9360"/>
            <w:gridSpan w:val="5"/>
            <w:tcBorders>
              <w:top w:val="single" w:color="CCCCCC" w:sz="1"/>
              <w:left w:val="single" w:color="CCCCCC" w:sz="1"/>
              <w:bottom w:val="single" w:color="CCCCCC" w:sz="1"/>
              <w:right w:val="single" w:color="CCCCCC" w:sz="1"/>
            </w:tcBorders>
            <w:shd w:fill="1D5C2E" w:val="clear"/>
            <w:tcMar>
              <w:top w:type="dxa" w:w="60"/>
              <w:left w:type="dxa" w:w="120"/>
              <w:bottom w:type="dxa" w:w="60"/>
              <w:right w:type="dxa" w:w="120"/>
            </w:tcMar>
          </w:tcPr>
          <w:p>
            <w:r>
              <w:rPr>
                <w:rFonts w:ascii="Arial" w:cs="Arial" w:eastAsia="Arial" w:hAnsi="Arial"/>
                <w:b/>
                <w:bCs/>
                <w:color w:val="FFFFFF"/>
                <w:sz w:val="20"/>
                <w:szCs w:val="20"/>
              </w:rPr>
              <w:t xml:space="preserve">PHASE 4 — Platform Provisioning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Render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runs gwctl provisioning render. Pipeline reads Sheet 8 allocations and Vault PSK.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4.2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Validate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runs gwctl provisioning validate. Schema, port uniqueness, rewrite integrity checked. Fix and re-render on failure.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Commit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runs gwctl provisioning commit. Scoped commit to tenant device group. Workflow Run ID recorded on Sheet 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4.4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Acceptance Tests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Pipeline runs automated acceptance test suite. All TR-08 tests must pass.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All acceptance tests PASS. Sheet 9 post-provisioning record complete. SIEM log attribution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G4</w:t>
            </w:r>
          </w:p>
        </w:tc>
      </w:tr>
      <w:tr>
        <w:tc>
          <w:tcPr>
            <w:tcW w:type="dxa" w:w="9360"/>
            <w:gridSpan w:val="5"/>
            <w:tcBorders>
              <w:top w:val="single" w:color="CCCCCC" w:sz="1"/>
              <w:left w:val="single" w:color="CCCCCC" w:sz="1"/>
              <w:bottom w:val="single" w:color="CCCCCC" w:sz="1"/>
              <w:right w:val="single" w:color="CCCCCC" w:sz="1"/>
            </w:tcBorders>
            <w:shd w:fill="2E6B8A" w:val="clear"/>
            <w:tcMar>
              <w:top w:type="dxa" w:w="60"/>
              <w:left w:type="dxa" w:w="120"/>
              <w:bottom w:type="dxa" w:w="60"/>
              <w:right w:type="dxa" w:w="120"/>
            </w:tcMar>
          </w:tcPr>
          <w:p>
            <w:r>
              <w:rPr>
                <w:rFonts w:ascii="Arial" w:cs="Arial" w:eastAsia="Arial" w:hAnsi="Arial"/>
                <w:b/>
                <w:bCs/>
                <w:color w:val="FFFFFF"/>
                <w:sz w:val="20"/>
                <w:szCs w:val="20"/>
              </w:rPr>
              <w:t xml:space="preserve">PHASE 5 — Parallel Operation &amp; Cutover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Notify Partner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notifies partner: provides PA-5400 loopback IP, new PSK (secure channel), IKEv2 parameters, cutover 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5.2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Parallel Tunnel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Partner brings up new IKEv2 tunnel to PA-5400 loopback. Vendor confirms IKE SA and IPsec SA via Panorama.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Shared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E2E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validates: all services reachable, SNAT active, DNS rewrite correct, SIEM events attributed. CVS verifies independently.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Shared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5.4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Cutover + 72hr Hold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Cutover executed in agreed window. CVS monitors for 72 hours. ASA stays in standby. No ASA config removed during hold.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Shared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GATE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72-hour clean hold. Partner confirms all services correct. CVS issues decommission instruction.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G5</w:t>
            </w:r>
          </w:p>
        </w:tc>
      </w:tr>
      <w:tr>
        <w:tc>
          <w:tcPr>
            <w:tcW w:type="dxa" w:w="9360"/>
            <w:gridSpan w:val="5"/>
            <w:tcBorders>
              <w:top w:val="single" w:color="CCCCCC" w:sz="1"/>
              <w:left w:val="single" w:color="CCCCCC" w:sz="1"/>
              <w:bottom w:val="single" w:color="CCCCCC" w:sz="1"/>
              <w:right w:val="single" w:color="CCCCCC" w:sz="1"/>
            </w:tcBorders>
            <w:shd w:fill="1D5C2E" w:val="clear"/>
            <w:tcMar>
              <w:top w:type="dxa" w:w="60"/>
              <w:left w:type="dxa" w:w="120"/>
              <w:bottom w:type="dxa" w:w="60"/>
              <w:right w:type="dxa" w:w="120"/>
            </w:tcMar>
          </w:tcPr>
          <w:p>
            <w:r>
              <w:rPr>
                <w:rFonts w:ascii="Arial" w:cs="Arial" w:eastAsia="Arial" w:hAnsi="Arial"/>
                <w:b/>
                <w:bCs/>
                <w:color w:val="FFFFFF"/>
                <w:sz w:val="20"/>
                <w:szCs w:val="20"/>
              </w:rPr>
              <w:t xml:space="preserve">PHASE 6 — ASA Decommission &amp; Closure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Partner Sign-Off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 obtains written partner confirmation that all services are operating on PA-5400 and ASA tunnel is no longer needed.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6.2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ASA Config Removal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removes crypto map entry, ACL, tunnel-group, and exclusive object-groups on CVS instruction. Pre/post config diff retained.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IPAM Retirement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retires ASA peer IP in IPAM. PA-5400 allocations remain as active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6.4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Closure Record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 completes Sheet 9 closure record. Archives workbook against SNOW ticket. Updates migration tracker to COMPLETE.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Vendor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2"/>
                <w:szCs w:val="22"/>
              </w:rPr>
              <w:t xml:space="preserve"/>
            </w:r>
          </w:p>
        </w:tc>
      </w:tr>
    </w:tbl>
    <w:p>
      <w:pPr>
        <w:spacing w:before="120"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95959"/>
        <w:sz w:val="18"/>
        <w:szCs w:val="18"/>
      </w:rPr>
      <w:t xml:space="preserve">CVS Health Corporation — Third-Party Landing Zone Program</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595959"/>
        <w:sz w:val="18"/>
        <w:szCs w:val="18"/>
      </w:rPr>
      <w:t xml:space="preserve">CVS Health 3PLZ  ·  RFQ 3PLZ-RFQ-2026-001  ·  ASA to PA-5400 Migration Services</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6E4F0" w:sz="6" w:space="4"/>
      </w:pBd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2026-03-06T18:30:24.572Z</dcterms:created>
  <dcterms:modified xsi:type="dcterms:W3CDTF">2026-03-06T18:30:24.574Z</dcterms:modified>
</cp:coreProperties>
</file>

<file path=docProps/custom.xml><?xml version="1.0" encoding="utf-8"?>
<Properties xmlns="http://schemas.openxmlformats.org/officeDocument/2006/custom-properties" xmlns:vt="http://schemas.openxmlformats.org/officeDocument/2006/docPropsVTypes"/>
</file>