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ird_party_connectivity_security_f11ab8"/>
      <w:r>
        <w:rPr>
          <w:b/>
          <w:sz w:val="56"/>
        </w:rPr>
        <w:t xml:space="preserve">Third-Party Connectivity Security Evaluation Framework</w:t>
      </w:r>
      <w:bookmarkEnd w:id="0"/>
    </w:p>
    <w:p>
      <w:pPr>
        <w:spacing w:after="210" w:lineRule="auto"/>
      </w:pPr>
      <w:r>
        <w:rPr>
          <w:b/>
        </w:rPr>
        <w:t xml:space="preserve">Purpose:</w:t>
      </w:r>
      <w:r>
        <w:rPr/>
        <w:t xml:space="preserve"> This document establishes a security paradigm framework for evaluating vendor solutions that provide third-party connectivity to enterprise systems and data.</w:t>
      </w:r>
    </w:p>
    <w:p>
      <w:pPr>
        <w:spacing w:after="210" w:lineRule="auto"/>
      </w:pPr>
      <w:r>
        <w:rPr>
          <w:b/>
        </w:rPr>
        <w:t xml:space="preserve">Intended Use:</w:t>
      </w:r>
      <w:r>
        <w:rPr/>
        <w:t xml:space="preserve"> As evaluation criteria for requests for proposal (RFP), vendor assessments, and security architecture reviews of third-party integration solutions.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Enterprise connectivity to third parties—whether vendors, partners, service providers, or contractors—presents persistent security challenges. Traditional approaches rely on VPN tunnels, firewall rules layered over shared network infrastructure, and IP-based trust models. These patterns create exposure that accumulates over time and scales poorly as integration complexity grows[1][2].</w:t>
      </w:r>
    </w:p>
    <w:p>
      <w:pPr>
        <w:spacing w:after="210" w:lineRule="auto"/>
      </w:pPr>
      <w:r>
        <w:rPr/>
        <w:t xml:space="preserve">This framework defines four security paradigms that establish structural requirements for third-party connectivity solutions. These paradigms provide objective evaluation criteria to assess whether a proposed vendor solution addresses fundamental architectural security requirements rather than relying solely on policy layering[3][4].</w:t>
      </w:r>
    </w:p>
    <w:p>
      <w:pPr>
        <w:spacing w:after="210" w:lineRule="auto"/>
      </w:pPr>
      <w:r>
        <w:rPr/>
        <w:t xml:space="preserve">The four paradigms are:</w:t>
      </w:r>
    </w:p>
    <w:p>
      <w:pPr>
        <w:numPr>
          <w:ilvl w:val="0"/>
          <w:numId w:val="1"/>
        </w:numPr>
        <w:spacing w:lineRule="auto"/>
      </w:pPr>
      <w:r>
        <w:rPr>
          <w:b/>
        </w:rPr>
        <w:t xml:space="preserve">Structural Containment</w:t>
      </w:r>
      <w:r>
        <w:rPr>
          <w:rFonts w:eastAsia="Georgia" w:cs="Georgia" w:ascii="Georgia" w:hAnsi="Georgia"/>
        </w:rPr>
        <w:t xml:space="preserve"> — Isolation embedded in topology, not policy</w:t>
      </w:r>
    </w:p>
    <w:p>
      <w:pPr>
        <w:numPr>
          <w:ilvl w:val="0"/>
          <w:numId w:val="1"/>
        </w:numPr>
        <w:spacing w:lineRule="auto"/>
      </w:pPr>
      <w:r>
        <w:rPr>
          <w:b/>
        </w:rPr>
        <w:t xml:space="preserve">Mediated Capability Exposure</w:t>
      </w:r>
      <w:r>
        <w:rPr>
          <w:rFonts w:eastAsia="Georgia" w:cs="Georgia" w:ascii="Georgia" w:hAnsi="Georgia"/>
        </w:rPr>
        <w:t xml:space="preserve"> — Service-level access, not network adjacency</w:t>
      </w:r>
    </w:p>
    <w:p>
      <w:pPr>
        <w:numPr>
          <w:ilvl w:val="0"/>
          <w:numId w:val="1"/>
        </w:numPr>
        <w:spacing w:lineRule="auto"/>
      </w:pPr>
      <w:r>
        <w:rPr>
          <w:b/>
        </w:rPr>
        <w:t xml:space="preserve">Identity-Bound Authorization</w:t>
      </w:r>
      <w:r>
        <w:rPr>
          <w:rFonts w:eastAsia="Georgia" w:cs="Georgia" w:ascii="Georgia" w:hAnsi="Georgia"/>
        </w:rPr>
        <w:t xml:space="preserve"> — Cryptographic identity, not location-based trust</w:t>
      </w:r>
    </w:p>
    <w:p>
      <w:pPr>
        <w:numPr>
          <w:ilvl w:val="0"/>
          <w:numId w:val="1"/>
        </w:numPr>
        <w:spacing w:lineRule="auto"/>
      </w:pPr>
      <w:r>
        <w:rPr>
          <w:b/>
        </w:rPr>
        <w:t xml:space="preserve">Deterministic Lifecycle Governance</w:t>
      </w:r>
      <w:r>
        <w:rPr>
          <w:rFonts w:eastAsia="Georgia" w:cs="Georgia" w:ascii="Georgia" w:hAnsi="Georgia"/>
        </w:rPr>
        <w:t xml:space="preserve"> — Reversible provisioning with no residual artifacts</w:t>
      </w:r>
    </w:p>
    <w:p>
      <w:pPr>
        <w:spacing w:after="210" w:lineRule="auto"/>
      </w:pPr>
      <w:r>
        <w:rPr/>
        <w:t xml:space="preserve">These paradigms align with modern zero trust architecture principles while providing specific, testable criteria for vendor solution evaluation[5][6].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ackground_the_third_party_connec_22b8e6"/>
      <w:r>
        <w:rPr>
          <w:b/>
          <w:sz w:val="42"/>
        </w:rPr>
        <w:t xml:space="preserve">Background: The Third-Party Connectivity Challenge</w:t>
      </w:r>
      <w:bookmarkEnd w:id="2"/>
    </w:p>
    <w:p>
      <w:pPr>
        <w:spacing w:line="271" w:before="240" w:lineRule="auto"/>
      </w:pPr>
      <w:bookmarkStart w:id="3" w:name="current_state"/>
      <w:r>
        <w:rPr>
          <w:b/>
          <w:sz w:val="33"/>
        </w:rPr>
        <w:t xml:space="preserve">Current State</w:t>
      </w:r>
      <w:bookmarkEnd w:id="3"/>
    </w:p>
    <w:p>
      <w:pPr>
        <w:spacing w:after="210" w:lineRule="auto"/>
      </w:pPr>
      <w:r>
        <w:rPr/>
        <w:t xml:space="preserve">Most enterprises manage dozens to hundreds of third-party connectivity relationships. Common patterns include:</w:t>
      </w:r>
    </w:p>
    <w:p>
      <w:pPr>
        <w:numPr>
          <w:ilvl w:val="0"/>
          <w:numId w:val="2"/>
        </w:numPr>
        <w:spacing w:lineRule="auto"/>
      </w:pPr>
      <w:r>
        <w:rPr/>
        <w:t xml:space="preserve">VPN tunnels granting subnet-level network access</w:t>
      </w:r>
    </w:p>
    <w:p>
      <w:pPr>
        <w:numPr>
          <w:ilvl w:val="0"/>
          <w:numId w:val="2"/>
        </w:numPr>
        <w:spacing w:lineRule="auto"/>
      </w:pPr>
      <w:r>
        <w:rPr/>
        <w:t xml:space="preserve">Firewall rules permitting broad port ranges</w:t>
      </w:r>
    </w:p>
    <w:p>
      <w:pPr>
        <w:numPr>
          <w:ilvl w:val="0"/>
          <w:numId w:val="2"/>
        </w:numPr>
        <w:spacing w:lineRule="auto"/>
      </w:pPr>
      <w:r>
        <w:rPr/>
        <w:t xml:space="preserve">Vendor access credentials with extended validity periods</w:t>
      </w:r>
    </w:p>
    <w:p>
      <w:pPr>
        <w:numPr>
          <w:ilvl w:val="0"/>
          <w:numId w:val="2"/>
        </w:numPr>
        <w:spacing w:lineRule="auto"/>
      </w:pPr>
      <w:r>
        <w:rPr/>
        <w:t xml:space="preserve">Integration patterns that accumulate rather than expire</w:t>
      </w:r>
    </w:p>
    <w:p>
      <w:pPr>
        <w:numPr>
          <w:ilvl w:val="0"/>
          <w:numId w:val="2"/>
        </w:numPr>
        <w:spacing w:lineRule="auto"/>
      </w:pPr>
      <w:r>
        <w:rPr/>
        <w:t xml:space="preserve">Manual provisioning with inconsistent deprovisioning</w:t>
      </w:r>
    </w:p>
    <w:p>
      <w:pPr>
        <w:spacing w:line="271" w:before="240" w:lineRule="auto"/>
      </w:pPr>
      <w:bookmarkStart w:id="4" w:name="failure_modes"/>
      <w:r>
        <w:rPr>
          <w:b/>
          <w:sz w:val="33"/>
        </w:rPr>
        <w:t xml:space="preserve">Failure Modes</w:t>
      </w:r>
      <w:bookmarkEnd w:id="4"/>
    </w:p>
    <w:p>
      <w:pPr>
        <w:spacing w:after="210" w:lineRule="auto"/>
      </w:pPr>
      <w:r>
        <w:rPr/>
        <w:t xml:space="preserve">These patterns produce predictable security failures:</w:t>
      </w:r>
    </w:p>
    <w:p>
      <w:pPr>
        <w:spacing w:after="210" w:lineRule="auto"/>
      </w:pPr>
      <w:r>
        <w:rPr>
          <w:b/>
        </w:rPr>
        <w:t xml:space="preserve">Policy Accretion</w:t>
      </w:r>
      <w:r>
        <w:rPr/>
        <w:t xml:space="preserve">: As third-party integrations grow, firewall rules and access control lists expand. Rule interactions become opaque, and assurance depends on audits rather than architecture.</w:t>
      </w:r>
    </w:p>
    <w:p>
      <w:pPr>
        <w:spacing w:after="210" w:lineRule="auto"/>
      </w:pPr>
      <w:r>
        <w:rPr>
          <w:b/>
        </w:rPr>
        <w:t xml:space="preserve">Lateral Movement Risk</w:t>
      </w:r>
      <w:r>
        <w:rPr/>
        <w:t xml:space="preserve">: Once third parties gain network adjacency, they can potentially explore internal systems beyond their authorized scope[7][8].</w:t>
      </w:r>
    </w:p>
    <w:p>
      <w:pPr>
        <w:spacing w:after="210" w:lineRule="auto"/>
      </w:pPr>
      <w:r>
        <w:rPr>
          <w:b/>
        </w:rPr>
        <w:t xml:space="preserve">Location-Based Trust Fragility</w:t>
      </w:r>
      <w:r>
        <w:rPr/>
        <w:t xml:space="preserve">: Access decisions based on source IP or VPN presence create brittle security when IP addresses are reused, NAT obscures origin, or credentials are compromised.</w:t>
      </w:r>
    </w:p>
    <w:p>
      <w:pPr>
        <w:spacing w:after="210" w:lineRule="auto"/>
      </w:pPr>
      <w:r>
        <w:rPr>
          <w:b/>
        </w:rPr>
        <w:t xml:space="preserve">Lifecycle Asymmetry</w:t>
      </w:r>
      <w:r>
        <w:rPr/>
        <w:t xml:space="preserve">: Provisioning receives engineering attention, but removal is neglected. Orphaned tunnels, stale firewall rules, and dormant connections persist because teardown is operationally risky[9].</w:t>
      </w:r>
    </w:p>
    <w:p>
      <w:pPr>
        <w:spacing w:line="271" w:before="240" w:lineRule="auto"/>
      </w:pPr>
      <w:bookmarkStart w:id="5" w:name="the_ztna_gap"/>
      <w:r>
        <w:rPr>
          <w:b/>
          <w:sz w:val="33"/>
        </w:rPr>
        <w:t xml:space="preserve">The ZTNA Gap</w:t>
      </w:r>
      <w:bookmarkEnd w:id="5"/>
    </w:p>
    <w:p>
      <w:pPr>
        <w:spacing w:after="210" w:lineRule="auto"/>
      </w:pPr>
      <w:r>
        <w:rPr/>
        <w:t xml:space="preserve">Zero Trust Network Access (ZTNA) solutions promise to address these challenges by replacing VPN-style network extension with application-level, identity-centric access. However, many legacy enterprise applications were designed for trusted network adjacency and cannot easily adapt to ZTNA brokerage models[10][11].</w:t>
      </w:r>
    </w:p>
    <w:p>
      <w:pPr>
        <w:spacing w:after="210" w:lineRule="auto"/>
      </w:pPr>
      <w:r>
        <w:rPr/>
        <w:t xml:space="preserve">This creates a fundamental tension: enterprises need stronger third-party access controls, but existing applications often lack the identity integration, API structure, or protocol compatibility that modern ZTNA solutions require[12].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the_four_security_paradigms"/>
      <w:r>
        <w:rPr>
          <w:b/>
          <w:sz w:val="42"/>
        </w:rPr>
        <w:t xml:space="preserve">The Four Security Paradigms</w:t>
      </w:r>
      <w:bookmarkEnd w:id="6"/>
    </w:p>
    <w:p>
      <w:pPr>
        <w:spacing w:after="210" w:lineRule="auto"/>
      </w:pPr>
      <w:r>
        <w:rPr/>
        <w:t xml:space="preserve">The following paradigms establish architectural requirements that vendor solutions must satisfy. Each paradigm defines a conceptual foundation, testable invariants, and validation criteria.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paradigm_1_structural_containment"/>
      <w:r>
        <w:rPr>
          <w:b/>
          <w:sz w:val="42"/>
        </w:rPr>
        <w:t xml:space="preserve">Paradigm 1: Structural Containment</w:t>
      </w:r>
      <w:bookmarkEnd w:id="7"/>
    </w:p>
    <w:p>
      <w:pPr>
        <w:spacing w:line="271" w:before="240" w:lineRule="auto"/>
      </w:pPr>
      <w:bookmarkStart w:id="8" w:name="definition"/>
      <w:r>
        <w:rPr>
          <w:b/>
          <w:sz w:val="33"/>
        </w:rPr>
        <w:t xml:space="preserve">Definition</w:t>
      </w:r>
      <w:bookmarkEnd w:id="8"/>
    </w:p>
    <w:p>
      <w:pPr>
        <w:spacing w:after="210" w:lineRule="auto"/>
      </w:pPr>
      <w:r>
        <w:rPr>
          <w:b/>
        </w:rPr>
        <w:t xml:space="preserve">Security is enforced by structure, not policy layering.</w:t>
      </w:r>
    </w:p>
    <w:p>
      <w:pPr>
        <w:spacing w:after="210" w:lineRule="auto"/>
      </w:pPr>
      <w:r>
        <w:rPr/>
        <w:t xml:space="preserve">Isolation must be embedded in network topology and routing domains, making it a structural property rather than a configuration artifact. The absence of mediation must equal the absence of reachability.</w:t>
      </w:r>
    </w:p>
    <w:p>
      <w:pPr>
        <w:spacing w:line="271" w:before="240" w:lineRule="auto"/>
      </w:pPr>
      <w:bookmarkStart w:id="9" w:name="core_principle"/>
      <w:r>
        <w:rPr>
          <w:b/>
          <w:sz w:val="33"/>
        </w:rPr>
        <w:t xml:space="preserve">Core Principle</w:t>
      </w:r>
      <w:bookmarkEnd w:id="9"/>
    </w:p>
    <w:p>
      <w:pPr>
        <w:spacing w:after="210" w:lineRule="auto"/>
      </w:pPr>
      <w:r>
        <w:rPr/>
        <w:t xml:space="preserve">Traditional approaches assume shared network adjacency and then layer segmentation through firewall rules and access control lists. This treats separation as policy rather than structure.</w:t>
      </w:r>
    </w:p>
    <w:p>
      <w:pPr>
        <w:spacing w:after="210" w:lineRule="auto"/>
      </w:pPr>
      <w:r>
        <w:rPr/>
        <w:t xml:space="preserve">Structural containment inverts that assumption:</w:t>
      </w:r>
    </w:p>
    <w:p>
      <w:pPr>
        <w:numPr>
          <w:ilvl w:val="0"/>
          <w:numId w:val="3"/>
        </w:numPr>
        <w:spacing w:lineRule="auto"/>
      </w:pPr>
      <w:r>
        <w:rPr/>
        <w:t xml:space="preserve">Isolation is the default state</w:t>
      </w:r>
    </w:p>
    <w:p>
      <w:pPr>
        <w:numPr>
          <w:ilvl w:val="0"/>
          <w:numId w:val="3"/>
        </w:numPr>
        <w:spacing w:lineRule="auto"/>
      </w:pPr>
      <w:r>
        <w:rPr/>
        <w:t xml:space="preserve">Adjacency requires explicit architectural construction</w:t>
      </w:r>
    </w:p>
    <w:p>
      <w:pPr>
        <w:numPr>
          <w:ilvl w:val="0"/>
          <w:numId w:val="3"/>
        </w:numPr>
        <w:spacing w:lineRule="auto"/>
      </w:pPr>
      <w:r>
        <w:rPr/>
        <w:t xml:space="preserve">Third parties do not share forwarding planes or routing domains</w:t>
      </w:r>
    </w:p>
    <w:p>
      <w:pPr>
        <w:numPr>
          <w:ilvl w:val="0"/>
          <w:numId w:val="3"/>
        </w:numPr>
        <w:spacing w:lineRule="auto"/>
      </w:pPr>
      <w:r>
        <w:rPr/>
        <w:t xml:space="preserve">Cross-domain connectivity requires deliberate mediation constructs</w:t>
      </w:r>
    </w:p>
    <w:p>
      <w:pPr>
        <w:spacing w:line="271" w:before="240" w:lineRule="auto"/>
      </w:pPr>
      <w:bookmarkStart w:id="10" w:name="why_this_matters_for_third_party_e63be3"/>
      <w:r>
        <w:rPr>
          <w:b/>
          <w:sz w:val="33"/>
        </w:rPr>
        <w:t xml:space="preserve">Why This Matters for Third-Party Connectivity</w:t>
      </w:r>
      <w:bookmarkEnd w:id="10"/>
    </w:p>
    <w:p>
      <w:pPr>
        <w:spacing w:after="210" w:lineRule="auto"/>
      </w:pPr>
      <w:r>
        <w:rPr/>
        <w:t xml:space="preserve">When evaluating vendor solutions, structural containment determines whether third-party isolation can survive:</w:t>
      </w:r>
    </w:p>
    <w:p>
      <w:pPr>
        <w:numPr>
          <w:ilvl w:val="0"/>
          <w:numId w:val="4"/>
        </w:numPr>
        <w:spacing w:lineRule="auto"/>
      </w:pPr>
      <w:r>
        <w:rPr/>
        <w:t xml:space="preserve">Growth in third-party count</w:t>
      </w:r>
    </w:p>
    <w:p>
      <w:pPr>
        <w:numPr>
          <w:ilvl w:val="0"/>
          <w:numId w:val="4"/>
        </w:numPr>
        <w:spacing w:lineRule="auto"/>
      </w:pPr>
      <w:r>
        <w:rPr/>
        <w:t xml:space="preserve">Expansion of integration complexity</w:t>
      </w:r>
    </w:p>
    <w:p>
      <w:pPr>
        <w:numPr>
          <w:ilvl w:val="0"/>
          <w:numId w:val="4"/>
        </w:numPr>
        <w:spacing w:lineRule="auto"/>
      </w:pPr>
      <w:r>
        <w:rPr/>
        <w:t xml:space="preserve">Operator configuration errors</w:t>
      </w:r>
    </w:p>
    <w:p>
      <w:pPr>
        <w:numPr>
          <w:ilvl w:val="0"/>
          <w:numId w:val="4"/>
        </w:numPr>
        <w:spacing w:lineRule="auto"/>
      </w:pPr>
      <w:r>
        <w:rPr/>
        <w:t xml:space="preserve">Infrastructure scaling events</w:t>
      </w:r>
    </w:p>
    <w:p>
      <w:pPr>
        <w:spacing w:after="210" w:lineRule="auto"/>
      </w:pPr>
      <w:r>
        <w:rPr/>
        <w:t xml:space="preserve">Solutions that rely on policy enforcement over shared infrastructure fail when rule sets become complex or when misconfigurations create unintended adjacency.</w:t>
      </w:r>
    </w:p>
    <w:p>
      <w:pPr>
        <w:spacing w:line="271" w:before="240" w:lineRule="auto"/>
      </w:pPr>
      <w:bookmarkStart w:id="11" w:name="invariants"/>
      <w:r>
        <w:rPr>
          <w:b/>
          <w:sz w:val="33"/>
        </w:rPr>
        <w:t xml:space="preserve">Invariants</w:t>
      </w:r>
      <w:bookmarkEnd w:id="11"/>
    </w:p>
    <w:p>
      <w:pPr>
        <w:spacing w:after="210" w:lineRule="auto"/>
      </w:pPr>
      <w:r>
        <w:rPr>
          <w:b/>
        </w:rPr>
        <w:t xml:space="preserve">Invariant 1.1</w:t>
      </w:r>
      <w:r>
        <w:rPr/>
        <w:t xml:space="preserve">: Third parties must operate in isolated routing and forwarding contexts. No shared adjacency domains.</w:t>
      </w:r>
    </w:p>
    <w:p>
      <w:pPr>
        <w:spacing w:after="210" w:lineRule="auto"/>
      </w:pPr>
      <w:r>
        <w:rPr>
          <w:b/>
        </w:rPr>
        <w:t xml:space="preserve">Invariant 1.2</w:t>
      </w:r>
      <w:r>
        <w:rPr/>
        <w:t xml:space="preserve">: Cross-domain connectivity requires explicit mediation. Removing mediation constructs must eliminate reachability.</w:t>
      </w:r>
    </w:p>
    <w:p>
      <w:pPr>
        <w:spacing w:after="210" w:lineRule="auto"/>
      </w:pPr>
      <w:r>
        <w:rPr>
          <w:b/>
        </w:rPr>
        <w:t xml:space="preserve">Invariant 1.3</w:t>
      </w:r>
      <w:r>
        <w:rPr/>
        <w:t xml:space="preserve">: Route propagation between domains must be deterministically filtered. Prefix leakage must be structurally prevented.</w:t>
      </w:r>
    </w:p>
    <w:p>
      <w:pPr>
        <w:spacing w:after="210" w:lineRule="auto"/>
      </w:pPr>
      <w:r>
        <w:rPr>
          <w:b/>
        </w:rPr>
        <w:t xml:space="preserve">Invariant 1.4</w:t>
      </w:r>
      <w:r>
        <w:rPr/>
        <w:t xml:space="preserve">: Containment must not depend on correct policy configuration. Misconfiguration must not create cross-domain exposure.</w:t>
      </w:r>
    </w:p>
    <w:p>
      <w:pPr>
        <w:spacing w:line="271" w:before="240" w:lineRule="auto"/>
      </w:pPr>
      <w:bookmarkStart w:id="12" w:name="vendor_evaluation_questions"/>
      <w:r>
        <w:rPr>
          <w:b/>
          <w:sz w:val="33"/>
        </w:rPr>
        <w:t xml:space="preserve">Vendor Evaluation Questions</w:t>
      </w:r>
      <w:bookmarkEnd w:id="12"/>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Does each third party operate in a dedicated routing domain?</w:t>
            </w:r>
          </w:p>
        </w:tc>
        <w:tc>
          <w:tcPr>
            <w:tcBorders>
              <w:bottom w:val="single" w:sz="8" w:space="0" w:color="000000"/>
              <w:right w:val="single" w:sz="8" w:space="0" w:color="000000"/>
            </w:tcBorders>
            <w:vAlign w:val="top"/>
          </w:tcPr>
          <w:p>
            <w:pPr>
              <w:spacing w:lineRule="auto"/>
              <w:jc w:val="left"/>
            </w:pPr>
            <w:r>
              <w:rPr/>
              <w:t xml:space="preserve">Verify per-tenant VRFs, routing instances, or equivalent isolation. Shared routing tables fail this requirement.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third parties directly reach internal subnets?</w:t>
            </w:r>
          </w:p>
        </w:tc>
        <w:tc>
          <w:tcPr>
            <w:tcBorders>
              <w:bottom w:val="single" w:sz="8" w:space="0" w:color="000000"/>
              <w:right w:val="single" w:sz="8" w:space="0" w:color="000000"/>
            </w:tcBorders>
            <w:vAlign w:val="top"/>
          </w:tcPr>
          <w:p>
            <w:pPr>
              <w:spacing w:lineRule="auto"/>
              <w:jc w:val="left"/>
            </w:pPr>
            <w:r>
              <w:rPr/>
              <w:t xml:space="preserve">Any direct route export to internal networks indicates policy-based rather than structural containment.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mediation constructs fail or are removed?</w:t>
            </w:r>
          </w:p>
        </w:tc>
        <w:tc>
          <w:tcPr>
            <w:tcBorders>
              <w:bottom w:val="single" w:sz="8" w:space="0" w:color="000000"/>
              <w:right w:val="single" w:sz="8" w:space="0" w:color="000000"/>
            </w:tcBorders>
            <w:vAlign w:val="top"/>
          </w:tcPr>
          <w:p>
            <w:pPr>
              <w:spacing w:lineRule="auto"/>
              <w:jc w:val="left"/>
            </w:pPr>
            <w:r>
              <w:rPr/>
              <w:t xml:space="preserve">Reachability should be eliminated, not degraded. Fallback to direct routing violates structural containment.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does the solution prevent route leakage?</w:t>
            </w:r>
          </w:p>
        </w:tc>
        <w:tc>
          <w:tcPr>
            <w:tcBorders>
              <w:bottom w:val="single" w:sz="8" w:space="0" w:color="000000"/>
              <w:right w:val="single" w:sz="8" w:space="0" w:color="000000"/>
            </w:tcBorders>
            <w:vAlign w:val="top"/>
          </w:tcPr>
          <w:p>
            <w:pPr>
              <w:spacing w:lineRule="auto"/>
              <w:jc w:val="left"/>
            </w:pPr>
            <w:r>
              <w:rPr/>
              <w:t xml:space="preserve">Look for deterministic import/export filters, not manual route policy maintenance.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one third party's misconfiguration affect another?</w:t>
            </w:r>
          </w:p>
        </w:tc>
        <w:tc>
          <w:tcPr>
            <w:tcBorders>
              <w:bottom w:val="single" w:sz="8" w:space="0" w:color="000000"/>
              <w:right w:val="single" w:sz="8" w:space="0" w:color="000000"/>
            </w:tcBorders>
            <w:vAlign w:val="top"/>
          </w:tcPr>
          <w:p>
            <w:pPr>
              <w:spacing w:lineRule="auto"/>
              <w:jc w:val="left"/>
            </w:pPr>
            <w:r>
              <w:rPr/>
              <w:t xml:space="preserve">If yes, shared failure domains exist and structural containment is incomplete.</w:t>
            </w:r>
          </w:p>
        </w:tc>
      </w:tr>
    </w:tbl>
    <w:p>
      <w:pPr>
        <w:spacing w:lineRule="auto"/>
      </w:pPr>
    </w:p>
    <w:p>
      <w:pPr>
        <w:spacing w:lineRule="auto"/>
      </w:pPr>
      <w:r>
        <w:rPr/>
        <w:t xml:space="preserve">Table 1: Structural Containment Evaluation Criteria</w:t>
      </w:r>
    </w:p>
    <w:p>
      <w:pPr>
        <w:spacing w:line="271" w:before="240" w:lineRule="auto"/>
      </w:pPr>
      <w:bookmarkStart w:id="13" w:name="validation_test"/>
      <w:r>
        <w:rPr>
          <w:b/>
          <w:sz w:val="33"/>
        </w:rPr>
        <w:t xml:space="preserve">Validation Test</w:t>
      </w:r>
      <w:bookmarkEnd w:id="13"/>
    </w:p>
    <w:p>
      <w:pPr>
        <w:spacing w:after="210" w:lineRule="auto"/>
      </w:pPr>
      <w:r>
        <w:rPr>
          <w:b/>
        </w:rPr>
        <w:t xml:space="preserve">Test</w:t>
      </w:r>
      <w:r>
        <w:rPr/>
        <w:t xml:space="preserve">: Attempt to create a routing adjacency between two third-party contexts without using designated mediation constructs.</w:t>
      </w:r>
    </w:p>
    <w:p>
      <w:pPr>
        <w:spacing w:after="210" w:lineRule="auto"/>
      </w:pPr>
      <w:r>
        <w:rPr>
          <w:b/>
        </w:rPr>
        <w:t xml:space="preserve">Expected Result</w:t>
      </w:r>
      <w:r>
        <w:rPr/>
        <w:t xml:space="preserve">: The attempt must fail structurally, not be blocked by policy. Removing firewall rules or ACLs should not enable connectivity if structural containment is properly implemented.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paradigm_2_mediated_capability_exposure"/>
      <w:r>
        <w:rPr>
          <w:b/>
          <w:sz w:val="42"/>
        </w:rPr>
        <w:t xml:space="preserve">Paradigm 2: Mediated Capability Exposure</w:t>
      </w:r>
      <w:bookmarkEnd w:id="14"/>
    </w:p>
    <w:p>
      <w:pPr>
        <w:spacing w:line="271" w:before="240" w:lineRule="auto"/>
      </w:pPr>
      <w:bookmarkStart w:id="15" w:name="definition_2"/>
      <w:r>
        <w:rPr>
          <w:b/>
          <w:sz w:val="33"/>
        </w:rPr>
        <w:t xml:space="preserve">Definition</w:t>
      </w:r>
      <w:bookmarkEnd w:id="15"/>
    </w:p>
    <w:p>
      <w:pPr>
        <w:spacing w:after="210" w:lineRule="auto"/>
      </w:pPr>
      <w:r>
        <w:rPr>
          <w:b/>
        </w:rPr>
        <w:t xml:space="preserve">Security is enforced by mediation, not subnet reachability.</w:t>
      </w:r>
    </w:p>
    <w:p>
      <w:pPr>
        <w:spacing w:after="210" w:lineRule="auto"/>
      </w:pPr>
      <w:r>
        <w:rPr/>
        <w:t xml:space="preserve">Third parties receive access to explicitly declared capabilities, not broad network adjacency. All flows must traverse enforcement constructs. Destination scope is allow-listed, directionality is enforced, and protocol semantics are constrained.</w:t>
      </w:r>
    </w:p>
    <w:p>
      <w:pPr>
        <w:spacing w:line="271" w:before="240" w:lineRule="auto"/>
      </w:pPr>
      <w:bookmarkStart w:id="16" w:name="core_principle_2"/>
      <w:r>
        <w:rPr>
          <w:b/>
          <w:sz w:val="33"/>
        </w:rPr>
        <w:t xml:space="preserve">Core Principle</w:t>
      </w:r>
      <w:bookmarkEnd w:id="16"/>
    </w:p>
    <w:p>
      <w:pPr>
        <w:spacing w:after="210" w:lineRule="auto"/>
      </w:pPr>
      <w:r>
        <w:rPr/>
        <w:t xml:space="preserve">Network adjacency is coarse-grained. Once a subnet is reachable, every host in that subnet becomes potentially accessible unless further constrained.</w:t>
      </w:r>
    </w:p>
    <w:p>
      <w:pPr>
        <w:spacing w:after="210" w:lineRule="auto"/>
      </w:pPr>
      <w:r>
        <w:rPr/>
        <w:t xml:space="preserve">Mediated capability exposure replaces subnet adjacency with service adjacency:</w:t>
      </w:r>
    </w:p>
    <w:p>
      <w:pPr>
        <w:numPr>
          <w:ilvl w:val="0"/>
          <w:numId w:val="5"/>
        </w:numPr>
        <w:spacing w:lineRule="auto"/>
      </w:pPr>
      <w:r>
        <w:rPr/>
        <w:t xml:space="preserve">Third parties do not receive network-level reachability</w:t>
      </w:r>
    </w:p>
    <w:p>
      <w:pPr>
        <w:numPr>
          <w:ilvl w:val="0"/>
          <w:numId w:val="5"/>
        </w:numPr>
        <w:spacing w:lineRule="auto"/>
      </w:pPr>
      <w:r>
        <w:rPr/>
        <w:t xml:space="preserve">Access is scoped to specific endpoints and capabilities</w:t>
      </w:r>
    </w:p>
    <w:p>
      <w:pPr>
        <w:numPr>
          <w:ilvl w:val="0"/>
          <w:numId w:val="5"/>
        </w:numPr>
        <w:spacing w:lineRule="auto"/>
      </w:pPr>
      <w:r>
        <w:rPr/>
        <w:t xml:space="preserve">Proxy or enforcement layers sit between third parties and internal systems</w:t>
      </w:r>
    </w:p>
    <w:p>
      <w:pPr>
        <w:numPr>
          <w:ilvl w:val="0"/>
          <w:numId w:val="5"/>
        </w:numPr>
        <w:spacing w:lineRule="auto"/>
      </w:pPr>
      <w:r>
        <w:rPr/>
        <w:t xml:space="preserve">Protocol and direction constraints are architecturally enforced</w:t>
      </w:r>
    </w:p>
    <w:p>
      <w:pPr>
        <w:spacing w:line="271" w:before="240" w:lineRule="auto"/>
      </w:pPr>
      <w:bookmarkStart w:id="17" w:name="why_this_matters_for_third_party_64c2b5"/>
      <w:r>
        <w:rPr>
          <w:b/>
          <w:sz w:val="33"/>
        </w:rPr>
        <w:t xml:space="preserve">Why This Matters for Third-Party Connectivity</w:t>
      </w:r>
      <w:bookmarkEnd w:id="17"/>
    </w:p>
    <w:p>
      <w:pPr>
        <w:spacing w:after="210" w:lineRule="auto"/>
      </w:pPr>
      <w:r>
        <w:rPr/>
        <w:t xml:space="preserve">Traditional VPN models grant network extension. This creates common failure modes:</w:t>
      </w:r>
    </w:p>
    <w:p>
      <w:pPr>
        <w:numPr>
          <w:ilvl w:val="0"/>
          <w:numId w:val="6"/>
        </w:numPr>
        <w:spacing w:lineRule="auto"/>
      </w:pPr>
      <w:r>
        <w:rPr/>
        <w:t xml:space="preserve">Lateral exploration within internal networks</w:t>
      </w:r>
    </w:p>
    <w:p>
      <w:pPr>
        <w:numPr>
          <w:ilvl w:val="0"/>
          <w:numId w:val="6"/>
        </w:numPr>
        <w:spacing w:lineRule="auto"/>
      </w:pPr>
      <w:r>
        <w:rPr/>
        <w:t xml:space="preserve">Port range expansion over time ("make it work" syndrome)</w:t>
      </w:r>
    </w:p>
    <w:p>
      <w:pPr>
        <w:numPr>
          <w:ilvl w:val="0"/>
          <w:numId w:val="6"/>
        </w:numPr>
        <w:spacing w:lineRule="auto"/>
      </w:pPr>
      <w:r>
        <w:rPr/>
        <w:t xml:space="preserve">Overbroad firewall rules to accommodate application chatter</w:t>
      </w:r>
    </w:p>
    <w:p>
      <w:pPr>
        <w:numPr>
          <w:ilvl w:val="0"/>
          <w:numId w:val="6"/>
        </w:numPr>
        <w:spacing w:lineRule="auto"/>
      </w:pPr>
      <w:r>
        <w:rPr/>
        <w:t xml:space="preserve">Implicit trust of all hosts within reachable subnets</w:t>
      </w:r>
    </w:p>
    <w:p>
      <w:pPr>
        <w:spacing w:after="210" w:lineRule="auto"/>
      </w:pPr>
      <w:r>
        <w:rPr/>
        <w:t xml:space="preserve">Encryption (VPN tunnels, TLS) protects data in transit but does not reduce blast radius. Mediated capability exposure ensures that even with valid transport credentials, third parties can only invoke explicitly permitted capabilities[13][14].</w:t>
      </w:r>
    </w:p>
    <w:p>
      <w:pPr>
        <w:spacing w:line="271" w:before="240" w:lineRule="auto"/>
      </w:pPr>
      <w:bookmarkStart w:id="18" w:name="invariants_2"/>
      <w:r>
        <w:rPr>
          <w:b/>
          <w:sz w:val="33"/>
        </w:rPr>
        <w:t xml:space="preserve">Invariants</w:t>
      </w:r>
      <w:bookmarkEnd w:id="18"/>
    </w:p>
    <w:p>
      <w:pPr>
        <w:spacing w:after="210" w:lineRule="auto"/>
      </w:pPr>
      <w:r>
        <w:rPr>
          <w:b/>
        </w:rPr>
        <w:t xml:space="preserve">Invariant 2.1</w:t>
      </w:r>
      <w:r>
        <w:rPr/>
        <w:t xml:space="preserve">: No third party may access internal subnets directly. All permitted flows must traverse mediation constructs.</w:t>
      </w:r>
    </w:p>
    <w:p>
      <w:pPr>
        <w:spacing w:after="210" w:lineRule="auto"/>
      </w:pPr>
      <w:r>
        <w:rPr>
          <w:b/>
        </w:rPr>
        <w:t xml:space="preserve">Invariant 2.2</w:t>
      </w:r>
      <w:r>
        <w:rPr/>
        <w:t xml:space="preserve">: Destination scope must be explicitly declared and enforced. Wildcards or broad subnet ranges violate this requirement.</w:t>
      </w:r>
    </w:p>
    <w:p>
      <w:pPr>
        <w:spacing w:after="210" w:lineRule="auto"/>
      </w:pPr>
      <w:r>
        <w:rPr>
          <w:b/>
        </w:rPr>
        <w:t xml:space="preserve">Invariant 2.3</w:t>
      </w:r>
      <w:r>
        <w:rPr/>
        <w:t xml:space="preserve">: Directionality must be constrained. Bidirectional flows require explicit bidirectional authorization.</w:t>
      </w:r>
    </w:p>
    <w:p>
      <w:pPr>
        <w:spacing w:after="210" w:lineRule="auto"/>
      </w:pPr>
      <w:r>
        <w:rPr>
          <w:b/>
        </w:rPr>
        <w:t xml:space="preserve">Invariant 2.4</w:t>
      </w:r>
      <w:r>
        <w:rPr/>
        <w:t xml:space="preserve">: Protocol semantics must be enforced at Layer 7 where applicable. Generic TCP/UDP forwarding is insufficient for high-value capabilities.</w:t>
      </w:r>
    </w:p>
    <w:p>
      <w:pPr>
        <w:spacing w:after="210" w:lineRule="auto"/>
      </w:pPr>
      <w:r>
        <w:rPr>
          <w:b/>
        </w:rPr>
        <w:t xml:space="preserve">Invariant 2.5</w:t>
      </w:r>
      <w:r>
        <w:rPr/>
        <w:t xml:space="preserve">: Removing mediation must eliminate capability access. Direct fallback paths violate this paradigm.</w:t>
      </w:r>
    </w:p>
    <w:p>
      <w:pPr>
        <w:spacing w:line="271" w:before="240" w:lineRule="auto"/>
      </w:pPr>
      <w:bookmarkStart w:id="19" w:name="vendor_evaluation_questions_2"/>
      <w:r>
        <w:rPr>
          <w:b/>
          <w:sz w:val="33"/>
        </w:rPr>
        <w:t xml:space="preserve">Vendor Evaluation Questions</w:t>
      </w:r>
      <w:bookmarkEnd w:id="1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third parties route directly to internal subnets?</w:t>
            </w:r>
          </w:p>
        </w:tc>
        <w:tc>
          <w:tcPr>
            <w:tcBorders>
              <w:bottom w:val="single" w:sz="8" w:space="0" w:color="000000"/>
              <w:right w:val="single" w:sz="8" w:space="0" w:color="000000"/>
            </w:tcBorders>
            <w:vAlign w:val="top"/>
          </w:tcPr>
          <w:p>
            <w:pPr>
              <w:spacing w:lineRule="auto"/>
              <w:jc w:val="left"/>
            </w:pPr>
            <w:r>
              <w:rPr/>
              <w:t xml:space="preserve">Any "yes" answer disqualifies the solution under this paradigm.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are permitted endpoints declared?</w:t>
            </w:r>
          </w:p>
        </w:tc>
        <w:tc>
          <w:tcPr>
            <w:tcBorders>
              <w:bottom w:val="single" w:sz="8" w:space="0" w:color="000000"/>
              <w:right w:val="single" w:sz="8" w:space="0" w:color="000000"/>
            </w:tcBorders>
            <w:vAlign w:val="top"/>
          </w:tcPr>
          <w:p>
            <w:pPr>
              <w:spacing w:lineRule="auto"/>
              <w:jc w:val="left"/>
            </w:pPr>
            <w:r>
              <w:rPr/>
              <w:t xml:space="preserve">Look for explicit allow-lists (hostname, FQDN, specific IP) rather than subnet ranges or wildcards.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directionality enforced?</w:t>
            </w:r>
          </w:p>
        </w:tc>
        <w:tc>
          <w:tcPr>
            <w:tcBorders>
              <w:bottom w:val="single" w:sz="8" w:space="0" w:color="000000"/>
              <w:right w:val="single" w:sz="8" w:space="0" w:color="000000"/>
            </w:tcBorders>
            <w:vAlign w:val="top"/>
          </w:tcPr>
          <w:p>
            <w:pPr>
              <w:spacing w:lineRule="auto"/>
              <w:jc w:val="left"/>
            </w:pPr>
            <w:r>
              <w:rPr/>
              <w:t xml:space="preserve">Verify that inbound-only or outbound-only flows are architecturally constrained, not policy-dependent.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protocol enforcement is applied?</w:t>
            </w:r>
          </w:p>
        </w:tc>
        <w:tc>
          <w:tcPr>
            <w:tcBorders>
              <w:bottom w:val="single" w:sz="8" w:space="0" w:color="000000"/>
              <w:right w:val="single" w:sz="8" w:space="0" w:color="000000"/>
            </w:tcBorders>
            <w:vAlign w:val="top"/>
          </w:tcPr>
          <w:p>
            <w:pPr>
              <w:spacing w:lineRule="auto"/>
              <w:jc w:val="left"/>
            </w:pPr>
            <w:r>
              <w:rPr/>
              <w:t xml:space="preserve">Generic port forwarding is weaker than application-aware proxying (HTTP, SQL, RDP protocol validation).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the mediation layer is bypassed?</w:t>
            </w:r>
          </w:p>
        </w:tc>
        <w:tc>
          <w:tcPr>
            <w:tcBorders>
              <w:bottom w:val="single" w:sz="8" w:space="0" w:color="000000"/>
              <w:right w:val="single" w:sz="8" w:space="0" w:color="000000"/>
            </w:tcBorders>
            <w:vAlign w:val="top"/>
          </w:tcPr>
          <w:p>
            <w:pPr>
              <w:spacing w:lineRule="auto"/>
              <w:jc w:val="left"/>
            </w:pPr>
            <w:r>
              <w:rPr/>
              <w:t xml:space="preserve">If direct routes or firewall changes could restore connectivity, mediation is not architecturally enforced.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third parties discover or scan internal networks?</w:t>
            </w:r>
          </w:p>
        </w:tc>
        <w:tc>
          <w:tcPr>
            <w:tcBorders>
              <w:bottom w:val="single" w:sz="8" w:space="0" w:color="000000"/>
              <w:right w:val="single" w:sz="8" w:space="0" w:color="000000"/>
            </w:tcBorders>
            <w:vAlign w:val="top"/>
          </w:tcPr>
          <w:p>
            <w:pPr>
              <w:spacing w:lineRule="auto"/>
              <w:jc w:val="left"/>
            </w:pPr>
            <w:r>
              <w:rPr/>
              <w:t xml:space="preserve">Mediation should prevent enumeration, not just block access after discovery.</w:t>
            </w:r>
          </w:p>
        </w:tc>
      </w:tr>
    </w:tbl>
    <w:p>
      <w:pPr>
        <w:spacing w:lineRule="auto"/>
      </w:pPr>
    </w:p>
    <w:p>
      <w:pPr>
        <w:spacing w:lineRule="auto"/>
      </w:pPr>
      <w:r>
        <w:rPr/>
        <w:t xml:space="preserve">Table 2: Mediated Capability Exposure Evaluation Criteria</w:t>
      </w:r>
    </w:p>
    <w:p>
      <w:pPr>
        <w:spacing w:line="271" w:before="240" w:lineRule="auto"/>
      </w:pPr>
      <w:bookmarkStart w:id="20" w:name="validation_test_2"/>
      <w:r>
        <w:rPr>
          <w:b/>
          <w:sz w:val="33"/>
        </w:rPr>
        <w:t xml:space="preserve">Validation Test</w:t>
      </w:r>
      <w:bookmarkEnd w:id="20"/>
    </w:p>
    <w:p>
      <w:pPr>
        <w:spacing w:after="210" w:lineRule="auto"/>
      </w:pPr>
      <w:r>
        <w:rPr>
          <w:b/>
        </w:rPr>
        <w:t xml:space="preserve">Test</w:t>
      </w:r>
      <w:r>
        <w:rPr/>
        <w:t xml:space="preserve">: Remove or disable the mediation construct (proxy, gateway, broker) and attempt to reach the internal endpoint from the third-party context.</w:t>
      </w:r>
    </w:p>
    <w:p>
      <w:pPr>
        <w:spacing w:after="210" w:lineRule="auto"/>
      </w:pPr>
      <w:r>
        <w:rPr>
          <w:b/>
        </w:rPr>
        <w:t xml:space="preserve">Expected Result</w:t>
      </w:r>
      <w:r>
        <w:rPr/>
        <w:t xml:space="preserve">: All connectivity must fail. If direct network routes remain functional, mediation is not structurally enforced.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paradigm_3_identity_bound_authorization"/>
      <w:r>
        <w:rPr>
          <w:b/>
          <w:sz w:val="42"/>
        </w:rPr>
        <w:t xml:space="preserve">Paradigm 3: Identity-Bound Authorization</w:t>
      </w:r>
      <w:bookmarkEnd w:id="21"/>
    </w:p>
    <w:p>
      <w:pPr>
        <w:spacing w:line="271" w:before="240" w:lineRule="auto"/>
      </w:pPr>
      <w:bookmarkStart w:id="22" w:name="definition_3"/>
      <w:r>
        <w:rPr>
          <w:b/>
          <w:sz w:val="33"/>
        </w:rPr>
        <w:t xml:space="preserve">Definition</w:t>
      </w:r>
      <w:bookmarkEnd w:id="22"/>
    </w:p>
    <w:p>
      <w:pPr>
        <w:spacing w:after="210" w:lineRule="auto"/>
      </w:pPr>
      <w:r>
        <w:rPr>
          <w:b/>
        </w:rPr>
        <w:t xml:space="preserve">Security is enforced at the subject level, not location level.</w:t>
      </w:r>
    </w:p>
    <w:p>
      <w:pPr>
        <w:spacing w:after="210" w:lineRule="auto"/>
      </w:pPr>
      <w:r>
        <w:rPr/>
        <w:t xml:space="preserve">Identity must be cryptographically validated, tenant-scoped, and bound to declared capabilities. Authorization decisions depend on authenticated subjects, not source IP addresses or network position. Revocation must be independent of routing topology.</w:t>
      </w:r>
    </w:p>
    <w:p>
      <w:pPr>
        <w:spacing w:line="271" w:before="240" w:lineRule="auto"/>
      </w:pPr>
      <w:bookmarkStart w:id="23" w:name="core_principle_3"/>
      <w:r>
        <w:rPr>
          <w:b/>
          <w:sz w:val="33"/>
        </w:rPr>
        <w:t xml:space="preserve">Core Principle</w:t>
      </w:r>
      <w:bookmarkEnd w:id="23"/>
    </w:p>
    <w:p>
      <w:pPr>
        <w:spacing w:after="210" w:lineRule="auto"/>
      </w:pPr>
      <w:r>
        <w:rPr/>
        <w:t xml:space="preserve">Location-based trust is fragile. IP addresses represent network position, not actor identity. In distributed ecosystems with overlapping infrastructure, reused address space, and NAT boundaries, identity must anchor trust[15][16].</w:t>
      </w:r>
    </w:p>
    <w:p>
      <w:pPr>
        <w:spacing w:after="210" w:lineRule="auto"/>
      </w:pPr>
      <w:r>
        <w:rPr/>
        <w:t xml:space="preserve">Identity-bound authorization requires:</w:t>
      </w:r>
    </w:p>
    <w:p>
      <w:pPr>
        <w:numPr>
          <w:ilvl w:val="0"/>
          <w:numId w:val="7"/>
        </w:numPr>
        <w:spacing w:lineRule="auto"/>
      </w:pPr>
      <w:r>
        <w:rPr/>
        <w:t xml:space="preserve">Cryptographic validation of subjects (certificates, tokens, attested identities)</w:t>
      </w:r>
    </w:p>
    <w:p>
      <w:pPr>
        <w:numPr>
          <w:ilvl w:val="0"/>
          <w:numId w:val="7"/>
        </w:numPr>
        <w:spacing w:lineRule="auto"/>
      </w:pPr>
      <w:r>
        <w:rPr/>
        <w:t xml:space="preserve">Tenant-scoped trust anchors to prevent cross-tenant credential reuse</w:t>
      </w:r>
    </w:p>
    <w:p>
      <w:pPr>
        <w:numPr>
          <w:ilvl w:val="0"/>
          <w:numId w:val="7"/>
        </w:numPr>
        <w:spacing w:lineRule="auto"/>
      </w:pPr>
      <w:r>
        <w:rPr/>
        <w:t xml:space="preserve">Access decisions that bind identity to capability, not network to capability</w:t>
      </w:r>
    </w:p>
    <w:p>
      <w:pPr>
        <w:numPr>
          <w:ilvl w:val="0"/>
          <w:numId w:val="7"/>
        </w:numPr>
        <w:spacing w:lineRule="auto"/>
      </w:pPr>
      <w:r>
        <w:rPr/>
        <w:t xml:space="preserve">Revocation mechanisms independent of routing or firewall changes</w:t>
      </w:r>
    </w:p>
    <w:p>
      <w:pPr>
        <w:spacing w:line="271" w:before="240" w:lineRule="auto"/>
      </w:pPr>
      <w:bookmarkStart w:id="24" w:name="why_this_matters_for_third_party_64c2b5"/>
      <w:r>
        <w:rPr>
          <w:b/>
          <w:sz w:val="33"/>
        </w:rPr>
        <w:t xml:space="preserve">Why This Matters for Third-Party Connectivity</w:t>
      </w:r>
      <w:bookmarkEnd w:id="24"/>
    </w:p>
    <w:p>
      <w:pPr>
        <w:spacing w:after="210" w:lineRule="auto"/>
      </w:pPr>
      <w:r>
        <w:rPr/>
        <w:t xml:space="preserve">Location-based authorization fails when:</w:t>
      </w:r>
    </w:p>
    <w:p>
      <w:pPr>
        <w:numPr>
          <w:ilvl w:val="0"/>
          <w:numId w:val="8"/>
        </w:numPr>
        <w:spacing w:lineRule="auto"/>
      </w:pPr>
      <w:r>
        <w:rPr/>
        <w:t xml:space="preserve">IP addresses are reused across vendors or tenants</w:t>
      </w:r>
    </w:p>
    <w:p>
      <w:pPr>
        <w:numPr>
          <w:ilvl w:val="0"/>
          <w:numId w:val="8"/>
        </w:numPr>
        <w:spacing w:lineRule="auto"/>
      </w:pPr>
      <w:r>
        <w:rPr/>
        <w:t xml:space="preserve">Third parties share infrastructure (managed service providers, cloud platforms)</w:t>
      </w:r>
    </w:p>
    <w:p>
      <w:pPr>
        <w:numPr>
          <w:ilvl w:val="0"/>
          <w:numId w:val="8"/>
        </w:numPr>
        <w:spacing w:lineRule="auto"/>
      </w:pPr>
      <w:r>
        <w:rPr/>
        <w:t xml:space="preserve">NAT obscures true origin of requests</w:t>
      </w:r>
    </w:p>
    <w:p>
      <w:pPr>
        <w:numPr>
          <w:ilvl w:val="0"/>
          <w:numId w:val="8"/>
        </w:numPr>
        <w:spacing w:lineRule="auto"/>
      </w:pPr>
      <w:r>
        <w:rPr/>
        <w:t xml:space="preserve">VPN presence is treated as sufficient authorization</w:t>
      </w:r>
    </w:p>
    <w:p>
      <w:pPr>
        <w:numPr>
          <w:ilvl w:val="0"/>
          <w:numId w:val="8"/>
        </w:numPr>
        <w:spacing w:lineRule="auto"/>
      </w:pPr>
      <w:r>
        <w:rPr/>
        <w:t xml:space="preserve">Credentials are shared across multiple actors within a vendor organization</w:t>
      </w:r>
    </w:p>
    <w:p>
      <w:pPr>
        <w:spacing w:after="210" w:lineRule="auto"/>
      </w:pPr>
      <w:r>
        <w:rPr/>
        <w:t xml:space="preserve">Identity-bound authorization ensures that even if transport-level access exists (VPN tunnel, network route), each request requires validated subject identity and that identity determines capability scope[17].</w:t>
      </w:r>
    </w:p>
    <w:p>
      <w:pPr>
        <w:spacing w:line="271" w:before="240" w:lineRule="auto"/>
      </w:pPr>
      <w:bookmarkStart w:id="25" w:name="invariants_3"/>
      <w:r>
        <w:rPr>
          <w:b/>
          <w:sz w:val="33"/>
        </w:rPr>
        <w:t xml:space="preserve">Invariants</w:t>
      </w:r>
      <w:bookmarkEnd w:id="25"/>
    </w:p>
    <w:p>
      <w:pPr>
        <w:spacing w:after="210" w:lineRule="auto"/>
      </w:pPr>
      <w:r>
        <w:rPr>
          <w:b/>
        </w:rPr>
        <w:t xml:space="preserve">Invariant 3.1</w:t>
      </w:r>
      <w:r>
        <w:rPr/>
        <w:t xml:space="preserve">: Access must be denied in the absence of validated identity. Network reachability alone must be insufficient.</w:t>
      </w:r>
    </w:p>
    <w:p>
      <w:pPr>
        <w:spacing w:after="210" w:lineRule="auto"/>
      </w:pPr>
      <w:r>
        <w:rPr>
          <w:b/>
        </w:rPr>
        <w:t xml:space="preserve">Invariant 3.2</w:t>
      </w:r>
      <w:r>
        <w:rPr/>
        <w:t xml:space="preserve">: Identity scope must be limited to the tenant context. Credentials from one third party must not grant access to another's resources.</w:t>
      </w:r>
    </w:p>
    <w:p>
      <w:pPr>
        <w:spacing w:after="210" w:lineRule="auto"/>
      </w:pPr>
      <w:r>
        <w:rPr>
          <w:b/>
        </w:rPr>
        <w:t xml:space="preserve">Invariant 3.3</w:t>
      </w:r>
      <w:r>
        <w:rPr/>
        <w:t xml:space="preserve">: Identity revocation must prevent capability access immediately without requiring routing or firewall changes.</w:t>
      </w:r>
    </w:p>
    <w:p>
      <w:pPr>
        <w:spacing w:after="210" w:lineRule="auto"/>
      </w:pPr>
      <w:r>
        <w:rPr>
          <w:b/>
        </w:rPr>
        <w:t xml:space="preserve">Invariant 3.4</w:t>
      </w:r>
      <w:r>
        <w:rPr/>
        <w:t xml:space="preserve">: Authorization decisions must bind subject identity to capability invocation. Source IP must not substitute for identity validation.</w:t>
      </w:r>
    </w:p>
    <w:p>
      <w:pPr>
        <w:spacing w:line="271" w:before="240" w:lineRule="auto"/>
      </w:pPr>
      <w:bookmarkStart w:id="26" w:name="vendor_evaluation_questions_3"/>
      <w:r>
        <w:rPr>
          <w:b/>
          <w:sz w:val="33"/>
        </w:rPr>
        <w:t xml:space="preserve">Vendor Evaluation Questions</w:t>
      </w:r>
      <w:bookmarkEnd w:id="2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third-party identity established?</w:t>
            </w:r>
          </w:p>
        </w:tc>
        <w:tc>
          <w:tcPr>
            <w:tcBorders>
              <w:bottom w:val="single" w:sz="8" w:space="0" w:color="000000"/>
              <w:right w:val="single" w:sz="8" w:space="0" w:color="000000"/>
            </w:tcBorders>
            <w:vAlign w:val="top"/>
          </w:tcPr>
          <w:p>
            <w:pPr>
              <w:spacing w:lineRule="auto"/>
              <w:jc w:val="left"/>
            </w:pPr>
            <w:r>
              <w:rPr/>
              <w:t xml:space="preserve">Look for certificate-based authentication (mTLS), token-based systems (OAuth, SAML), or attested identities. Avoid IP-based or static password schemes.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Is identity tenant-scoped?</w:t>
            </w:r>
          </w:p>
        </w:tc>
        <w:tc>
          <w:tcPr>
            <w:tcBorders>
              <w:bottom w:val="single" w:sz="8" w:space="0" w:color="000000"/>
              <w:right w:val="single" w:sz="8" w:space="0" w:color="000000"/>
            </w:tcBorders>
            <w:vAlign w:val="top"/>
          </w:tcPr>
          <w:p>
            <w:pPr>
              <w:spacing w:lineRule="auto"/>
              <w:jc w:val="left"/>
            </w:pPr>
            <w:r>
              <w:rPr/>
              <w:t xml:space="preserve">Verify per-third-party certificate authorities, isolated identity providers, or tenant-specific trust anchors.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identity be revoked independently?</w:t>
            </w:r>
          </w:p>
        </w:tc>
        <w:tc>
          <w:tcPr>
            <w:tcBorders>
              <w:bottom w:val="single" w:sz="8" w:space="0" w:color="000000"/>
              <w:right w:val="single" w:sz="8" w:space="0" w:color="000000"/>
            </w:tcBorders>
            <w:vAlign w:val="top"/>
          </w:tcPr>
          <w:p>
            <w:pPr>
              <w:spacing w:lineRule="auto"/>
              <w:jc w:val="left"/>
            </w:pPr>
            <w:r>
              <w:rPr/>
              <w:t xml:space="preserve">Revocation should not require network changes. Certificate revocation lists, token invalidation, or identity provider updates should suffice.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Are authorization decisions identity-aware?</w:t>
            </w:r>
          </w:p>
        </w:tc>
        <w:tc>
          <w:tcPr>
            <w:tcBorders>
              <w:bottom w:val="single" w:sz="8" w:space="0" w:color="000000"/>
              <w:right w:val="single" w:sz="8" w:space="0" w:color="000000"/>
            </w:tcBorders>
            <w:vAlign w:val="top"/>
          </w:tcPr>
          <w:p>
            <w:pPr>
              <w:spacing w:lineRule="auto"/>
              <w:jc w:val="left"/>
            </w:pPr>
            <w:r>
              <w:rPr/>
              <w:t xml:space="preserve">Logs should show subject identity, not just source IP. Access denials should cite identity validation failures.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identity validation fails but network access exists?</w:t>
            </w:r>
          </w:p>
        </w:tc>
        <w:tc>
          <w:tcPr>
            <w:tcBorders>
              <w:bottom w:val="single" w:sz="8" w:space="0" w:color="000000"/>
              <w:right w:val="single" w:sz="8" w:space="0" w:color="000000"/>
            </w:tcBorders>
            <w:vAlign w:val="top"/>
          </w:tcPr>
          <w:p>
            <w:pPr>
              <w:spacing w:lineRule="auto"/>
              <w:jc w:val="left"/>
            </w:pPr>
            <w:r>
              <w:rPr/>
              <w:t xml:space="preserve">Access must be blocked. Network adjacency must not override identity requirements.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one third party impersonate another?</w:t>
            </w:r>
          </w:p>
        </w:tc>
        <w:tc>
          <w:tcPr>
            <w:tcBorders>
              <w:bottom w:val="single" w:sz="8" w:space="0" w:color="000000"/>
              <w:right w:val="single" w:sz="8" w:space="0" w:color="000000"/>
            </w:tcBorders>
            <w:vAlign w:val="top"/>
          </w:tcPr>
          <w:p>
            <w:pPr>
              <w:spacing w:lineRule="auto"/>
              <w:jc w:val="left"/>
            </w:pPr>
            <w:r>
              <w:rPr/>
              <w:t xml:space="preserve">Cross-tenant credential reuse or shared trust anchors violate tenant scoping.</w:t>
            </w:r>
          </w:p>
        </w:tc>
      </w:tr>
    </w:tbl>
    <w:p>
      <w:pPr>
        <w:spacing w:lineRule="auto"/>
      </w:pPr>
    </w:p>
    <w:p>
      <w:pPr>
        <w:spacing w:lineRule="auto"/>
      </w:pPr>
      <w:r>
        <w:rPr/>
        <w:t xml:space="preserve">Table 3: Identity-Bound Authorization Evaluation Criteria</w:t>
      </w:r>
    </w:p>
    <w:p>
      <w:pPr>
        <w:spacing w:line="271" w:before="240" w:lineRule="auto"/>
      </w:pPr>
      <w:bookmarkStart w:id="27" w:name="validation_test_3"/>
      <w:r>
        <w:rPr>
          <w:b/>
          <w:sz w:val="33"/>
        </w:rPr>
        <w:t xml:space="preserve">Validation Test</w:t>
      </w:r>
      <w:bookmarkEnd w:id="27"/>
    </w:p>
    <w:p>
      <w:pPr>
        <w:spacing w:after="210" w:lineRule="auto"/>
      </w:pPr>
      <w:r>
        <w:rPr>
          <w:b/>
        </w:rPr>
        <w:t xml:space="preserve">Test</w:t>
      </w:r>
      <w:r>
        <w:rPr/>
        <w:t xml:space="preserve">: Establish network connectivity (VPN tunnel, route) but provide invalid or expired identity credentials.</w:t>
      </w:r>
    </w:p>
    <w:p>
      <w:pPr>
        <w:spacing w:after="210" w:lineRule="auto"/>
      </w:pPr>
      <w:r>
        <w:rPr>
          <w:b/>
        </w:rPr>
        <w:t xml:space="preserve">Expected Result</w:t>
      </w:r>
      <w:r>
        <w:rPr/>
        <w:t xml:space="preserve">: All capability access must be blocked despite valid network-level transport. Identity validation failures must prevent authorization.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paradigm_4_deterministic_lifecycl_b4adc8"/>
      <w:r>
        <w:rPr>
          <w:b/>
          <w:sz w:val="42"/>
        </w:rPr>
        <w:t xml:space="preserve">Paradigm 4: Deterministic Lifecycle Governance</w:t>
      </w:r>
      <w:bookmarkEnd w:id="28"/>
    </w:p>
    <w:p>
      <w:pPr>
        <w:spacing w:line="271" w:before="240" w:lineRule="auto"/>
      </w:pPr>
      <w:bookmarkStart w:id="29" w:name="definition_4"/>
      <w:r>
        <w:rPr>
          <w:b/>
          <w:sz w:val="33"/>
        </w:rPr>
        <w:t xml:space="preserve">Definition</w:t>
      </w:r>
      <w:bookmarkEnd w:id="29"/>
    </w:p>
    <w:p>
      <w:pPr>
        <w:spacing w:after="210" w:lineRule="auto"/>
      </w:pPr>
      <w:r>
        <w:rPr>
          <w:b/>
        </w:rPr>
        <w:t xml:space="preserve">Security is enforced over time, not just at creation.</w:t>
      </w:r>
    </w:p>
    <w:p>
      <w:pPr>
        <w:spacing w:after="210" w:lineRule="auto"/>
      </w:pPr>
      <w:r>
        <w:rPr/>
        <w:t xml:space="preserve">Provisioning must be declarative and idempotent. Removal must be deterministic and eliminate all artifacts. Exposure must not persist beyond declared lifecycle without reauthorization. Extensions must inherit containment properties.</w:t>
      </w:r>
    </w:p>
    <w:p>
      <w:pPr>
        <w:spacing w:line="271" w:before="240" w:lineRule="auto"/>
      </w:pPr>
      <w:bookmarkStart w:id="30" w:name="core_principle_4"/>
      <w:r>
        <w:rPr>
          <w:b/>
          <w:sz w:val="33"/>
        </w:rPr>
        <w:t xml:space="preserve">Core Principle</w:t>
      </w:r>
      <w:bookmarkEnd w:id="30"/>
    </w:p>
    <w:p>
      <w:pPr>
        <w:spacing w:after="210" w:lineRule="auto"/>
      </w:pPr>
      <w:r>
        <w:rPr/>
        <w:t xml:space="preserve">Security failures accumulate over time. Provisioning receives engineering attention and operational rigor. Removal is often neglected, manual, or operationally risky.</w:t>
      </w:r>
    </w:p>
    <w:p>
      <w:pPr>
        <w:spacing w:after="210" w:lineRule="auto"/>
      </w:pPr>
      <w:r>
        <w:rPr/>
        <w:t xml:space="preserve">This lifecycle asymmetry drives exposure sprawl:</w:t>
      </w:r>
    </w:p>
    <w:p>
      <w:pPr>
        <w:numPr>
          <w:ilvl w:val="0"/>
          <w:numId w:val="9"/>
        </w:numPr>
        <w:spacing w:lineRule="auto"/>
      </w:pPr>
      <w:r>
        <w:rPr/>
        <w:t xml:space="preserve">Orphaned tunnels persist after vendor relationships end</w:t>
      </w:r>
    </w:p>
    <w:p>
      <w:pPr>
        <w:numPr>
          <w:ilvl w:val="0"/>
          <w:numId w:val="9"/>
        </w:numPr>
        <w:spacing w:lineRule="auto"/>
      </w:pPr>
      <w:r>
        <w:rPr/>
        <w:t xml:space="preserve">Firewall rules remain when integrations are "temporarily" disabled</w:t>
      </w:r>
    </w:p>
    <w:p>
      <w:pPr>
        <w:numPr>
          <w:ilvl w:val="0"/>
          <w:numId w:val="9"/>
        </w:numPr>
        <w:spacing w:lineRule="auto"/>
      </w:pPr>
      <w:r>
        <w:rPr/>
        <w:t xml:space="preserve">Stale route advertisements continue after migrations</w:t>
      </w:r>
    </w:p>
    <w:p>
      <w:pPr>
        <w:numPr>
          <w:ilvl w:val="0"/>
          <w:numId w:val="9"/>
        </w:numPr>
        <w:spacing w:lineRule="auto"/>
      </w:pPr>
      <w:r>
        <w:rPr/>
        <w:t xml:space="preserve">Dormant connections stay reachable because removal might break something</w:t>
      </w:r>
    </w:p>
    <w:p>
      <w:pPr>
        <w:spacing w:after="210" w:lineRule="auto"/>
      </w:pPr>
      <w:r>
        <w:rPr/>
        <w:t xml:space="preserve">Deterministic lifecycle governance treats reversibility as a security primitive. Provisioning and teardown must receive equal architectural rigor[18][19].</w:t>
      </w:r>
    </w:p>
    <w:p>
      <w:pPr>
        <w:spacing w:line="271" w:before="240" w:lineRule="auto"/>
      </w:pPr>
      <w:bookmarkStart w:id="31" w:name="why_this_matters_for_third_party_64c2b5"/>
      <w:r>
        <w:rPr>
          <w:b/>
          <w:sz w:val="33"/>
        </w:rPr>
        <w:t xml:space="preserve">Why This Matters for Third-Party Connectivity</w:t>
      </w:r>
      <w:bookmarkEnd w:id="31"/>
    </w:p>
    <w:p>
      <w:pPr>
        <w:spacing w:after="210" w:lineRule="auto"/>
      </w:pPr>
      <w:r>
        <w:rPr/>
        <w:t xml:space="preserve">Third-party relationships evolve:</w:t>
      </w:r>
    </w:p>
    <w:p>
      <w:pPr>
        <w:numPr>
          <w:ilvl w:val="0"/>
          <w:numId w:val="10"/>
        </w:numPr>
        <w:spacing w:lineRule="auto"/>
      </w:pPr>
      <w:r>
        <w:rPr/>
        <w:t xml:space="preserve">Vendors are onboarded and offboarded</w:t>
      </w:r>
    </w:p>
    <w:p>
      <w:pPr>
        <w:numPr>
          <w:ilvl w:val="0"/>
          <w:numId w:val="10"/>
        </w:numPr>
        <w:spacing w:lineRule="auto"/>
      </w:pPr>
      <w:r>
        <w:rPr/>
        <w:t xml:space="preserve">Projects complete and integrations sunset</w:t>
      </w:r>
    </w:p>
    <w:p>
      <w:pPr>
        <w:numPr>
          <w:ilvl w:val="0"/>
          <w:numId w:val="10"/>
        </w:numPr>
        <w:spacing w:lineRule="auto"/>
      </w:pPr>
      <w:r>
        <w:rPr/>
        <w:t xml:space="preserve">Contracts expire and are not renewed</w:t>
      </w:r>
    </w:p>
    <w:p>
      <w:pPr>
        <w:numPr>
          <w:ilvl w:val="0"/>
          <w:numId w:val="10"/>
        </w:numPr>
        <w:spacing w:lineRule="auto"/>
      </w:pPr>
      <w:r>
        <w:rPr/>
        <w:t xml:space="preserve">Scope changes require capability adjustments</w:t>
      </w:r>
    </w:p>
    <w:p>
      <w:pPr>
        <w:numPr>
          <w:ilvl w:val="0"/>
          <w:numId w:val="10"/>
        </w:numPr>
        <w:spacing w:lineRule="auto"/>
      </w:pPr>
      <w:r>
        <w:rPr/>
        <w:t xml:space="preserve">Incident response may require emergency revocation</w:t>
      </w:r>
    </w:p>
    <w:p>
      <w:pPr>
        <w:spacing w:after="210" w:lineRule="auto"/>
      </w:pPr>
      <w:r>
        <w:rPr/>
        <w:t xml:space="preserve">If removal is manual, error-prone, or incomplete, exposure accumulates. Long-lived integrations become too risky to modify. Security debt grows.</w:t>
      </w:r>
    </w:p>
    <w:p>
      <w:pPr>
        <w:spacing w:after="210" w:lineRule="auto"/>
      </w:pPr>
      <w:r>
        <w:rPr/>
        <w:t xml:space="preserve">Deterministic lifecycle governance ensures that every integration can be cleanly removed and that temporary access actually expires[20].</w:t>
      </w:r>
    </w:p>
    <w:p>
      <w:pPr>
        <w:spacing w:line="271" w:before="240" w:lineRule="auto"/>
      </w:pPr>
      <w:bookmarkStart w:id="32" w:name="invariants_4"/>
      <w:r>
        <w:rPr>
          <w:b/>
          <w:sz w:val="33"/>
        </w:rPr>
        <w:t xml:space="preserve">Invariants</w:t>
      </w:r>
      <w:bookmarkEnd w:id="32"/>
    </w:p>
    <w:p>
      <w:pPr>
        <w:spacing w:after="210" w:lineRule="auto"/>
      </w:pPr>
      <w:r>
        <w:rPr>
          <w:b/>
        </w:rPr>
        <w:t xml:space="preserve">Invariant 4.1</w:t>
      </w:r>
      <w:r>
        <w:rPr/>
        <w:t xml:space="preserve">: Provisioning must be idempotent. Repeated application of the same configuration must produce identical state.</w:t>
      </w:r>
    </w:p>
    <w:p>
      <w:pPr>
        <w:spacing w:after="210" w:lineRule="auto"/>
      </w:pPr>
      <w:r>
        <w:rPr>
          <w:b/>
        </w:rPr>
        <w:t xml:space="preserve">Invariant 4.2</w:t>
      </w:r>
      <w:r>
        <w:rPr/>
        <w:t xml:space="preserve">: Removal must eliminate all artifacts. Deleting a third-party integration must remove tunnels, routes, mediation proxies, identity constructs, and inspection hooks.</w:t>
      </w:r>
    </w:p>
    <w:p>
      <w:pPr>
        <w:spacing w:after="210" w:lineRule="auto"/>
      </w:pPr>
      <w:r>
        <w:rPr>
          <w:b/>
        </w:rPr>
        <w:t xml:space="preserve">Invariant 4.3</w:t>
      </w:r>
      <w:r>
        <w:rPr/>
        <w:t xml:space="preserve">: Exposure must not persist beyond declared lifecycle. Expired integrations must automatically suspend unless explicitly renewed.</w:t>
      </w:r>
    </w:p>
    <w:p>
      <w:pPr>
        <w:spacing w:after="210" w:lineRule="auto"/>
      </w:pPr>
      <w:r>
        <w:rPr>
          <w:b/>
        </w:rPr>
        <w:t xml:space="preserve">Invariant 4.4</w:t>
      </w:r>
      <w:r>
        <w:rPr/>
        <w:t xml:space="preserve">: Lifecycle state must be auditable. System state must be reconstructable from declarative configuration and audit logs.</w:t>
      </w:r>
    </w:p>
    <w:p>
      <w:pPr>
        <w:spacing w:after="210" w:lineRule="auto"/>
      </w:pPr>
      <w:r>
        <w:rPr>
          <w:b/>
        </w:rPr>
        <w:t xml:space="preserve">Invariant 4.5</w:t>
      </w:r>
      <w:r>
        <w:rPr/>
        <w:t xml:space="preserve">: Extensions (scope changes, duration extensions) must inherit the same containment, mediation, and identity properties as original provisioning.</w:t>
      </w:r>
    </w:p>
    <w:p>
      <w:pPr>
        <w:spacing w:line="271" w:before="240" w:lineRule="auto"/>
      </w:pPr>
      <w:bookmarkStart w:id="33" w:name="vendor_evaluation_questions_4"/>
      <w:r>
        <w:rPr>
          <w:b/>
          <w:sz w:val="33"/>
        </w:rPr>
        <w:t xml:space="preserve">Vendor Evaluation Questions</w:t>
      </w:r>
      <w:bookmarkEnd w:id="33"/>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third-party connectivity provisioned?</w:t>
            </w:r>
          </w:p>
        </w:tc>
        <w:tc>
          <w:tcPr>
            <w:tcBorders>
              <w:bottom w:val="single" w:sz="8" w:space="0" w:color="000000"/>
              <w:right w:val="single" w:sz="8" w:space="0" w:color="000000"/>
            </w:tcBorders>
            <w:vAlign w:val="top"/>
          </w:tcPr>
          <w:p>
            <w:pPr>
              <w:spacing w:lineRule="auto"/>
              <w:jc w:val="left"/>
            </w:pPr>
            <w:r>
              <w:rPr/>
              <w:t xml:space="preserve">Declarative configuration (IaC, YAML, API-driven) is superior to manual GUI workflows or CLI scripts.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artifacts are created during provisioning?</w:t>
            </w:r>
          </w:p>
        </w:tc>
        <w:tc>
          <w:tcPr>
            <w:tcBorders>
              <w:bottom w:val="single" w:sz="8" w:space="0" w:color="000000"/>
              <w:right w:val="single" w:sz="8" w:space="0" w:color="000000"/>
            </w:tcBorders>
            <w:vAlign w:val="top"/>
          </w:tcPr>
          <w:p>
            <w:pPr>
              <w:spacing w:lineRule="auto"/>
              <w:jc w:val="left"/>
            </w:pPr>
            <w:r>
              <w:rPr/>
              <w:t xml:space="preserve">Document tunnels, routes, firewall rules, proxy configs, certificates, logging hooks. All must be tracked.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removal performed?</w:t>
            </w:r>
          </w:p>
        </w:tc>
        <w:tc>
          <w:tcPr>
            <w:tcBorders>
              <w:bottom w:val="single" w:sz="8" w:space="0" w:color="000000"/>
              <w:right w:val="single" w:sz="8" w:space="0" w:color="000000"/>
            </w:tcBorders>
            <w:vAlign w:val="top"/>
          </w:tcPr>
          <w:p>
            <w:pPr>
              <w:spacing w:lineRule="auto"/>
              <w:jc w:val="left"/>
            </w:pPr>
            <w:r>
              <w:rPr/>
              <w:t xml:space="preserve">Automated teardown scripts or declarative deletion are required. Manual removal checklists are insufficient.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removal fails partially?</w:t>
            </w:r>
          </w:p>
        </w:tc>
        <w:tc>
          <w:tcPr>
            <w:tcBorders>
              <w:bottom w:val="single" w:sz="8" w:space="0" w:color="000000"/>
              <w:right w:val="single" w:sz="8" w:space="0" w:color="000000"/>
            </w:tcBorders>
            <w:vAlign w:val="top"/>
          </w:tcPr>
          <w:p>
            <w:pPr>
              <w:spacing w:lineRule="auto"/>
              <w:jc w:val="left"/>
            </w:pPr>
            <w:r>
              <w:rPr/>
              <w:t xml:space="preserve">Look for rollback mechanisms, failure detection, and remediation workflows. Partial removal creates residual exposure.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Does the solution support expiration?</w:t>
            </w:r>
          </w:p>
        </w:tc>
        <w:tc>
          <w:tcPr>
            <w:tcBorders>
              <w:bottom w:val="single" w:sz="8" w:space="0" w:color="000000"/>
              <w:right w:val="single" w:sz="8" w:space="0" w:color="000000"/>
            </w:tcBorders>
            <w:vAlign w:val="top"/>
          </w:tcPr>
          <w:p>
            <w:pPr>
              <w:spacing w:lineRule="auto"/>
              <w:jc w:val="left"/>
            </w:pPr>
            <w:r>
              <w:rPr/>
              <w:t xml:space="preserve">Time-bound access with automatic suspension is essential for temporary integrations.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you reconstruct current state from config?</w:t>
            </w:r>
          </w:p>
        </w:tc>
        <w:tc>
          <w:tcPr>
            <w:tcBorders>
              <w:bottom w:val="single" w:sz="8" w:space="0" w:color="000000"/>
              <w:right w:val="single" w:sz="8" w:space="0" w:color="000000"/>
            </w:tcBorders>
            <w:vAlign w:val="top"/>
          </w:tcPr>
          <w:p>
            <w:pPr>
              <w:spacing w:lineRule="auto"/>
              <w:jc w:val="left"/>
            </w:pPr>
            <w:r>
              <w:rPr/>
              <w:t xml:space="preserve">Drift detection and state reconciliation ensure configuration matches reality.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Are lifecycle transitions logged?</w:t>
            </w:r>
          </w:p>
        </w:tc>
        <w:tc>
          <w:tcPr>
            <w:tcBorders>
              <w:bottom w:val="single" w:sz="8" w:space="0" w:color="000000"/>
              <w:right w:val="single" w:sz="8" w:space="0" w:color="000000"/>
            </w:tcBorders>
            <w:vAlign w:val="top"/>
          </w:tcPr>
          <w:p>
            <w:pPr>
              <w:spacing w:lineRule="auto"/>
              <w:jc w:val="left"/>
            </w:pPr>
            <w:r>
              <w:rPr/>
              <w:t xml:space="preserve">Audit logs should capture provisioning, modification, suspension, and removal events with timestamps and actors.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during scope extensions?</w:t>
            </w:r>
          </w:p>
        </w:tc>
        <w:tc>
          <w:tcPr>
            <w:tcBorders>
              <w:bottom w:val="single" w:sz="8" w:space="0" w:color="000000"/>
              <w:right w:val="single" w:sz="8" w:space="0" w:color="000000"/>
            </w:tcBorders>
            <w:vAlign w:val="top"/>
          </w:tcPr>
          <w:p>
            <w:pPr>
              <w:spacing w:lineRule="auto"/>
              <w:jc w:val="left"/>
            </w:pPr>
            <w:r>
              <w:rPr/>
              <w:t xml:space="preserve">Verify that extended integrations maintain isolation, mediation, and identity requirements.</w:t>
            </w:r>
          </w:p>
        </w:tc>
      </w:tr>
    </w:tbl>
    <w:p>
      <w:pPr>
        <w:spacing w:lineRule="auto"/>
      </w:pPr>
    </w:p>
    <w:p>
      <w:pPr>
        <w:spacing w:lineRule="auto"/>
      </w:pPr>
      <w:r>
        <w:rPr/>
        <w:t xml:space="preserve">Table 4: Deterministic Lifecycle Governance Evaluation Criteria</w:t>
      </w:r>
    </w:p>
    <w:p>
      <w:pPr>
        <w:spacing w:line="271" w:before="240" w:lineRule="auto"/>
      </w:pPr>
      <w:bookmarkStart w:id="34" w:name="validation_test_4"/>
      <w:r>
        <w:rPr>
          <w:b/>
          <w:sz w:val="33"/>
        </w:rPr>
        <w:t xml:space="preserve">Validation Test</w:t>
      </w:r>
      <w:bookmarkEnd w:id="34"/>
    </w:p>
    <w:p>
      <w:pPr>
        <w:spacing w:after="210" w:lineRule="auto"/>
      </w:pPr>
      <w:r>
        <w:rPr>
          <w:b/>
        </w:rPr>
        <w:t xml:space="preserve">Test</w:t>
      </w:r>
      <w:r>
        <w:rPr/>
        <w:t xml:space="preserve">: Provision a third-party integration, document all created artifacts (network, identity, mediation), then execute removal.</w:t>
      </w:r>
    </w:p>
    <w:p>
      <w:pPr>
        <w:spacing w:after="210" w:lineRule="auto"/>
      </w:pPr>
      <w:r>
        <w:rPr>
          <w:b/>
        </w:rPr>
        <w:t xml:space="preserve">Expected Result</w:t>
      </w:r>
      <w:r>
        <w:rPr/>
        <w:t xml:space="preserve">: All documented artifacts must be eliminated. Re-provisioning the same integration should produce identical state. No residual routes, firewall rules, certificates, or proxy configurations should remain after removal.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using_this_framework_for_vendor_e_f93866"/>
      <w:r>
        <w:rPr>
          <w:b/>
          <w:sz w:val="42"/>
        </w:rPr>
        <w:t xml:space="preserve">Using This Framework for Vendor Evaluation</w:t>
      </w:r>
      <w:bookmarkEnd w:id="35"/>
    </w:p>
    <w:p>
      <w:pPr>
        <w:spacing w:line="271" w:before="240" w:lineRule="auto"/>
      </w:pPr>
      <w:bookmarkStart w:id="36" w:name="evaluation_process"/>
      <w:r>
        <w:rPr>
          <w:b/>
          <w:sz w:val="33"/>
        </w:rPr>
        <w:t xml:space="preserve">Evaluation Process</w:t>
      </w:r>
      <w:bookmarkEnd w:id="36"/>
    </w:p>
    <w:p>
      <w:pPr>
        <w:spacing w:after="210" w:lineRule="auto"/>
      </w:pPr>
      <w:r>
        <w:rPr/>
        <w:t xml:space="preserve">When assessing vendor solutions for third-party connectivity, apply these paradigms systematically:</w:t>
      </w:r>
    </w:p>
    <w:p>
      <w:pPr>
        <w:spacing w:line="271" w:before="240" w:lineRule="auto"/>
      </w:pPr>
      <w:bookmarkStart w:id="37" w:name="phase_1_discovery"/>
      <w:r>
        <w:rPr>
          <w:b/>
          <w:sz w:val="28"/>
        </w:rPr>
        <w:t xml:space="preserve">Phase 1: Discovery</w:t>
      </w:r>
      <w:bookmarkEnd w:id="37"/>
    </w:p>
    <w:p>
      <w:pPr>
        <w:numPr>
          <w:ilvl w:val="0"/>
          <w:numId w:val="11"/>
        </w:numPr>
        <w:spacing w:lineRule="auto"/>
      </w:pPr>
      <w:r>
        <w:rPr/>
        <w:t xml:space="preserve">Request architectural documentation from vendor</w:t>
      </w:r>
    </w:p>
    <w:p>
      <w:pPr>
        <w:numPr>
          <w:ilvl w:val="0"/>
          <w:numId w:val="11"/>
        </w:numPr>
        <w:spacing w:lineRule="auto"/>
      </w:pPr>
      <w:r>
        <w:rPr/>
        <w:t xml:space="preserve">Identify how isolation, mediation, identity, and lifecycle are implemented</w:t>
      </w:r>
    </w:p>
    <w:p>
      <w:pPr>
        <w:numPr>
          <w:ilvl w:val="0"/>
          <w:numId w:val="11"/>
        </w:numPr>
        <w:spacing w:lineRule="auto"/>
      </w:pPr>
      <w:r>
        <w:rPr/>
        <w:t xml:space="preserve">Map vendor architecture to the four paradigms</w:t>
      </w:r>
    </w:p>
    <w:p>
      <w:pPr>
        <w:spacing w:line="271" w:before="240" w:lineRule="auto"/>
      </w:pPr>
      <w:bookmarkStart w:id="38" w:name="phase_2_invariant_testing"/>
      <w:r>
        <w:rPr>
          <w:b/>
          <w:sz w:val="28"/>
        </w:rPr>
        <w:t xml:space="preserve">Phase 2: Invariant Testing</w:t>
      </w:r>
      <w:bookmarkEnd w:id="38"/>
    </w:p>
    <w:p>
      <w:pPr>
        <w:numPr>
          <w:ilvl w:val="0"/>
          <w:numId w:val="12"/>
        </w:numPr>
        <w:spacing w:lineRule="auto"/>
      </w:pPr>
      <w:r>
        <w:rPr/>
        <w:t xml:space="preserve">For each paradigm, test the stated invariants</w:t>
      </w:r>
    </w:p>
    <w:p>
      <w:pPr>
        <w:numPr>
          <w:ilvl w:val="0"/>
          <w:numId w:val="12"/>
        </w:numPr>
        <w:spacing w:lineRule="auto"/>
      </w:pPr>
      <w:r>
        <w:rPr/>
        <w:t xml:space="preserve">Use validation tests provided in this document</w:t>
      </w:r>
    </w:p>
    <w:p>
      <w:pPr>
        <w:numPr>
          <w:ilvl w:val="0"/>
          <w:numId w:val="12"/>
        </w:numPr>
        <w:spacing w:lineRule="auto"/>
      </w:pPr>
      <w:r>
        <w:rPr/>
        <w:t xml:space="preserve">Document which invariants are satisfied, partially satisfied, or violated</w:t>
      </w:r>
    </w:p>
    <w:p>
      <w:pPr>
        <w:spacing w:line="271" w:before="240" w:lineRule="auto"/>
      </w:pPr>
      <w:bookmarkStart w:id="39" w:name="phase_3_gap_analysis"/>
      <w:r>
        <w:rPr>
          <w:b/>
          <w:sz w:val="28"/>
        </w:rPr>
        <w:t xml:space="preserve">Phase 3: Gap Analysis</w:t>
      </w:r>
      <w:bookmarkEnd w:id="39"/>
    </w:p>
    <w:p>
      <w:pPr>
        <w:numPr>
          <w:ilvl w:val="0"/>
          <w:numId w:val="13"/>
        </w:numPr>
        <w:spacing w:lineRule="auto"/>
      </w:pPr>
      <w:r>
        <w:rPr/>
        <w:t xml:space="preserve">Identify paradigm gaps (which paradigms are not satisfied)</w:t>
      </w:r>
    </w:p>
    <w:p>
      <w:pPr>
        <w:numPr>
          <w:ilvl w:val="0"/>
          <w:numId w:val="13"/>
        </w:numPr>
        <w:spacing w:lineRule="auto"/>
      </w:pPr>
      <w:r>
        <w:rPr/>
        <w:t xml:space="preserve">Assess gap severity based on threat model and risk tolerance</w:t>
      </w:r>
    </w:p>
    <w:p>
      <w:pPr>
        <w:numPr>
          <w:ilvl w:val="0"/>
          <w:numId w:val="13"/>
        </w:numPr>
        <w:spacing w:lineRule="auto"/>
      </w:pPr>
      <w:r>
        <w:rPr/>
        <w:t xml:space="preserve">Determine if gaps can be mitigated through compensating controls or architectural supplements</w:t>
      </w:r>
    </w:p>
    <w:p>
      <w:pPr>
        <w:spacing w:line="271" w:before="240" w:lineRule="auto"/>
      </w:pPr>
      <w:bookmarkStart w:id="40" w:name="phase_4_scoring_and_decision"/>
      <w:r>
        <w:rPr>
          <w:b/>
          <w:sz w:val="28"/>
        </w:rPr>
        <w:t xml:space="preserve">Phase 4: Scoring and Decision</w:t>
      </w:r>
      <w:bookmarkEnd w:id="40"/>
    </w:p>
    <w:p>
      <w:pPr>
        <w:numPr>
          <w:ilvl w:val="0"/>
          <w:numId w:val="14"/>
        </w:numPr>
        <w:spacing w:lineRule="auto"/>
      </w:pPr>
      <w:r>
        <w:rPr/>
        <w:t xml:space="preserve">Weight paradigms according to organizational priorities</w:t>
      </w:r>
    </w:p>
    <w:p>
      <w:pPr>
        <w:numPr>
          <w:ilvl w:val="0"/>
          <w:numId w:val="14"/>
        </w:numPr>
        <w:spacing w:lineRule="auto"/>
      </w:pPr>
      <w:r>
        <w:rPr/>
        <w:t xml:space="preserve">Score vendor solutions against weighted criteria</w:t>
      </w:r>
    </w:p>
    <w:p>
      <w:pPr>
        <w:numPr>
          <w:ilvl w:val="0"/>
          <w:numId w:val="14"/>
        </w:numPr>
        <w:spacing w:lineRule="auto"/>
      </w:pPr>
      <w:r>
        <w:rPr/>
        <w:t xml:space="preserve">Compare solutions and select based on paradigm alignment</w:t>
      </w:r>
    </w:p>
    <w:p>
      <w:pPr>
        <w:spacing w:line="271" w:before="240" w:lineRule="auto"/>
      </w:pPr>
      <w:bookmarkStart w:id="41" w:name="scoring_template"/>
      <w:r>
        <w:rPr>
          <w:b/>
          <w:sz w:val="33"/>
        </w:rPr>
        <w:t xml:space="preserve">Scoring Template</w:t>
      </w:r>
      <w:bookmarkEnd w:id="41"/>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Paradigm</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Weight</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Score (0-10)</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Weighted Score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Structural Containment</w:t>
            </w:r>
          </w:p>
        </w:tc>
        <w:tc>
          <w:tcPr>
            <w:tcBorders>
              <w:bottom w:val="single" w:sz="8" w:space="0" w:color="000000"/>
              <w:right w:val="single" w:sz="8" w:space="0" w:color="000000"/>
            </w:tcBorders>
            <w:vAlign w:val="center"/>
          </w:tcPr>
          <w:p>
            <w:pPr>
              <w:spacing w:lineRule="auto"/>
              <w:jc w:val="center"/>
            </w:pPr>
            <w:r>
              <w:rPr/>
              <w:t xml:space="preserve">25%</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Mediated Capability Exposure</w:t>
            </w:r>
          </w:p>
        </w:tc>
        <w:tc>
          <w:tcPr>
            <w:tcBorders>
              <w:bottom w:val="single" w:sz="8" w:space="0" w:color="000000"/>
              <w:right w:val="single" w:sz="8" w:space="0" w:color="000000"/>
            </w:tcBorders>
            <w:vAlign w:val="center"/>
          </w:tcPr>
          <w:p>
            <w:pPr>
              <w:spacing w:lineRule="auto"/>
              <w:jc w:val="center"/>
            </w:pPr>
            <w:r>
              <w:rPr/>
              <w:t xml:space="preserve">30%</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Identity-Bound Authorization</w:t>
            </w:r>
          </w:p>
        </w:tc>
        <w:tc>
          <w:tcPr>
            <w:tcBorders>
              <w:bottom w:val="single" w:sz="8" w:space="0" w:color="000000"/>
              <w:right w:val="single" w:sz="8" w:space="0" w:color="000000"/>
            </w:tcBorders>
            <w:vAlign w:val="center"/>
          </w:tcPr>
          <w:p>
            <w:pPr>
              <w:spacing w:lineRule="auto"/>
              <w:jc w:val="center"/>
            </w:pPr>
            <w:r>
              <w:rPr/>
              <w:t xml:space="preserve">25%</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Deterministic Lifecycle Governance</w:t>
            </w:r>
          </w:p>
        </w:tc>
        <w:tc>
          <w:tcPr>
            <w:tcBorders>
              <w:bottom w:val="single" w:sz="8" w:space="0" w:color="000000"/>
              <w:right w:val="single" w:sz="8" w:space="0" w:color="000000"/>
            </w:tcBorders>
            <w:vAlign w:val="center"/>
          </w:tcPr>
          <w:p>
            <w:pPr>
              <w:spacing w:lineRule="auto"/>
              <w:jc w:val="center"/>
            </w:pPr>
            <w:r>
              <w:rPr/>
              <w:t xml:space="preserve">20%</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w:t>
            </w:r>
          </w:p>
        </w:tc>
        <w:tc>
          <w:tcPr>
            <w:tcBorders>
              <w:bottom w:val="single" w:sz="8" w:space="0" w:color="000000"/>
              <w:right w:val="single" w:sz="8" w:space="0" w:color="000000"/>
            </w:tcBorders>
            <w:vAlign w:val="center"/>
          </w:tcPr>
          <w:p>
            <w:pPr>
              <w:spacing w:lineRule="auto"/>
              <w:jc w:val="center"/>
            </w:pPr>
            <w:r>
              <w:rPr>
                <w:b/>
              </w:rPr>
              <w:t xml:space="preserve">100%</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t xml:space="preserve">Table 5: Vendor Solution Scoring Template</w:t>
      </w:r>
    </w:p>
    <w:p>
      <w:pPr>
        <w:spacing w:after="210" w:lineRule="auto"/>
      </w:pPr>
      <w:r>
        <w:rPr>
          <w:b/>
        </w:rPr>
        <w:t xml:space="preserve">Scoring Guidance:</w:t>
      </w:r>
    </w:p>
    <w:p>
      <w:pPr>
        <w:numPr>
          <w:ilvl w:val="0"/>
          <w:numId w:val="15"/>
        </w:numPr>
        <w:spacing w:lineRule="auto"/>
      </w:pPr>
      <w:r>
        <w:rPr>
          <w:b/>
        </w:rPr>
        <w:t xml:space="preserve">0-3</w:t>
      </w:r>
      <w:r>
        <w:rPr/>
        <w:t xml:space="preserve">: Paradigm not satisfied; significant architectural gaps exist</w:t>
      </w:r>
    </w:p>
    <w:p>
      <w:pPr>
        <w:numPr>
          <w:ilvl w:val="0"/>
          <w:numId w:val="15"/>
        </w:numPr>
        <w:spacing w:lineRule="auto"/>
      </w:pPr>
      <w:r>
        <w:rPr>
          <w:b/>
        </w:rPr>
        <w:t xml:space="preserve">4-6</w:t>
      </w:r>
      <w:r>
        <w:rPr/>
        <w:t xml:space="preserve">: Partial satisfaction; some invariants met, others require compensating controls</w:t>
      </w:r>
    </w:p>
    <w:p>
      <w:pPr>
        <w:numPr>
          <w:ilvl w:val="0"/>
          <w:numId w:val="15"/>
        </w:numPr>
        <w:spacing w:lineRule="auto"/>
      </w:pPr>
      <w:r>
        <w:rPr>
          <w:b/>
        </w:rPr>
        <w:t xml:space="preserve">7-9</w:t>
      </w:r>
      <w:r>
        <w:rPr/>
        <w:t xml:space="preserve">: Strong satisfaction; most invariants met with minor exceptions</w:t>
      </w:r>
    </w:p>
    <w:p>
      <w:pPr>
        <w:numPr>
          <w:ilvl w:val="0"/>
          <w:numId w:val="15"/>
        </w:numPr>
        <w:spacing w:lineRule="auto"/>
      </w:pPr>
      <w:r>
        <w:rPr>
          <w:b/>
        </w:rPr>
        <w:t xml:space="preserve">10</w:t>
      </w:r>
      <w:r>
        <w:rPr/>
        <w:t xml:space="preserve">: Complete satisfaction; all invariants met and validated</w:t>
      </w:r>
    </w:p>
    <w:p>
      <w:pPr>
        <w:spacing w:line="271" w:before="240" w:lineRule="auto"/>
      </w:pPr>
      <w:bookmarkStart w:id="42" w:name="common_vendor_response_patterns"/>
      <w:r>
        <w:rPr>
          <w:b/>
          <w:sz w:val="33"/>
        </w:rPr>
        <w:t xml:space="preserve">Common Vendor Response Patterns</w:t>
      </w:r>
      <w:bookmarkEnd w:id="42"/>
    </w:p>
    <w:p>
      <w:pPr>
        <w:spacing w:after="210" w:lineRule="auto"/>
      </w:pPr>
      <w:r>
        <w:rPr/>
        <w:t xml:space="preserve">When evaluating vendor responses, be alert to these patterns:</w:t>
      </w:r>
    </w:p>
    <w:p>
      <w:pPr>
        <w:spacing w:after="210" w:lineRule="auto"/>
      </w:pPr>
      <w:r>
        <w:rPr>
          <w:b/>
        </w:rPr>
        <w:t xml:space="preserve">Pattern 1: Policy Substitution</w:t>
      </w:r>
    </w:p>
    <w:p>
      <w:pPr>
        <w:spacing w:after="210" w:lineRule="auto"/>
      </w:pPr>
      <w:r>
        <w:rPr/>
        <w:t xml:space="preserve">Vendor claims isolation through firewall rules rather than structural separation. This satisfies policy layering but not Structural Containment.</w:t>
      </w:r>
    </w:p>
    <w:p>
      <w:pPr>
        <w:spacing w:after="210" w:lineRule="auto"/>
      </w:pPr>
      <w:r>
        <w:rPr>
          <w:b/>
        </w:rPr>
        <w:t xml:space="preserve">Pattern 2: Encryption as Capability Control</w:t>
      </w:r>
    </w:p>
    <w:p>
      <w:pPr>
        <w:spacing w:after="210" w:lineRule="auto"/>
      </w:pPr>
      <w:r>
        <w:rPr/>
        <w:t xml:space="preserve">Vendor emphasizes VPN or TLS encryption but still grants subnet-level reachability. This addresses confidentiality but not Mediated Capability Exposure.</w:t>
      </w:r>
    </w:p>
    <w:p>
      <w:pPr>
        <w:spacing w:after="210" w:lineRule="auto"/>
      </w:pPr>
      <w:r>
        <w:rPr>
          <w:b/>
        </w:rPr>
        <w:t xml:space="preserve">Pattern 3: IP-Based Identity</w:t>
      </w:r>
    </w:p>
    <w:p>
      <w:pPr>
        <w:spacing w:after="210" w:lineRule="auto"/>
      </w:pPr>
      <w:r>
        <w:rPr/>
        <w:t xml:space="preserve">Vendor uses source IP allow-lists as authentication mechanism. This fails Identity-Bound Authorization requirements.</w:t>
      </w:r>
    </w:p>
    <w:p>
      <w:pPr>
        <w:spacing w:after="210" w:lineRule="auto"/>
      </w:pPr>
      <w:r>
        <w:rPr>
          <w:b/>
        </w:rPr>
        <w:t xml:space="preserve">Pattern 4: Manual Teardown Procedures</w:t>
      </w:r>
    </w:p>
    <w:p>
      <w:pPr>
        <w:spacing w:after="210" w:lineRule="auto"/>
      </w:pPr>
      <w:r>
        <w:rPr/>
        <w:t xml:space="preserve">Vendor provides documentation for removal but no automated, deterministic teardown. This fails Deterministic Lifecycle Governance.</w:t>
      </w:r>
    </w:p>
    <w:p>
      <w:pPr>
        <w:spacing w:line="271" w:before="240" w:lineRule="auto"/>
      </w:pPr>
      <w:bookmarkStart w:id="43" w:name="red_flags"/>
      <w:r>
        <w:rPr>
          <w:b/>
          <w:sz w:val="33"/>
        </w:rPr>
        <w:t xml:space="preserve">Red Flags</w:t>
      </w:r>
      <w:bookmarkEnd w:id="43"/>
    </w:p>
    <w:p>
      <w:pPr>
        <w:spacing w:after="210" w:lineRule="auto"/>
      </w:pPr>
      <w:r>
        <w:rPr/>
        <w:t xml:space="preserve">Immediate disqualifiers during vendor evaluation:</w:t>
      </w:r>
    </w:p>
    <w:p>
      <w:pPr>
        <w:numPr>
          <w:ilvl w:val="0"/>
          <w:numId w:val="16"/>
        </w:numPr>
        <w:spacing w:lineRule="auto"/>
      </w:pPr>
      <w:r>
        <w:rPr/>
        <w:t xml:space="preserve">Direct subnet routing from third parties to internal networks</w:t>
      </w:r>
    </w:p>
    <w:p>
      <w:pPr>
        <w:numPr>
          <w:ilvl w:val="0"/>
          <w:numId w:val="16"/>
        </w:numPr>
        <w:spacing w:lineRule="auto"/>
      </w:pPr>
      <w:r>
        <w:rPr/>
        <w:t xml:space="preserve">Shared routing or forwarding domains across third parties</w:t>
      </w:r>
    </w:p>
    <w:p>
      <w:pPr>
        <w:numPr>
          <w:ilvl w:val="0"/>
          <w:numId w:val="16"/>
        </w:numPr>
        <w:spacing w:lineRule="auto"/>
      </w:pPr>
      <w:r>
        <w:rPr/>
        <w:t xml:space="preserve">IP address as sole authentication mechanism</w:t>
      </w:r>
    </w:p>
    <w:p>
      <w:pPr>
        <w:numPr>
          <w:ilvl w:val="0"/>
          <w:numId w:val="16"/>
        </w:numPr>
        <w:spacing w:lineRule="auto"/>
      </w:pPr>
      <w:r>
        <w:rPr/>
        <w:t xml:space="preserve">No automated removal capability</w:t>
      </w:r>
    </w:p>
    <w:p>
      <w:pPr>
        <w:numPr>
          <w:ilvl w:val="0"/>
          <w:numId w:val="16"/>
        </w:numPr>
        <w:spacing w:lineRule="auto"/>
      </w:pPr>
      <w:r>
        <w:rPr/>
        <w:t xml:space="preserve">Inability to revoke access without network topology changes</w:t>
      </w:r>
    </w:p>
    <w:p>
      <w:pPr>
        <w:numPr>
          <w:ilvl w:val="0"/>
          <w:numId w:val="16"/>
        </w:numPr>
        <w:spacing w:lineRule="auto"/>
      </w:pPr>
      <w:r>
        <w:rPr/>
        <w:t xml:space="preserve">Residual artifacts after documented removal procedures</w:t>
      </w:r>
    </w:p>
    <w:p>
      <w:pPr>
        <w:numPr>
          <w:ilvl w:val="0"/>
          <w:numId w:val="16"/>
        </w:numPr>
        <w:spacing w:lineRule="auto"/>
      </w:pPr>
      <w:r>
        <w:rPr/>
        <w:t xml:space="preserve">Lack of audit logging for lifecycle events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alignment_with_industry_frameworks"/>
      <w:r>
        <w:rPr>
          <w:b/>
          <w:sz w:val="42"/>
        </w:rPr>
        <w:t xml:space="preserve">Alignment with Industry Frameworks</w:t>
      </w:r>
      <w:bookmarkEnd w:id="44"/>
    </w:p>
    <w:p>
      <w:pPr>
        <w:spacing w:after="210" w:lineRule="auto"/>
      </w:pPr>
      <w:r>
        <w:rPr/>
        <w:t xml:space="preserve">These paradigms align with established security frameworks and standards while providing more specific, testable criteria:</w:t>
      </w:r>
    </w:p>
    <w:p>
      <w:pPr>
        <w:spacing w:line="271" w:before="240" w:lineRule="auto"/>
      </w:pPr>
      <w:bookmarkStart w:id="45" w:name="zero_trust_architecture_nist_sp_800_207"/>
      <w:r>
        <w:rPr>
          <w:b/>
          <w:sz w:val="33"/>
        </w:rPr>
        <w:t xml:space="preserve">Zero Trust Architecture (NIST SP 800-207)</w:t>
      </w:r>
      <w:bookmarkEnd w:id="45"/>
    </w:p>
    <w:p>
      <w:pPr>
        <w:numPr>
          <w:ilvl w:val="0"/>
          <w:numId w:val="17"/>
        </w:numPr>
        <w:spacing w:lineRule="auto"/>
      </w:pPr>
      <w:r>
        <w:rPr>
          <w:b/>
        </w:rPr>
        <w:t xml:space="preserve">Structural Containment</w:t>
      </w:r>
      <w:r>
        <w:rPr/>
        <w:t xml:space="preserve"> implements zero trust's "assume breach" and "least privilege network access" principles through topology rather than policy[5]</w:t>
      </w:r>
    </w:p>
    <w:p>
      <w:pPr>
        <w:numPr>
          <w:ilvl w:val="0"/>
          <w:numId w:val="17"/>
        </w:numPr>
        <w:spacing w:lineRule="auto"/>
      </w:pPr>
      <w:r>
        <w:rPr>
          <w:b/>
        </w:rPr>
        <w:t xml:space="preserve">Mediated Capability Exposure</w:t>
      </w:r>
      <w:r>
        <w:rPr/>
        <w:t xml:space="preserve"> realizes "verify explicitly" and "minimize blast radius" by replacing network adjacency with capability adjacency[6]</w:t>
      </w:r>
    </w:p>
    <w:p>
      <w:pPr>
        <w:numPr>
          <w:ilvl w:val="0"/>
          <w:numId w:val="17"/>
        </w:numPr>
        <w:spacing w:lineRule="auto"/>
      </w:pPr>
      <w:r>
        <w:rPr>
          <w:b/>
        </w:rPr>
        <w:t xml:space="preserve">Identity-Bound Authorization</w:t>
      </w:r>
      <w:r>
        <w:rPr/>
        <w:t xml:space="preserve"> directly implements "never trust, always verify" through cryptographic identity validation[15]</w:t>
      </w:r>
    </w:p>
    <w:p>
      <w:pPr>
        <w:numPr>
          <w:ilvl w:val="0"/>
          <w:numId w:val="17"/>
        </w:numPr>
        <w:spacing w:lineRule="auto"/>
      </w:pPr>
      <w:r>
        <w:rPr>
          <w:b/>
        </w:rPr>
        <w:t xml:space="preserve">Deterministic Lifecycle Governance</w:t>
      </w:r>
      <w:r>
        <w:rPr/>
        <w:t xml:space="preserve"> supports "continuous monitoring and validation" through auditable, reversible state management[18]</w:t>
      </w:r>
    </w:p>
    <w:p>
      <w:pPr>
        <w:spacing w:line="271" w:before="240" w:lineRule="auto"/>
      </w:pPr>
      <w:bookmarkStart w:id="46" w:name="defense_in_depth"/>
      <w:r>
        <w:rPr>
          <w:b/>
          <w:sz w:val="33"/>
        </w:rPr>
        <w:t xml:space="preserve">Defense in Depth</w:t>
      </w:r>
      <w:bookmarkEnd w:id="46"/>
    </w:p>
    <w:p>
      <w:pPr>
        <w:spacing w:after="210" w:lineRule="auto"/>
      </w:pPr>
      <w:r>
        <w:rPr/>
        <w:t xml:space="preserve">These paradigms do not replace defense in depth but rather establish structural foundations that make layered security more effective and maintainable.</w:t>
      </w:r>
    </w:p>
    <w:p>
      <w:pPr>
        <w:spacing w:line="271" w:before="240" w:lineRule="auto"/>
      </w:pPr>
      <w:bookmarkStart w:id="47" w:name="vendor_risk_management"/>
      <w:r>
        <w:rPr>
          <w:b/>
          <w:sz w:val="33"/>
        </w:rPr>
        <w:t xml:space="preserve">Vendor Risk Management</w:t>
      </w:r>
      <w:bookmarkEnd w:id="47"/>
    </w:p>
    <w:p>
      <w:pPr>
        <w:spacing w:after="210" w:lineRule="auto"/>
      </w:pPr>
      <w:r>
        <w:rPr/>
        <w:t xml:space="preserve">Standard vendor risk assessment frameworks focus on vendor security posture (certifications, audits, questionnaires). These paradigms focus on the architectural properties of the connectivity solution itself[1][2].</w:t>
      </w:r>
    </w:p>
    <w:p>
      <w:pPr>
        <w:spacing w:after="210" w:lineRule="auto"/>
      </w:pPr>
      <w:r>
        <w:rPr/>
        <w:t xml:space="preserve">Both are necessary: vendor assessment evaluates the third party's security practices; paradigm evaluation assesses how the connectivity architecture manages exposure.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conclusion"/>
      <w:r>
        <w:rPr>
          <w:b/>
          <w:sz w:val="42"/>
        </w:rPr>
        <w:t xml:space="preserve">Conclusion</w:t>
      </w:r>
      <w:bookmarkEnd w:id="48"/>
    </w:p>
    <w:p>
      <w:pPr>
        <w:spacing w:after="210" w:lineRule="auto"/>
      </w:pPr>
      <w:r>
        <w:rPr>
          <w:rFonts w:eastAsia="Georgia" w:cs="Georgia" w:ascii="Georgia" w:hAnsi="Georgia"/>
        </w:rPr>
        <w:t xml:space="preserve">Third-party connectivity to enterprise systems requires architectural security properties that extend beyond encryption, authentication, and firewall rules. The four paradigms in this framework—Structural Containment, Mediated Capability Exposure, Identity-Bound Authorization, and Deterministic Lifecycle Governance—provide objective, testable criteria for evaluating vendor solutions.</w:t>
      </w:r>
    </w:p>
    <w:p>
      <w:pPr>
        <w:spacing w:after="210" w:lineRule="auto"/>
      </w:pPr>
      <w:r>
        <w:rPr/>
        <w:t xml:space="preserve">When assessing vendor proposals:</w:t>
      </w:r>
    </w:p>
    <w:p>
      <w:pPr>
        <w:numPr>
          <w:ilvl w:val="0"/>
          <w:numId w:val="18"/>
        </w:numPr>
        <w:spacing w:lineRule="auto"/>
      </w:pPr>
      <w:r>
        <w:rPr/>
        <w:t xml:space="preserve">Map vendor architecture to these paradigms</w:t>
      </w:r>
    </w:p>
    <w:p>
      <w:pPr>
        <w:numPr>
          <w:ilvl w:val="0"/>
          <w:numId w:val="18"/>
        </w:numPr>
        <w:spacing w:lineRule="auto"/>
      </w:pPr>
      <w:r>
        <w:rPr/>
        <w:t xml:space="preserve">Test the stated invariants for each paradigm</w:t>
      </w:r>
    </w:p>
    <w:p>
      <w:pPr>
        <w:numPr>
          <w:ilvl w:val="0"/>
          <w:numId w:val="18"/>
        </w:numPr>
        <w:spacing w:lineRule="auto"/>
      </w:pPr>
      <w:r>
        <w:rPr/>
        <w:t xml:space="preserve">Identify gaps and assess whether compensating controls are viable</w:t>
      </w:r>
    </w:p>
    <w:p>
      <w:pPr>
        <w:numPr>
          <w:ilvl w:val="0"/>
          <w:numId w:val="18"/>
        </w:numPr>
        <w:spacing w:lineRule="auto"/>
      </w:pPr>
      <w:r>
        <w:rPr/>
        <w:t xml:space="preserve">Score solutions systematically against weighted criteria</w:t>
      </w:r>
    </w:p>
    <w:p>
      <w:pPr>
        <w:spacing w:after="210" w:lineRule="auto"/>
      </w:pPr>
      <w:r>
        <w:rPr/>
        <w:t xml:space="preserve">Solutions that satisfy all four paradigms provide structural security properties that scale with integration complexity and survive operational variability. Solutions that satisfy only some paradigms may be acceptable depending on threat model, risk tolerance, and availability of compensating controls.</w:t>
      </w:r>
    </w:p>
    <w:p>
      <w:pPr>
        <w:spacing w:after="210" w:lineRule="auto"/>
      </w:pPr>
      <w:r>
        <w:rPr/>
        <w:t xml:space="preserve">This framework does not prescribe specific technologies or vendor products. It establishes architectural principles that any secure third-party connectivity solution should demonstrate, regardless of implementation approach.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appendix_a_quick_reference_checklist"/>
      <w:r>
        <w:rPr>
          <w:b/>
          <w:sz w:val="42"/>
        </w:rPr>
        <w:t xml:space="preserve">Appendix A: Quick Reference Checklist</w:t>
      </w:r>
      <w:bookmarkEnd w:id="49"/>
    </w:p>
    <w:p>
      <w:pPr>
        <w:spacing w:after="210" w:lineRule="auto"/>
      </w:pPr>
      <w:r>
        <w:rPr/>
        <w:t xml:space="preserve">Use this checklist during vendor demonstrations and RFP evaluation:</w:t>
      </w:r>
    </w:p>
    <w:p>
      <w:pPr>
        <w:spacing w:line="271" w:before="240" w:lineRule="auto"/>
      </w:pPr>
      <w:bookmarkStart w:id="50" w:name="structural_containment"/>
      <w:r>
        <w:rPr>
          <w:b/>
          <w:sz w:val="33"/>
        </w:rPr>
        <w:t xml:space="preserve">Structural Containment</w:t>
      </w:r>
      <w:bookmarkEnd w:id="50"/>
    </w:p>
    <w:p>
      <w:pPr>
        <w:numPr>
          <w:ilvl w:val="0"/>
          <w:numId w:val="20"/>
        </w:numPr>
        <w:spacing w:lineRule="auto"/>
      </w:pPr>
      <w:r>
        <w:rPr/>
        <w:t xml:space="preserve">Each third party operates in dedicated routing domain</w:t>
      </w:r>
    </w:p>
    <w:p>
      <w:pPr>
        <w:numPr>
          <w:ilvl w:val="0"/>
          <w:numId w:val="21"/>
        </w:numPr>
        <w:spacing w:lineRule="auto"/>
      </w:pPr>
      <w:r>
        <w:rPr/>
        <w:t xml:space="preserve">No shared forwarding planes or adjacency domains</w:t>
      </w:r>
    </w:p>
    <w:p>
      <w:pPr>
        <w:numPr>
          <w:ilvl w:val="0"/>
          <w:numId w:val="22"/>
        </w:numPr>
        <w:spacing w:lineRule="auto"/>
      </w:pPr>
      <w:r>
        <w:rPr/>
        <w:t xml:space="preserve">Removing mediation eliminates reachability</w:t>
      </w:r>
    </w:p>
    <w:p>
      <w:pPr>
        <w:numPr>
          <w:ilvl w:val="0"/>
          <w:numId w:val="23"/>
        </w:numPr>
        <w:spacing w:lineRule="auto"/>
      </w:pPr>
      <w:r>
        <w:rPr/>
        <w:t xml:space="preserve">Route leakage is structurally prevented</w:t>
      </w:r>
    </w:p>
    <w:p>
      <w:pPr>
        <w:numPr>
          <w:ilvl w:val="0"/>
          <w:numId w:val="24"/>
        </w:numPr>
        <w:spacing w:lineRule="auto"/>
      </w:pPr>
      <w:r>
        <w:rPr/>
        <w:t xml:space="preserve">One third party's misconfiguration cannot affect another</w:t>
      </w:r>
    </w:p>
    <w:p>
      <w:pPr>
        <w:spacing w:line="271" w:before="240" w:lineRule="auto"/>
      </w:pPr>
      <w:bookmarkStart w:id="51" w:name="mediated_capability_exposure"/>
      <w:r>
        <w:rPr>
          <w:b/>
          <w:sz w:val="33"/>
        </w:rPr>
        <w:t xml:space="preserve">Mediated Capability Exposure</w:t>
      </w:r>
      <w:bookmarkEnd w:id="51"/>
    </w:p>
    <w:p>
      <w:pPr>
        <w:numPr>
          <w:ilvl w:val="0"/>
          <w:numId w:val="26"/>
        </w:numPr>
        <w:spacing w:lineRule="auto"/>
      </w:pPr>
      <w:r>
        <w:rPr/>
        <w:t xml:space="preserve">No direct subnet routing to internal networks</w:t>
      </w:r>
    </w:p>
    <w:p>
      <w:pPr>
        <w:numPr>
          <w:ilvl w:val="0"/>
          <w:numId w:val="27"/>
        </w:numPr>
        <w:spacing w:lineRule="auto"/>
      </w:pPr>
      <w:r>
        <w:rPr/>
        <w:t xml:space="preserve">All flows traverse enforcement constructs</w:t>
      </w:r>
    </w:p>
    <w:p>
      <w:pPr>
        <w:numPr>
          <w:ilvl w:val="0"/>
          <w:numId w:val="28"/>
        </w:numPr>
        <w:spacing w:lineRule="auto"/>
      </w:pPr>
      <w:r>
        <w:rPr/>
        <w:t xml:space="preserve">Destination scope uses explicit allow-lists</w:t>
      </w:r>
    </w:p>
    <w:p>
      <w:pPr>
        <w:numPr>
          <w:ilvl w:val="0"/>
          <w:numId w:val="29"/>
        </w:numPr>
        <w:spacing w:lineRule="auto"/>
      </w:pPr>
      <w:r>
        <w:rPr/>
        <w:t xml:space="preserve">Directionality is architecturally constrained</w:t>
      </w:r>
    </w:p>
    <w:p>
      <w:pPr>
        <w:numPr>
          <w:ilvl w:val="0"/>
          <w:numId w:val="30"/>
        </w:numPr>
        <w:spacing w:lineRule="auto"/>
      </w:pPr>
      <w:r>
        <w:rPr/>
        <w:t xml:space="preserve">Protocol semantics are enforced (L7 where applicable)</w:t>
      </w:r>
    </w:p>
    <w:p>
      <w:pPr>
        <w:numPr>
          <w:ilvl w:val="0"/>
          <w:numId w:val="31"/>
        </w:numPr>
        <w:spacing w:lineRule="auto"/>
      </w:pPr>
      <w:r>
        <w:rPr/>
        <w:t xml:space="preserve">Bypassing mediation eliminates capability access</w:t>
      </w:r>
    </w:p>
    <w:p>
      <w:pPr>
        <w:spacing w:line="271" w:before="240" w:lineRule="auto"/>
      </w:pPr>
      <w:bookmarkStart w:id="52" w:name="identity_bound_authorization"/>
      <w:r>
        <w:rPr>
          <w:b/>
          <w:sz w:val="33"/>
        </w:rPr>
        <w:t xml:space="preserve">Identity-Bound Authorization</w:t>
      </w:r>
      <w:bookmarkEnd w:id="52"/>
    </w:p>
    <w:p>
      <w:pPr>
        <w:numPr>
          <w:ilvl w:val="0"/>
          <w:numId w:val="33"/>
        </w:numPr>
        <w:spacing w:lineRule="auto"/>
      </w:pPr>
      <w:r>
        <w:rPr/>
        <w:t xml:space="preserve">Cryptographic identity validation required</w:t>
      </w:r>
    </w:p>
    <w:p>
      <w:pPr>
        <w:numPr>
          <w:ilvl w:val="0"/>
          <w:numId w:val="34"/>
        </w:numPr>
        <w:spacing w:lineRule="auto"/>
      </w:pPr>
      <w:r>
        <w:rPr/>
        <w:t xml:space="preserve">Identity is tenant-scoped</w:t>
      </w:r>
    </w:p>
    <w:p>
      <w:pPr>
        <w:numPr>
          <w:ilvl w:val="0"/>
          <w:numId w:val="35"/>
        </w:numPr>
        <w:spacing w:lineRule="auto"/>
      </w:pPr>
      <w:r>
        <w:rPr/>
        <w:t xml:space="preserve">Network access without valid identity is blocked</w:t>
      </w:r>
    </w:p>
    <w:p>
      <w:pPr>
        <w:numPr>
          <w:ilvl w:val="0"/>
          <w:numId w:val="36"/>
        </w:numPr>
        <w:spacing w:lineRule="auto"/>
      </w:pPr>
      <w:r>
        <w:rPr/>
        <w:t xml:space="preserve">Revocation is independent of routing changes</w:t>
      </w:r>
    </w:p>
    <w:p>
      <w:pPr>
        <w:numPr>
          <w:ilvl w:val="0"/>
          <w:numId w:val="37"/>
        </w:numPr>
        <w:spacing w:lineRule="auto"/>
      </w:pPr>
      <w:r>
        <w:rPr/>
        <w:t xml:space="preserve">Authorization decisions bind to subject identity</w:t>
      </w:r>
    </w:p>
    <w:p>
      <w:pPr>
        <w:numPr>
          <w:ilvl w:val="0"/>
          <w:numId w:val="38"/>
        </w:numPr>
        <w:spacing w:lineRule="auto"/>
      </w:pPr>
      <w:r>
        <w:rPr/>
        <w:t xml:space="preserve">Audit logs capture subject identity, not just source IP</w:t>
      </w:r>
    </w:p>
    <w:p>
      <w:pPr>
        <w:spacing w:line="271" w:before="240" w:lineRule="auto"/>
      </w:pPr>
      <w:bookmarkStart w:id="53" w:name="deterministic_lifecycle_governance"/>
      <w:r>
        <w:rPr>
          <w:b/>
          <w:sz w:val="33"/>
        </w:rPr>
        <w:t xml:space="preserve">Deterministic Lifecycle Governance</w:t>
      </w:r>
      <w:bookmarkEnd w:id="53"/>
    </w:p>
    <w:p>
      <w:pPr>
        <w:numPr>
          <w:ilvl w:val="0"/>
          <w:numId w:val="40"/>
        </w:numPr>
        <w:spacing w:lineRule="auto"/>
      </w:pPr>
      <w:r>
        <w:rPr/>
        <w:t xml:space="preserve">Provisioning is declarative and idempotent</w:t>
      </w:r>
    </w:p>
    <w:p>
      <w:pPr>
        <w:numPr>
          <w:ilvl w:val="0"/>
          <w:numId w:val="41"/>
        </w:numPr>
        <w:spacing w:lineRule="auto"/>
      </w:pPr>
      <w:r>
        <w:rPr/>
        <w:t xml:space="preserve">Removal is automated and deterministic</w:t>
      </w:r>
    </w:p>
    <w:p>
      <w:pPr>
        <w:numPr>
          <w:ilvl w:val="0"/>
          <w:numId w:val="42"/>
        </w:numPr>
        <w:spacing w:lineRule="auto"/>
      </w:pPr>
      <w:r>
        <w:rPr/>
        <w:t xml:space="preserve">All artifacts eliminated upon removal</w:t>
      </w:r>
    </w:p>
    <w:p>
      <w:pPr>
        <w:numPr>
          <w:ilvl w:val="0"/>
          <w:numId w:val="43"/>
        </w:numPr>
        <w:spacing w:lineRule="auto"/>
      </w:pPr>
      <w:r>
        <w:rPr/>
        <w:t xml:space="preserve">Expiration is enforced for time-bound access</w:t>
      </w:r>
    </w:p>
    <w:p>
      <w:pPr>
        <w:numPr>
          <w:ilvl w:val="0"/>
          <w:numId w:val="44"/>
        </w:numPr>
        <w:spacing w:lineRule="auto"/>
      </w:pPr>
      <w:r>
        <w:rPr/>
        <w:t xml:space="preserve">Lifecycle state is auditable and reconstructable</w:t>
      </w:r>
    </w:p>
    <w:p>
      <w:pPr>
        <w:numPr>
          <w:ilvl w:val="0"/>
          <w:numId w:val="45"/>
        </w:numPr>
        <w:spacing w:lineRule="auto"/>
      </w:pPr>
      <w:r>
        <w:rPr/>
        <w:t xml:space="preserve">Extensions inherit security properties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appendix_b_sample_rfp_language"/>
      <w:r>
        <w:rPr>
          <w:b/>
          <w:sz w:val="42"/>
        </w:rPr>
        <w:t xml:space="preserve">Appendix B: Sample RFP Language</w:t>
      </w:r>
      <w:bookmarkEnd w:id="54"/>
    </w:p>
    <w:p>
      <w:pPr>
        <w:spacing w:after="210" w:lineRule="auto"/>
      </w:pPr>
      <w:r>
        <w:rPr/>
        <w:t xml:space="preserve">Include this language in RFPs for third-party connectivity solutions:</w:t>
      </w:r>
    </w:p>
    <w:p>
      <w:pPr>
        <w:spacing w:after="210" w:lineRule="auto"/>
      </w:pPr>
      <w:r>
        <w:rPr>
          <w:b/>
        </w:rPr>
        <w:t xml:space="preserve">Security Architecture Requirements</w:t>
      </w:r>
    </w:p>
    <w:p>
      <w:pPr>
        <w:spacing w:after="210" w:lineRule="auto"/>
      </w:pPr>
      <w:r>
        <w:rPr/>
        <w:t xml:space="preserve">The proposed solution must demonstrate alignment with the following security paradigms. Vendor responses should explicitly address each paradigm and provide technical evidence of compliance.</w:t>
      </w:r>
    </w:p>
    <w:p>
      <w:pPr>
        <w:spacing w:after="210" w:lineRule="auto"/>
      </w:pPr>
      <w:r>
        <w:rPr>
          <w:b/>
        </w:rPr>
        <w:t xml:space="preserve">1. Structural Containment</w:t>
      </w:r>
    </w:p>
    <w:p>
      <w:pPr>
        <w:spacing w:after="210" w:lineRule="auto"/>
      </w:pPr>
      <w:r>
        <w:rPr/>
        <w:t xml:space="preserve">The solution must provide per-tenant isolation embedded in network topology and routing domains. Third-party integrations must not share forwarding planes or routing adjacency. Describe how isolation is architecturally enforced and how cross-tenant exposure is structurally prevented.</w:t>
      </w:r>
    </w:p>
    <w:p>
      <w:pPr>
        <w:spacing w:after="210" w:lineRule="auto"/>
      </w:pPr>
      <w:r>
        <w:rPr>
          <w:b/>
        </w:rPr>
        <w:t xml:space="preserve">Required Evidence:</w:t>
      </w:r>
    </w:p>
    <w:p>
      <w:pPr>
        <w:numPr>
          <w:ilvl w:val="0"/>
          <w:numId w:val="46"/>
        </w:numPr>
        <w:spacing w:lineRule="auto"/>
      </w:pPr>
      <w:r>
        <w:rPr/>
        <w:t xml:space="preserve">Architecture diagrams showing routing and forwarding isolation</w:t>
      </w:r>
    </w:p>
    <w:p>
      <w:pPr>
        <w:numPr>
          <w:ilvl w:val="0"/>
          <w:numId w:val="46"/>
        </w:numPr>
        <w:spacing w:lineRule="auto"/>
      </w:pPr>
      <w:r>
        <w:rPr/>
        <w:t xml:space="preserve">Technical description of per-tenant network domains</w:t>
      </w:r>
    </w:p>
    <w:p>
      <w:pPr>
        <w:numPr>
          <w:ilvl w:val="0"/>
          <w:numId w:val="46"/>
        </w:numPr>
        <w:spacing w:lineRule="auto"/>
      </w:pPr>
      <w:r>
        <w:rPr/>
        <w:t xml:space="preserve">Validation test results demonstrating that removing mediation eliminates reachability</w:t>
      </w:r>
    </w:p>
    <w:p>
      <w:pPr>
        <w:spacing w:after="210" w:lineRule="auto"/>
      </w:pPr>
      <w:r>
        <w:rPr>
          <w:b/>
        </w:rPr>
        <w:t xml:space="preserve">2. Mediated Capability Exposure</w:t>
      </w:r>
    </w:p>
    <w:p>
      <w:pPr>
        <w:spacing w:after="210" w:lineRule="auto"/>
      </w:pPr>
      <w:r>
        <w:rPr/>
        <w:t xml:space="preserve">The solution must prevent direct subnet routing from third parties to internal networks. All access must traverse mediation constructs with explicit destination allow-lists, directional constraints, and protocol enforcement.</w:t>
      </w:r>
    </w:p>
    <w:p>
      <w:pPr>
        <w:spacing w:after="210" w:lineRule="auto"/>
      </w:pPr>
      <w:r>
        <w:rPr>
          <w:b/>
        </w:rPr>
        <w:t xml:space="preserve">Required Evidence:</w:t>
      </w:r>
    </w:p>
    <w:p>
      <w:pPr>
        <w:numPr>
          <w:ilvl w:val="0"/>
          <w:numId w:val="47"/>
        </w:numPr>
        <w:spacing w:lineRule="auto"/>
      </w:pPr>
      <w:r>
        <w:rPr/>
        <w:t xml:space="preserve">Description of mediation architecture (proxy, gateway, broker)</w:t>
      </w:r>
    </w:p>
    <w:p>
      <w:pPr>
        <w:numPr>
          <w:ilvl w:val="0"/>
          <w:numId w:val="47"/>
        </w:numPr>
        <w:spacing w:lineRule="auto"/>
      </w:pPr>
      <w:r>
        <w:rPr/>
        <w:t xml:space="preserve">Examples of capability allow-list configuration</w:t>
      </w:r>
    </w:p>
    <w:p>
      <w:pPr>
        <w:numPr>
          <w:ilvl w:val="0"/>
          <w:numId w:val="47"/>
        </w:numPr>
        <w:spacing w:lineRule="auto"/>
      </w:pPr>
      <w:r>
        <w:rPr/>
        <w:t xml:space="preserve">Technical validation that bypassing mediation eliminates access</w:t>
      </w:r>
    </w:p>
    <w:p>
      <w:pPr>
        <w:spacing w:after="210" w:lineRule="auto"/>
      </w:pPr>
      <w:r>
        <w:rPr>
          <w:b/>
        </w:rPr>
        <w:t xml:space="preserve">3. Identity-Bound Authorization</w:t>
      </w:r>
    </w:p>
    <w:p>
      <w:pPr>
        <w:spacing w:after="210" w:lineRule="auto"/>
      </w:pPr>
      <w:r>
        <w:rPr/>
        <w:t xml:space="preserve">The solution must enforce cryptographic identity validation for all third-party access. Identity must be tenant-scoped, and authorization decisions must bind to validated subjects rather than source network location. Revocation must be independent of network topology changes.</w:t>
      </w:r>
    </w:p>
    <w:p>
      <w:pPr>
        <w:spacing w:after="210" w:lineRule="auto"/>
      </w:pPr>
      <w:r>
        <w:rPr>
          <w:b/>
        </w:rPr>
        <w:t xml:space="preserve">Required Evidence:</w:t>
      </w:r>
    </w:p>
    <w:p>
      <w:pPr>
        <w:numPr>
          <w:ilvl w:val="0"/>
          <w:numId w:val="48"/>
        </w:numPr>
        <w:spacing w:lineRule="auto"/>
      </w:pPr>
      <w:r>
        <w:rPr/>
        <w:t xml:space="preserve">Description of identity validation mechanism (certificates, tokens, etc.)</w:t>
      </w:r>
    </w:p>
    <w:p>
      <w:pPr>
        <w:numPr>
          <w:ilvl w:val="0"/>
          <w:numId w:val="48"/>
        </w:numPr>
        <w:spacing w:lineRule="auto"/>
      </w:pPr>
      <w:r>
        <w:rPr/>
        <w:t xml:space="preserve">Tenant scoping architecture</w:t>
      </w:r>
    </w:p>
    <w:p>
      <w:pPr>
        <w:numPr>
          <w:ilvl w:val="0"/>
          <w:numId w:val="48"/>
        </w:numPr>
        <w:spacing w:lineRule="auto"/>
      </w:pPr>
      <w:r>
        <w:rPr/>
        <w:t xml:space="preserve">Revocation workflow and timing</w:t>
      </w:r>
    </w:p>
    <w:p>
      <w:pPr>
        <w:numPr>
          <w:ilvl w:val="0"/>
          <w:numId w:val="48"/>
        </w:numPr>
        <w:spacing w:lineRule="auto"/>
      </w:pPr>
      <w:r>
        <w:rPr/>
        <w:t xml:space="preserve">Sample audit logs showing identity-aware authorization</w:t>
      </w:r>
    </w:p>
    <w:p>
      <w:pPr>
        <w:spacing w:after="210" w:lineRule="auto"/>
      </w:pPr>
      <w:r>
        <w:rPr>
          <w:b/>
        </w:rPr>
        <w:t xml:space="preserve">4. Deterministic Lifecycle Governance</w:t>
      </w:r>
    </w:p>
    <w:p>
      <w:pPr>
        <w:spacing w:after="210" w:lineRule="auto"/>
      </w:pPr>
      <w:r>
        <w:rPr/>
        <w:t xml:space="preserve">The solution must provide declarative, idempotent provisioning and automated, deterministic removal of all integration artifacts. Time-bound access must enforce expiration. Lifecycle state must be auditable and reconstructable.</w:t>
      </w:r>
    </w:p>
    <w:p>
      <w:pPr>
        <w:spacing w:after="210" w:lineRule="auto"/>
      </w:pPr>
      <w:r>
        <w:rPr>
          <w:b/>
        </w:rPr>
        <w:t xml:space="preserve">Required Evidence:</w:t>
      </w:r>
    </w:p>
    <w:p>
      <w:pPr>
        <w:numPr>
          <w:ilvl w:val="0"/>
          <w:numId w:val="49"/>
        </w:numPr>
        <w:spacing w:lineRule="auto"/>
      </w:pPr>
      <w:r>
        <w:rPr/>
        <w:t xml:space="preserve">Provisioning workflow (API, IaC, declarative config)</w:t>
      </w:r>
    </w:p>
    <w:p>
      <w:pPr>
        <w:numPr>
          <w:ilvl w:val="0"/>
          <w:numId w:val="49"/>
        </w:numPr>
        <w:spacing w:lineRule="auto"/>
      </w:pPr>
      <w:r>
        <w:rPr/>
        <w:t xml:space="preserve">Removal workflow with artifact inventory</w:t>
      </w:r>
    </w:p>
    <w:p>
      <w:pPr>
        <w:numPr>
          <w:ilvl w:val="0"/>
          <w:numId w:val="49"/>
        </w:numPr>
        <w:spacing w:lineRule="auto"/>
      </w:pPr>
      <w:r>
        <w:rPr/>
        <w:t xml:space="preserve">Expiration enforcement mechanism</w:t>
      </w:r>
    </w:p>
    <w:p>
      <w:pPr>
        <w:numPr>
          <w:ilvl w:val="0"/>
          <w:numId w:val="49"/>
        </w:numPr>
        <w:spacing w:lineRule="auto"/>
      </w:pPr>
      <w:r>
        <w:rPr/>
        <w:t xml:space="preserve">Audit log examples for lifecycle transitions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references"/>
      <w:r>
        <w:rPr>
          <w:b/>
          <w:sz w:val="42"/>
        </w:rPr>
        <w:t xml:space="preserve">References</w:t>
      </w:r>
      <w:bookmarkEnd w:id="55"/>
    </w:p>
    <w:p>
      <w:pPr>
        <w:spacing w:after="210" w:lineRule="auto"/>
      </w:pPr>
      <w:r>
        <w:rPr/>
        <w:t xml:space="preserve">[1] </w:t>
      </w:r>
      <w:hyperlink r:id="rId5">
        <w:r>
          <w:rPr>
            <w:color w:val="4472C4"/>
          </w:rPr>
          <w:t xml:space="preserve">Oort.io</w:t>
        </w:r>
      </w:hyperlink>
      <w:r>
        <w:rPr/>
        <w:t xml:space="preserve">. (2023). 7 Critical Requirements for Securing Third-Party and Vendor Access. </w:t>
      </w:r>
      <w:hyperlink r:id="rId6">
        <w:r>
          <w:rPr>
            <w:color w:val="4472C4"/>
          </w:rPr>
          <w:t xml:space="preserve">https://docs.oort.io/blogs/7-critical-requirements-for-securing-third-party-and-vendor-access</w:t>
        </w:r>
      </w:hyperlink>
    </w:p>
    <w:p>
      <w:pPr>
        <w:spacing w:after="210" w:lineRule="auto"/>
      </w:pPr>
      <w:r>
        <w:rPr/>
        <w:t xml:space="preserve">[2] Panorays. (2025). Securing Third-Party Access: Best Practices for Access Control and Monitoring. </w:t>
      </w:r>
      <w:hyperlink r:id="rId7">
        <w:r>
          <w:rPr>
            <w:color w:val="4472C4"/>
          </w:rPr>
          <w:t xml:space="preserve">https://panorays.com/blog/third-party-access/</w:t>
        </w:r>
      </w:hyperlink>
    </w:p>
    <w:p>
      <w:pPr>
        <w:spacing w:after="210" w:lineRule="auto"/>
      </w:pPr>
      <w:r>
        <w:rPr/>
        <w:t xml:space="preserve">[3] Palo Alto Networks. (2022). What is Zero Trust Network Access (ZTNA) 2.0. </w:t>
      </w:r>
      <w:hyperlink r:id="rId8">
        <w:r>
          <w:rPr>
            <w:color w:val="4472C4"/>
          </w:rPr>
          <w:t xml:space="preserve">https://www.paloaltonetworks.com/cyberpedia/what-is-zero-trust-network-access-2-0</w:t>
        </w:r>
      </w:hyperlink>
    </w:p>
    <w:p>
      <w:pPr>
        <w:spacing w:after="210" w:lineRule="auto"/>
      </w:pPr>
      <w:r>
        <w:rPr/>
        <w:t xml:space="preserve">[4] Cisco. (2017). What Is Network Segmentation? </w:t>
      </w:r>
      <w:hyperlink r:id="rId9">
        <w:r>
          <w:rPr>
            <w:color w:val="4472C4"/>
          </w:rPr>
          <w:t xml:space="preserve">https://www.cisco.com/site/us/en/learn/topics/security/what-is-network-segmentation.html</w:t>
        </w:r>
      </w:hyperlink>
    </w:p>
    <w:p>
      <w:pPr>
        <w:spacing w:after="210" w:lineRule="auto"/>
      </w:pPr>
      <w:r>
        <w:rPr/>
        <w:t xml:space="preserve">[5] National Institute of Standards and Technology. (2020). Zero Trust Architecture (NIST SP 800-207). </w:t>
      </w:r>
      <w:hyperlink r:id="rId10">
        <w:r>
          <w:rPr>
            <w:color w:val="4472C4"/>
          </w:rPr>
          <w:t xml:space="preserve">https://nvlpubs.nist.gov/nistpubs/specialpublications/NIST.SP.800-207.pdf</w:t>
        </w:r>
      </w:hyperlink>
    </w:p>
    <w:p>
      <w:pPr>
        <w:spacing w:after="210" w:lineRule="auto"/>
      </w:pPr>
      <w:r>
        <w:rPr/>
        <w:t xml:space="preserve">[6] Fortinet. (2025). What Is Zero Trust Architecture (ZTA)? Benefits and Best Practices. </w:t>
      </w:r>
      <w:hyperlink r:id="rId11">
        <w:r>
          <w:rPr>
            <w:color w:val="4472C4"/>
          </w:rPr>
          <w:t xml:space="preserve">https://www.fortinet.com/resources/cyberglossary/zero-trust-architecture</w:t>
        </w:r>
      </w:hyperlink>
    </w:p>
    <w:p>
      <w:pPr>
        <w:spacing w:after="210" w:lineRule="auto"/>
      </w:pPr>
      <w:r>
        <w:rPr/>
        <w:t xml:space="preserve">[7] Appgate. (2025). CISO Perspectives: Protecting Legacy Network Devices with ZTNA. </w:t>
      </w:r>
      <w:hyperlink r:id="rId12">
        <w:r>
          <w:rPr>
            <w:color w:val="4472C4"/>
          </w:rPr>
          <w:t xml:space="preserve">https://www.appgate.com/blog/ciso-perspectives-protecting-legacy-network-devices-with-ztna</w:t>
        </w:r>
      </w:hyperlink>
    </w:p>
    <w:p>
      <w:pPr>
        <w:spacing w:after="210" w:lineRule="auto"/>
      </w:pPr>
      <w:r>
        <w:rPr/>
        <w:t xml:space="preserve">[8] MSEndpointMgr. (2026). Zero Trust for Legacy Systems: Bridging the Gap Without Compromising Principles. </w:t>
      </w:r>
      <w:hyperlink r:id="rId13">
        <w:r>
          <w:rPr>
            <w:color w:val="4472C4"/>
          </w:rPr>
          <w:t xml:space="preserve">https://msendpointmgr.com/2026/01/21/zero-trust-for-legacy-systems-bridging-the-gap-without-compromising-principles/</w:t>
        </w:r>
      </w:hyperlink>
    </w:p>
    <w:p>
      <w:pPr>
        <w:spacing w:after="210" w:lineRule="auto"/>
      </w:pPr>
      <w:r>
        <w:rPr/>
        <w:t xml:space="preserve">[9] Gridiron IT. (2025). Top Challenges in Zero Trust Architecture Implementation and How to Overcome Them. </w:t>
      </w:r>
      <w:hyperlink r:id="rId14">
        <w:r>
          <w:rPr>
            <w:color w:val="4472C4"/>
          </w:rPr>
          <w:t xml:space="preserve">https://gridironit.com/2025/07/top-challenges-in-zero-trust-architecture-implementation-and-how-to-overcome-them/</w:t>
        </w:r>
      </w:hyperlink>
    </w:p>
    <w:p>
      <w:pPr>
        <w:spacing w:after="210" w:lineRule="auto"/>
      </w:pPr>
      <w:r>
        <w:rPr/>
        <w:t xml:space="preserve">[10] Cloudbrink. (2026). What Are the Cons of ZTNA? </w:t>
      </w:r>
      <w:hyperlink r:id="rId15">
        <w:r>
          <w:rPr>
            <w:color w:val="4472C4"/>
          </w:rPr>
          <w:t xml:space="preserve">https://cloudbrink.com/faq/what-are-the-cons-of-ztna/</w:t>
        </w:r>
      </w:hyperlink>
    </w:p>
    <w:p>
      <w:pPr>
        <w:spacing w:after="210" w:lineRule="auto"/>
      </w:pPr>
      <w:r>
        <w:rPr/>
        <w:t xml:space="preserve">[11] Avatier. (2025). Zero Trust and Legacy Systems: Bridging the Security Gap. </w:t>
      </w:r>
      <w:hyperlink r:id="rId16">
        <w:r>
          <w:rPr>
            <w:color w:val="4472C4"/>
          </w:rPr>
          <w:t xml:space="preserve">https://www.avatier.com/blog/zero-trust-and-legacy-systems/</w:t>
        </w:r>
      </w:hyperlink>
    </w:p>
    <w:p>
      <w:pPr>
        <w:spacing w:after="210" w:lineRule="auto"/>
      </w:pPr>
      <w:r>
        <w:rPr/>
        <w:t xml:space="preserve">[12] Cyolo. (2024). A Guide to the Challenges and Benefits of Universal ZTNA. </w:t>
      </w:r>
      <w:hyperlink r:id="rId17">
        <w:r>
          <w:rPr>
            <w:color w:val="4472C4"/>
          </w:rPr>
          <w:t xml:space="preserve">https://cyolo.io/blog/universal-ztna-guide-to-challenges-and-benefits</w:t>
        </w:r>
      </w:hyperlink>
    </w:p>
    <w:p>
      <w:pPr>
        <w:spacing w:after="210" w:lineRule="auto"/>
      </w:pPr>
      <w:r>
        <w:rPr/>
        <w:t xml:space="preserve">[13] Zero Networks. (2025). What is Zero Trust Network Access (ZTNA)? </w:t>
      </w:r>
      <w:hyperlink r:id="rId18">
        <w:r>
          <w:rPr>
            <w:color w:val="4472C4"/>
          </w:rPr>
          <w:t xml:space="preserve">https://zeronetworks.com/blog/what-is-zero-trust-networks-access-ztna</w:t>
        </w:r>
      </w:hyperlink>
    </w:p>
    <w:p>
      <w:pPr>
        <w:spacing w:after="210" w:lineRule="auto"/>
      </w:pPr>
      <w:r>
        <w:rPr/>
        <w:t xml:space="preserve">[14] Microsoft. (2025). Replace your legacy VPN with an identity-centric ZTNA. </w:t>
      </w:r>
      <w:hyperlink r:id="rId19">
        <w:r>
          <w:rPr>
            <w:color w:val="4472C4"/>
          </w:rPr>
          <w:t xml:space="preserve">https://techcommunity.microsoft.com/blog/microsoft-entra-blog/replace-your-legacy-vpn-with-an-identity-centric-ztna/4395973</w:t>
        </w:r>
      </w:hyperlink>
    </w:p>
    <w:p>
      <w:pPr>
        <w:spacing w:after="210" w:lineRule="auto"/>
      </w:pPr>
      <w:r>
        <w:rPr/>
        <w:t xml:space="preserve">[15] Portnox. (2025). Identity-based Access Control. </w:t>
      </w:r>
      <w:hyperlink r:id="rId20">
        <w:r>
          <w:rPr>
            <w:color w:val="4472C4"/>
          </w:rPr>
          <w:t xml:space="preserve">https://www.portnox.com/cybersecurity-101/access-control/identity-based-access-control/</w:t>
        </w:r>
      </w:hyperlink>
    </w:p>
    <w:p>
      <w:pPr>
        <w:spacing w:after="210" w:lineRule="auto"/>
      </w:pPr>
      <w:r>
        <w:rPr/>
        <w:t xml:space="preserve">[16] SailPoint. (2024). Zero Trust Architecture: Identity as the Foundation. </w:t>
      </w:r>
      <w:hyperlink r:id="rId21">
        <w:r>
          <w:rPr>
            <w:color w:val="4472C4"/>
          </w:rPr>
          <w:t xml:space="preserve">https://www.sailpoint.com/identity-library/zero-trust-architecture</w:t>
        </w:r>
      </w:hyperlink>
    </w:p>
    <w:p>
      <w:pPr>
        <w:spacing w:after="210" w:lineRule="auto"/>
      </w:pPr>
      <w:r>
        <w:rPr/>
        <w:t xml:space="preserve">[17] CyberArk. (2025). The New Identity Security Paradigm for Cyber Leaders. </w:t>
      </w:r>
      <w:hyperlink r:id="rId22">
        <w:r>
          <w:rPr>
            <w:color w:val="4472C4"/>
          </w:rPr>
          <w:t xml:space="preserve">https://www.cyberark.com/resources/identity-security/securing-the-future-the-new-identity-security-paradigm-for-cyber-leaders</w:t>
        </w:r>
      </w:hyperlink>
    </w:p>
    <w:p>
      <w:pPr>
        <w:spacing w:after="210" w:lineRule="auto"/>
      </w:pPr>
      <w:r>
        <w:rPr/>
        <w:t xml:space="preserve">[18] UpGuard. (2025). Third Party Security: Building Your Vendor Risk Program in 2026. </w:t>
      </w:r>
      <w:hyperlink r:id="rId23">
        <w:r>
          <w:rPr>
            <w:color w:val="4472C4"/>
          </w:rPr>
          <w:t xml:space="preserve">https://www.upguard.com/blog/third-party-security</w:t>
        </w:r>
      </w:hyperlink>
    </w:p>
    <w:p>
      <w:pPr>
        <w:spacing w:after="210" w:lineRule="auto"/>
      </w:pPr>
      <w:r>
        <w:rPr/>
        <w:t xml:space="preserve">[19] TechnologyMatch. (2025). The Essential IT Vendor Selection Criteria Checklist. </w:t>
      </w:r>
      <w:hyperlink r:id="rId24">
        <w:r>
          <w:rPr>
            <w:color w:val="4472C4"/>
          </w:rPr>
          <w:t xml:space="preserve">https://technologymatch.com/blog/the-essential-it-vendor-selection-criteria-and-checklist</w:t>
        </w:r>
      </w:hyperlink>
    </w:p>
    <w:p>
      <w:pPr>
        <w:spacing w:after="210" w:lineRule="auto"/>
      </w:pPr>
      <w:r>
        <w:rPr/>
        <w:t xml:space="preserve">[20] Essent. (2020). Understanding Enterprise RFP Requirements: Security. </w:t>
      </w:r>
      <w:hyperlink r:id="rId25">
        <w:r>
          <w:rPr>
            <w:color w:val="4472C4"/>
          </w:rPr>
          <w:t xml:space="preserve">https://www.essent.com/Blog/Blog/Understanding-Enterprise-RFP-Requirements-Security.htm</w:t>
        </w:r>
      </w:hyperlink>
    </w:p>
    <w:p>
      <w:pPr>
        <w:spacing w:line="288" w:before="240" w:lineRule="auto"/>
      </w:pPr>
      <w:bookmarkStart w:id="56" w:name="third_party_connectivity_security_a2ac62"/>
      <w:r>
        <w:rPr>
          <w:b/>
          <w:sz w:val="56"/>
        </w:rPr>
        <w:t xml:space="preserve">Third-Party Connectivity Security Evaluation Framework</w:t>
      </w:r>
      <w:bookmarkEnd w:id="56"/>
    </w:p>
    <w:p>
      <w:pPr>
        <w:spacing w:after="210" w:lineRule="auto"/>
      </w:pPr>
      <w:r>
        <w:rPr>
          <w:b/>
        </w:rPr>
        <w:t xml:space="preserve">Purpose:</w:t>
      </w:r>
      <w:r>
        <w:rPr/>
        <w:t xml:space="preserve"> This document establishes a security paradigm framework for evaluating vendor solutions that provide third-party connectivity to enterprise systems and data.</w:t>
      </w:r>
    </w:p>
    <w:p>
      <w:pPr>
        <w:spacing w:after="210" w:lineRule="auto"/>
      </w:pPr>
      <w:r>
        <w:rPr>
          <w:b/>
        </w:rPr>
        <w:t xml:space="preserve">Intended Use:</w:t>
      </w:r>
      <w:r>
        <w:rPr/>
        <w:t xml:space="preserve"> As evaluation criteria for requests for proposal (RFP), vendor assessments, and security architecture reviews of third-party integration solutions.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executive_summary_2"/>
      <w:r>
        <w:rPr>
          <w:b/>
          <w:sz w:val="42"/>
        </w:rPr>
        <w:t xml:space="preserve">Executive Summary</w:t>
      </w:r>
      <w:bookmarkEnd w:id="57"/>
    </w:p>
    <w:p>
      <w:pPr>
        <w:spacing w:after="210" w:lineRule="auto"/>
      </w:pPr>
      <w:r>
        <w:rPr>
          <w:rFonts w:eastAsia="Georgia" w:cs="Georgia" w:ascii="Georgia" w:hAnsi="Georgia"/>
        </w:rPr>
        <w:t xml:space="preserve">Enterprise connectivity to third parties—whether vendors, partners, service providers, or contractors—presents persistent security challenges. Traditional approaches rely on VPN tunnels, firewall rules layered over shared network infrastructure, and IP-based trust models. These patterns create exposure that accumulates over time and scales poorly as integration complexity grows[1][2].</w:t>
      </w:r>
    </w:p>
    <w:p>
      <w:pPr>
        <w:spacing w:after="210" w:lineRule="auto"/>
      </w:pPr>
      <w:r>
        <w:rPr/>
        <w:t xml:space="preserve">This framework defines four security paradigms that establish structural requirements for third-party connectivity solutions. These paradigms provide objective evaluation criteria to assess whether a proposed vendor solution addresses fundamental architectural security requirements rather than relying solely on policy layering[3][4].</w:t>
      </w:r>
    </w:p>
    <w:p>
      <w:pPr>
        <w:spacing w:after="210" w:lineRule="auto"/>
      </w:pPr>
      <w:r>
        <w:rPr/>
        <w:t xml:space="preserve">The four paradigms are:</w:t>
      </w:r>
    </w:p>
    <w:p>
      <w:pPr>
        <w:numPr>
          <w:ilvl w:val="0"/>
          <w:numId w:val="50"/>
        </w:numPr>
        <w:spacing w:lineRule="auto"/>
      </w:pPr>
      <w:r>
        <w:rPr>
          <w:b/>
        </w:rPr>
        <w:t xml:space="preserve">Structural Containment</w:t>
      </w:r>
      <w:r>
        <w:rPr>
          <w:rFonts w:eastAsia="Georgia" w:cs="Georgia" w:ascii="Georgia" w:hAnsi="Georgia"/>
        </w:rPr>
        <w:t xml:space="preserve"> — Isolation embedded in topology, not policy</w:t>
      </w:r>
    </w:p>
    <w:p>
      <w:pPr>
        <w:numPr>
          <w:ilvl w:val="0"/>
          <w:numId w:val="50"/>
        </w:numPr>
        <w:spacing w:lineRule="auto"/>
      </w:pPr>
      <w:r>
        <w:rPr>
          <w:b/>
        </w:rPr>
        <w:t xml:space="preserve">Mediated Capability Exposure</w:t>
      </w:r>
      <w:r>
        <w:rPr>
          <w:rFonts w:eastAsia="Georgia" w:cs="Georgia" w:ascii="Georgia" w:hAnsi="Georgia"/>
        </w:rPr>
        <w:t xml:space="preserve"> — Service-level access, not network adjacency</w:t>
      </w:r>
    </w:p>
    <w:p>
      <w:pPr>
        <w:numPr>
          <w:ilvl w:val="0"/>
          <w:numId w:val="50"/>
        </w:numPr>
        <w:spacing w:lineRule="auto"/>
      </w:pPr>
      <w:r>
        <w:rPr>
          <w:b/>
        </w:rPr>
        <w:t xml:space="preserve">Identity-Bound Authorization</w:t>
      </w:r>
      <w:r>
        <w:rPr>
          <w:rFonts w:eastAsia="Georgia" w:cs="Georgia" w:ascii="Georgia" w:hAnsi="Georgia"/>
        </w:rPr>
        <w:t xml:space="preserve"> — Cryptographic identity, not location-based trust</w:t>
      </w:r>
    </w:p>
    <w:p>
      <w:pPr>
        <w:numPr>
          <w:ilvl w:val="0"/>
          <w:numId w:val="50"/>
        </w:numPr>
        <w:spacing w:lineRule="auto"/>
      </w:pPr>
      <w:r>
        <w:rPr>
          <w:b/>
        </w:rPr>
        <w:t xml:space="preserve">Deterministic Lifecycle Governance</w:t>
      </w:r>
      <w:r>
        <w:rPr>
          <w:rFonts w:eastAsia="Georgia" w:cs="Georgia" w:ascii="Georgia" w:hAnsi="Georgia"/>
        </w:rPr>
        <w:t xml:space="preserve"> — Reversible provisioning with no residual artifacts</w:t>
      </w:r>
    </w:p>
    <w:p>
      <w:pPr>
        <w:spacing w:after="210" w:lineRule="auto"/>
      </w:pPr>
      <w:r>
        <w:rPr/>
        <w:t xml:space="preserve">These paradigms align with modern zero trust architecture principles while providing specific, testable criteria for vendor solution evaluation[5][6].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background_the_third_party_connec_b48b24"/>
      <w:r>
        <w:rPr>
          <w:b/>
          <w:sz w:val="42"/>
        </w:rPr>
        <w:t xml:space="preserve">Background: The Third-Party Connectivity Challenge</w:t>
      </w:r>
      <w:bookmarkEnd w:id="58"/>
    </w:p>
    <w:p>
      <w:pPr>
        <w:spacing w:line="271" w:before="240" w:lineRule="auto"/>
      </w:pPr>
      <w:bookmarkStart w:id="59" w:name="current_state_2"/>
      <w:r>
        <w:rPr>
          <w:b/>
          <w:sz w:val="33"/>
        </w:rPr>
        <w:t xml:space="preserve">Current State</w:t>
      </w:r>
      <w:bookmarkEnd w:id="59"/>
    </w:p>
    <w:p>
      <w:pPr>
        <w:spacing w:after="210" w:lineRule="auto"/>
      </w:pPr>
      <w:r>
        <w:rPr/>
        <w:t xml:space="preserve">Most enterprises manage dozens to hundreds of third-party connectivity relationships. Common patterns include:</w:t>
      </w:r>
    </w:p>
    <w:p>
      <w:pPr>
        <w:numPr>
          <w:ilvl w:val="0"/>
          <w:numId w:val="51"/>
        </w:numPr>
        <w:spacing w:lineRule="auto"/>
      </w:pPr>
      <w:r>
        <w:rPr/>
        <w:t xml:space="preserve">VPN tunnels granting subnet-level network access</w:t>
      </w:r>
    </w:p>
    <w:p>
      <w:pPr>
        <w:numPr>
          <w:ilvl w:val="0"/>
          <w:numId w:val="51"/>
        </w:numPr>
        <w:spacing w:lineRule="auto"/>
      </w:pPr>
      <w:r>
        <w:rPr/>
        <w:t xml:space="preserve">Firewall rules permitting broad port ranges</w:t>
      </w:r>
    </w:p>
    <w:p>
      <w:pPr>
        <w:numPr>
          <w:ilvl w:val="0"/>
          <w:numId w:val="51"/>
        </w:numPr>
        <w:spacing w:lineRule="auto"/>
      </w:pPr>
      <w:r>
        <w:rPr/>
        <w:t xml:space="preserve">Vendor access credentials with extended validity periods</w:t>
      </w:r>
    </w:p>
    <w:p>
      <w:pPr>
        <w:numPr>
          <w:ilvl w:val="0"/>
          <w:numId w:val="51"/>
        </w:numPr>
        <w:spacing w:lineRule="auto"/>
      </w:pPr>
      <w:r>
        <w:rPr/>
        <w:t xml:space="preserve">Integration patterns that accumulate rather than expire</w:t>
      </w:r>
    </w:p>
    <w:p>
      <w:pPr>
        <w:numPr>
          <w:ilvl w:val="0"/>
          <w:numId w:val="51"/>
        </w:numPr>
        <w:spacing w:lineRule="auto"/>
      </w:pPr>
      <w:r>
        <w:rPr/>
        <w:t xml:space="preserve">Manual provisioning with inconsistent deprovisioning</w:t>
      </w:r>
    </w:p>
    <w:p>
      <w:pPr>
        <w:spacing w:line="271" w:before="240" w:lineRule="auto"/>
      </w:pPr>
      <w:bookmarkStart w:id="60" w:name="failure_modes_2"/>
      <w:r>
        <w:rPr>
          <w:b/>
          <w:sz w:val="33"/>
        </w:rPr>
        <w:t xml:space="preserve">Failure Modes</w:t>
      </w:r>
      <w:bookmarkEnd w:id="60"/>
    </w:p>
    <w:p>
      <w:pPr>
        <w:spacing w:after="210" w:lineRule="auto"/>
      </w:pPr>
      <w:r>
        <w:rPr/>
        <w:t xml:space="preserve">These patterns produce predictable security failures:</w:t>
      </w:r>
    </w:p>
    <w:p>
      <w:pPr>
        <w:spacing w:after="210" w:lineRule="auto"/>
      </w:pPr>
      <w:r>
        <w:rPr>
          <w:b/>
        </w:rPr>
        <w:t xml:space="preserve">Policy Accretion</w:t>
      </w:r>
      <w:r>
        <w:rPr/>
        <w:t xml:space="preserve">: As third-party integrations grow, firewall rules and access control lists expand. Rule interactions become opaque, and assurance depends on audits rather than architecture.</w:t>
      </w:r>
    </w:p>
    <w:p>
      <w:pPr>
        <w:spacing w:after="210" w:lineRule="auto"/>
      </w:pPr>
      <w:r>
        <w:rPr>
          <w:b/>
        </w:rPr>
        <w:t xml:space="preserve">Lateral Movement Risk</w:t>
      </w:r>
      <w:r>
        <w:rPr/>
        <w:t xml:space="preserve">: Once third parties gain network adjacency, they can potentially explore internal systems beyond their authorized scope[7][8].</w:t>
      </w:r>
    </w:p>
    <w:p>
      <w:pPr>
        <w:spacing w:after="210" w:lineRule="auto"/>
      </w:pPr>
      <w:r>
        <w:rPr>
          <w:b/>
        </w:rPr>
        <w:t xml:space="preserve">Location-Based Trust Fragility</w:t>
      </w:r>
      <w:r>
        <w:rPr/>
        <w:t xml:space="preserve">: Access decisions based on source IP or VPN presence create brittle security when IP addresses are reused, NAT obscures origin, or credentials are compromised.</w:t>
      </w:r>
    </w:p>
    <w:p>
      <w:pPr>
        <w:spacing w:after="210" w:lineRule="auto"/>
      </w:pPr>
      <w:r>
        <w:rPr>
          <w:b/>
        </w:rPr>
        <w:t xml:space="preserve">Lifecycle Asymmetry</w:t>
      </w:r>
      <w:r>
        <w:rPr/>
        <w:t xml:space="preserve">: Provisioning receives engineering attention, but removal is neglected. Orphaned tunnels, stale firewall rules, and dormant connections persist because teardown is operationally risky[9].</w:t>
      </w:r>
    </w:p>
    <w:p>
      <w:pPr>
        <w:spacing w:line="271" w:before="240" w:lineRule="auto"/>
      </w:pPr>
      <w:bookmarkStart w:id="61" w:name="the_ztna_gap_2"/>
      <w:r>
        <w:rPr>
          <w:b/>
          <w:sz w:val="33"/>
        </w:rPr>
        <w:t xml:space="preserve">The ZTNA Gap</w:t>
      </w:r>
      <w:bookmarkEnd w:id="61"/>
    </w:p>
    <w:p>
      <w:pPr>
        <w:spacing w:after="210" w:lineRule="auto"/>
      </w:pPr>
      <w:r>
        <w:rPr/>
        <w:t xml:space="preserve">Zero Trust Network Access (ZTNA) solutions promise to address these challenges by replacing VPN-style network extension with application-level, identity-centric access. However, many legacy enterprise applications were designed for trusted network adjacency and cannot easily adapt to ZTNA brokerage models[10][11].</w:t>
      </w:r>
    </w:p>
    <w:p>
      <w:pPr>
        <w:spacing w:after="210" w:lineRule="auto"/>
      </w:pPr>
      <w:r>
        <w:rPr/>
        <w:t xml:space="preserve">This creates a fundamental tension: enterprises need stronger third-party access controls, but existing applications often lack the identity integration, API structure, or protocol compatibility that modern ZTNA solutions require[12].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the_four_security_paradigms_2"/>
      <w:r>
        <w:rPr>
          <w:b/>
          <w:sz w:val="42"/>
        </w:rPr>
        <w:t xml:space="preserve">The Four Security Paradigms</w:t>
      </w:r>
      <w:bookmarkEnd w:id="62"/>
    </w:p>
    <w:p>
      <w:pPr>
        <w:spacing w:after="210" w:lineRule="auto"/>
      </w:pPr>
      <w:r>
        <w:rPr/>
        <w:t xml:space="preserve">The following paradigms establish architectural requirements that vendor solutions must satisfy. Each paradigm defines a conceptual foundation, testable invariants, and validation criteria.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paradigm_1_structural_containment_2"/>
      <w:r>
        <w:rPr>
          <w:b/>
          <w:sz w:val="42"/>
        </w:rPr>
        <w:t xml:space="preserve">Paradigm 1: Structural Containment</w:t>
      </w:r>
      <w:bookmarkEnd w:id="63"/>
    </w:p>
    <w:p>
      <w:pPr>
        <w:spacing w:line="271" w:before="240" w:lineRule="auto"/>
      </w:pPr>
      <w:bookmarkStart w:id="64" w:name="definition_5"/>
      <w:r>
        <w:rPr>
          <w:b/>
          <w:sz w:val="33"/>
        </w:rPr>
        <w:t xml:space="preserve">Definition</w:t>
      </w:r>
      <w:bookmarkEnd w:id="64"/>
    </w:p>
    <w:p>
      <w:pPr>
        <w:spacing w:after="210" w:lineRule="auto"/>
      </w:pPr>
      <w:r>
        <w:rPr>
          <w:b/>
        </w:rPr>
        <w:t xml:space="preserve">Security is enforced by structure, not policy layering.</w:t>
      </w:r>
    </w:p>
    <w:p>
      <w:pPr>
        <w:spacing w:after="210" w:lineRule="auto"/>
      </w:pPr>
      <w:r>
        <w:rPr/>
        <w:t xml:space="preserve">Isolation must be embedded in network topology and routing domains, making it a structural property rather than a configuration artifact. The absence of mediation must equal the absence of reachability.</w:t>
      </w:r>
    </w:p>
    <w:p>
      <w:pPr>
        <w:spacing w:line="271" w:before="240" w:lineRule="auto"/>
      </w:pPr>
      <w:bookmarkStart w:id="65" w:name="core_principle_5"/>
      <w:r>
        <w:rPr>
          <w:b/>
          <w:sz w:val="33"/>
        </w:rPr>
        <w:t xml:space="preserve">Core Principle</w:t>
      </w:r>
      <w:bookmarkEnd w:id="65"/>
    </w:p>
    <w:p>
      <w:pPr>
        <w:spacing w:after="210" w:lineRule="auto"/>
      </w:pPr>
      <w:r>
        <w:rPr/>
        <w:t xml:space="preserve">Traditional approaches assume shared network adjacency and then layer segmentation through firewall rules and access control lists. This treats separation as policy rather than structure.</w:t>
      </w:r>
    </w:p>
    <w:p>
      <w:pPr>
        <w:spacing w:after="210" w:lineRule="auto"/>
      </w:pPr>
      <w:r>
        <w:rPr/>
        <w:t xml:space="preserve">Structural containment inverts that assumption:</w:t>
      </w:r>
    </w:p>
    <w:p>
      <w:pPr>
        <w:numPr>
          <w:ilvl w:val="0"/>
          <w:numId w:val="52"/>
        </w:numPr>
        <w:spacing w:lineRule="auto"/>
      </w:pPr>
      <w:r>
        <w:rPr/>
        <w:t xml:space="preserve">Isolation is the default state</w:t>
      </w:r>
    </w:p>
    <w:p>
      <w:pPr>
        <w:numPr>
          <w:ilvl w:val="0"/>
          <w:numId w:val="52"/>
        </w:numPr>
        <w:spacing w:lineRule="auto"/>
      </w:pPr>
      <w:r>
        <w:rPr/>
        <w:t xml:space="preserve">Adjacency requires explicit architectural construction</w:t>
      </w:r>
    </w:p>
    <w:p>
      <w:pPr>
        <w:numPr>
          <w:ilvl w:val="0"/>
          <w:numId w:val="52"/>
        </w:numPr>
        <w:spacing w:lineRule="auto"/>
      </w:pPr>
      <w:r>
        <w:rPr/>
        <w:t xml:space="preserve">Third parties do not share forwarding planes or routing domains</w:t>
      </w:r>
    </w:p>
    <w:p>
      <w:pPr>
        <w:numPr>
          <w:ilvl w:val="0"/>
          <w:numId w:val="52"/>
        </w:numPr>
        <w:spacing w:lineRule="auto"/>
      </w:pPr>
      <w:r>
        <w:rPr/>
        <w:t xml:space="preserve">Cross-domain connectivity requires deliberate mediation constructs</w:t>
      </w:r>
    </w:p>
    <w:p>
      <w:pPr>
        <w:spacing w:line="271" w:before="240" w:lineRule="auto"/>
      </w:pPr>
      <w:bookmarkStart w:id="66" w:name="why_this_matters_for_third_party_64c2b5"/>
      <w:r>
        <w:rPr>
          <w:b/>
          <w:sz w:val="33"/>
        </w:rPr>
        <w:t xml:space="preserve">Why This Matters for Third-Party Connectivity</w:t>
      </w:r>
      <w:bookmarkEnd w:id="66"/>
    </w:p>
    <w:p>
      <w:pPr>
        <w:spacing w:after="210" w:lineRule="auto"/>
      </w:pPr>
      <w:r>
        <w:rPr/>
        <w:t xml:space="preserve">When evaluating vendor solutions, structural containment determines whether third-party isolation can survive:</w:t>
      </w:r>
    </w:p>
    <w:p>
      <w:pPr>
        <w:numPr>
          <w:ilvl w:val="0"/>
          <w:numId w:val="53"/>
        </w:numPr>
        <w:spacing w:lineRule="auto"/>
      </w:pPr>
      <w:r>
        <w:rPr/>
        <w:t xml:space="preserve">Growth in third-party count</w:t>
      </w:r>
    </w:p>
    <w:p>
      <w:pPr>
        <w:numPr>
          <w:ilvl w:val="0"/>
          <w:numId w:val="53"/>
        </w:numPr>
        <w:spacing w:lineRule="auto"/>
      </w:pPr>
      <w:r>
        <w:rPr/>
        <w:t xml:space="preserve">Expansion of integration complexity</w:t>
      </w:r>
    </w:p>
    <w:p>
      <w:pPr>
        <w:numPr>
          <w:ilvl w:val="0"/>
          <w:numId w:val="53"/>
        </w:numPr>
        <w:spacing w:lineRule="auto"/>
      </w:pPr>
      <w:r>
        <w:rPr/>
        <w:t xml:space="preserve">Operator configuration errors</w:t>
      </w:r>
    </w:p>
    <w:p>
      <w:pPr>
        <w:numPr>
          <w:ilvl w:val="0"/>
          <w:numId w:val="53"/>
        </w:numPr>
        <w:spacing w:lineRule="auto"/>
      </w:pPr>
      <w:r>
        <w:rPr/>
        <w:t xml:space="preserve">Infrastructure scaling events</w:t>
      </w:r>
    </w:p>
    <w:p>
      <w:pPr>
        <w:spacing w:after="210" w:lineRule="auto"/>
      </w:pPr>
      <w:r>
        <w:rPr/>
        <w:t xml:space="preserve">Solutions that rely on policy enforcement over shared infrastructure fail when rule sets become complex or when misconfigurations create unintended adjacency.</w:t>
      </w:r>
    </w:p>
    <w:p>
      <w:pPr>
        <w:spacing w:line="271" w:before="240" w:lineRule="auto"/>
      </w:pPr>
      <w:bookmarkStart w:id="67" w:name="invariants_5"/>
      <w:r>
        <w:rPr>
          <w:b/>
          <w:sz w:val="33"/>
        </w:rPr>
        <w:t xml:space="preserve">Invariants</w:t>
      </w:r>
      <w:bookmarkEnd w:id="67"/>
    </w:p>
    <w:p>
      <w:pPr>
        <w:spacing w:after="210" w:lineRule="auto"/>
      </w:pPr>
      <w:r>
        <w:rPr>
          <w:b/>
        </w:rPr>
        <w:t xml:space="preserve">Invariant 1.1</w:t>
      </w:r>
      <w:r>
        <w:rPr/>
        <w:t xml:space="preserve">: Third parties must operate in isolated routing and forwarding contexts. No shared adjacency domains.</w:t>
      </w:r>
    </w:p>
    <w:p>
      <w:pPr>
        <w:spacing w:after="210" w:lineRule="auto"/>
      </w:pPr>
      <w:r>
        <w:rPr>
          <w:b/>
        </w:rPr>
        <w:t xml:space="preserve">Invariant 1.2</w:t>
      </w:r>
      <w:r>
        <w:rPr/>
        <w:t xml:space="preserve">: Cross-domain connectivity requires explicit mediation. Removing mediation constructs must eliminate reachability.</w:t>
      </w:r>
    </w:p>
    <w:p>
      <w:pPr>
        <w:spacing w:after="210" w:lineRule="auto"/>
      </w:pPr>
      <w:r>
        <w:rPr>
          <w:b/>
        </w:rPr>
        <w:t xml:space="preserve">Invariant 1.3</w:t>
      </w:r>
      <w:r>
        <w:rPr/>
        <w:t xml:space="preserve">: Route propagation between domains must be deterministically filtered. Prefix leakage must be structurally prevented.</w:t>
      </w:r>
    </w:p>
    <w:p>
      <w:pPr>
        <w:spacing w:after="210" w:lineRule="auto"/>
      </w:pPr>
      <w:r>
        <w:rPr>
          <w:b/>
        </w:rPr>
        <w:t xml:space="preserve">Invariant 1.4</w:t>
      </w:r>
      <w:r>
        <w:rPr/>
        <w:t xml:space="preserve">: Containment must not depend on correct policy configuration. Misconfiguration must not create cross-domain exposure.</w:t>
      </w:r>
    </w:p>
    <w:p>
      <w:pPr>
        <w:spacing w:line="271" w:before="240" w:lineRule="auto"/>
      </w:pPr>
      <w:bookmarkStart w:id="68" w:name="vendor_evaluation_questions_5"/>
      <w:r>
        <w:rPr>
          <w:b/>
          <w:sz w:val="33"/>
        </w:rPr>
        <w:t xml:space="preserve">Vendor Evaluation Questions</w:t>
      </w:r>
      <w:bookmarkEnd w:id="6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Does each third party operate in a dedicated routing domain?</w:t>
            </w:r>
          </w:p>
        </w:tc>
        <w:tc>
          <w:tcPr>
            <w:tcBorders>
              <w:bottom w:val="single" w:sz="8" w:space="0" w:color="000000"/>
              <w:right w:val="single" w:sz="8" w:space="0" w:color="000000"/>
            </w:tcBorders>
            <w:vAlign w:val="top"/>
          </w:tcPr>
          <w:p>
            <w:pPr>
              <w:spacing w:lineRule="auto"/>
              <w:jc w:val="left"/>
            </w:pPr>
            <w:r>
              <w:rPr/>
              <w:t xml:space="preserve">Verify per-tenant VRFs, routing instances, or equivalent isolation. Shared routing tables fail this requirement.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third parties directly reach internal subnets?</w:t>
            </w:r>
          </w:p>
        </w:tc>
        <w:tc>
          <w:tcPr>
            <w:tcBorders>
              <w:bottom w:val="single" w:sz="8" w:space="0" w:color="000000"/>
              <w:right w:val="single" w:sz="8" w:space="0" w:color="000000"/>
            </w:tcBorders>
            <w:vAlign w:val="top"/>
          </w:tcPr>
          <w:p>
            <w:pPr>
              <w:spacing w:lineRule="auto"/>
              <w:jc w:val="left"/>
            </w:pPr>
            <w:r>
              <w:rPr/>
              <w:t xml:space="preserve">Any direct route export to internal networks indicates policy-based rather than structural containment.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mediation constructs fail or are removed?</w:t>
            </w:r>
          </w:p>
        </w:tc>
        <w:tc>
          <w:tcPr>
            <w:tcBorders>
              <w:bottom w:val="single" w:sz="8" w:space="0" w:color="000000"/>
              <w:right w:val="single" w:sz="8" w:space="0" w:color="000000"/>
            </w:tcBorders>
            <w:vAlign w:val="top"/>
          </w:tcPr>
          <w:p>
            <w:pPr>
              <w:spacing w:lineRule="auto"/>
              <w:jc w:val="left"/>
            </w:pPr>
            <w:r>
              <w:rPr/>
              <w:t xml:space="preserve">Reachability should be eliminated, not degraded. Fallback to direct routing violates structural containment.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does the solution prevent route leakage?</w:t>
            </w:r>
          </w:p>
        </w:tc>
        <w:tc>
          <w:tcPr>
            <w:tcBorders>
              <w:bottom w:val="single" w:sz="8" w:space="0" w:color="000000"/>
              <w:right w:val="single" w:sz="8" w:space="0" w:color="000000"/>
            </w:tcBorders>
            <w:vAlign w:val="top"/>
          </w:tcPr>
          <w:p>
            <w:pPr>
              <w:spacing w:lineRule="auto"/>
              <w:jc w:val="left"/>
            </w:pPr>
            <w:r>
              <w:rPr/>
              <w:t xml:space="preserve">Look for deterministic import/export filters, not manual route policy maintenance.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one third party's misconfiguration affect another?</w:t>
            </w:r>
          </w:p>
        </w:tc>
        <w:tc>
          <w:tcPr>
            <w:tcBorders>
              <w:bottom w:val="single" w:sz="8" w:space="0" w:color="000000"/>
              <w:right w:val="single" w:sz="8" w:space="0" w:color="000000"/>
            </w:tcBorders>
            <w:vAlign w:val="top"/>
          </w:tcPr>
          <w:p>
            <w:pPr>
              <w:spacing w:lineRule="auto"/>
              <w:jc w:val="left"/>
            </w:pPr>
            <w:r>
              <w:rPr/>
              <w:t xml:space="preserve">If yes, shared failure domains exist and structural containment is incomplete.</w:t>
            </w:r>
          </w:p>
        </w:tc>
      </w:tr>
    </w:tbl>
    <w:p>
      <w:pPr>
        <w:spacing w:lineRule="auto"/>
      </w:pPr>
    </w:p>
    <w:p>
      <w:pPr>
        <w:spacing w:lineRule="auto"/>
      </w:pPr>
      <w:r>
        <w:rPr/>
        <w:t xml:space="preserve">Table 6: Structural Containment Evaluation Criteria</w:t>
      </w:r>
    </w:p>
    <w:p>
      <w:pPr>
        <w:spacing w:line="271" w:before="240" w:lineRule="auto"/>
      </w:pPr>
      <w:bookmarkStart w:id="69" w:name="validation_test_5"/>
      <w:r>
        <w:rPr>
          <w:b/>
          <w:sz w:val="33"/>
        </w:rPr>
        <w:t xml:space="preserve">Validation Test</w:t>
      </w:r>
      <w:bookmarkEnd w:id="69"/>
    </w:p>
    <w:p>
      <w:pPr>
        <w:spacing w:after="210" w:lineRule="auto"/>
      </w:pPr>
      <w:r>
        <w:rPr>
          <w:b/>
        </w:rPr>
        <w:t xml:space="preserve">Test</w:t>
      </w:r>
      <w:r>
        <w:rPr/>
        <w:t xml:space="preserve">: Attempt to create a routing adjacency between two third-party contexts without using designated mediation constructs.</w:t>
      </w:r>
    </w:p>
    <w:p>
      <w:pPr>
        <w:spacing w:after="210" w:lineRule="auto"/>
      </w:pPr>
      <w:r>
        <w:rPr>
          <w:b/>
        </w:rPr>
        <w:t xml:space="preserve">Expected Result</w:t>
      </w:r>
      <w:r>
        <w:rPr/>
        <w:t xml:space="preserve">: The attempt must fail structurally, not be blocked by policy. Removing firewall rules or ACLs should not enable connectivity if structural containment is properly implemented.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paradigm_2_mediated_capability_ex_ac9e36"/>
      <w:r>
        <w:rPr>
          <w:b/>
          <w:sz w:val="42"/>
        </w:rPr>
        <w:t xml:space="preserve">Paradigm 2: Mediated Capability Exposure</w:t>
      </w:r>
      <w:bookmarkEnd w:id="70"/>
    </w:p>
    <w:p>
      <w:pPr>
        <w:spacing w:line="271" w:before="240" w:lineRule="auto"/>
      </w:pPr>
      <w:bookmarkStart w:id="71" w:name="definition_6"/>
      <w:r>
        <w:rPr>
          <w:b/>
          <w:sz w:val="33"/>
        </w:rPr>
        <w:t xml:space="preserve">Definition</w:t>
      </w:r>
      <w:bookmarkEnd w:id="71"/>
    </w:p>
    <w:p>
      <w:pPr>
        <w:spacing w:after="210" w:lineRule="auto"/>
      </w:pPr>
      <w:r>
        <w:rPr>
          <w:b/>
        </w:rPr>
        <w:t xml:space="preserve">Security is enforced by mediation, not subnet reachability.</w:t>
      </w:r>
    </w:p>
    <w:p>
      <w:pPr>
        <w:spacing w:after="210" w:lineRule="auto"/>
      </w:pPr>
      <w:r>
        <w:rPr/>
        <w:t xml:space="preserve">Third parties receive access to explicitly declared capabilities, not broad network adjacency. All flows must traverse enforcement constructs. Destination scope is allow-listed, directionality is enforced, and protocol semantics are constrained.</w:t>
      </w:r>
    </w:p>
    <w:p>
      <w:pPr>
        <w:spacing w:line="271" w:before="240" w:lineRule="auto"/>
      </w:pPr>
      <w:bookmarkStart w:id="72" w:name="core_principle_6"/>
      <w:r>
        <w:rPr>
          <w:b/>
          <w:sz w:val="33"/>
        </w:rPr>
        <w:t xml:space="preserve">Core Principle</w:t>
      </w:r>
      <w:bookmarkEnd w:id="72"/>
    </w:p>
    <w:p>
      <w:pPr>
        <w:spacing w:after="210" w:lineRule="auto"/>
      </w:pPr>
      <w:r>
        <w:rPr/>
        <w:t xml:space="preserve">Network adjacency is coarse-grained. Once a subnet is reachable, every host in that subnet becomes potentially accessible unless further constrained.</w:t>
      </w:r>
    </w:p>
    <w:p>
      <w:pPr>
        <w:spacing w:after="210" w:lineRule="auto"/>
      </w:pPr>
      <w:r>
        <w:rPr/>
        <w:t xml:space="preserve">Mediated capability exposure replaces subnet adjacency with service adjacency:</w:t>
      </w:r>
    </w:p>
    <w:p>
      <w:pPr>
        <w:numPr>
          <w:ilvl w:val="0"/>
          <w:numId w:val="54"/>
        </w:numPr>
        <w:spacing w:lineRule="auto"/>
      </w:pPr>
      <w:r>
        <w:rPr/>
        <w:t xml:space="preserve">Third parties do not receive network-level reachability</w:t>
      </w:r>
    </w:p>
    <w:p>
      <w:pPr>
        <w:numPr>
          <w:ilvl w:val="0"/>
          <w:numId w:val="54"/>
        </w:numPr>
        <w:spacing w:lineRule="auto"/>
      </w:pPr>
      <w:r>
        <w:rPr/>
        <w:t xml:space="preserve">Access is scoped to specific endpoints and capabilities</w:t>
      </w:r>
    </w:p>
    <w:p>
      <w:pPr>
        <w:numPr>
          <w:ilvl w:val="0"/>
          <w:numId w:val="54"/>
        </w:numPr>
        <w:spacing w:lineRule="auto"/>
      </w:pPr>
      <w:r>
        <w:rPr/>
        <w:t xml:space="preserve">Proxy or enforcement layers sit between third parties and internal systems</w:t>
      </w:r>
    </w:p>
    <w:p>
      <w:pPr>
        <w:numPr>
          <w:ilvl w:val="0"/>
          <w:numId w:val="54"/>
        </w:numPr>
        <w:spacing w:lineRule="auto"/>
      </w:pPr>
      <w:r>
        <w:rPr/>
        <w:t xml:space="preserve">Protocol and direction constraints are architecturally enforced</w:t>
      </w:r>
    </w:p>
    <w:p>
      <w:pPr>
        <w:spacing w:line="271" w:before="240" w:lineRule="auto"/>
      </w:pPr>
      <w:bookmarkStart w:id="73" w:name="why_this_matters_for_third_party_64c2b5"/>
      <w:r>
        <w:rPr>
          <w:b/>
          <w:sz w:val="33"/>
        </w:rPr>
        <w:t xml:space="preserve">Why This Matters for Third-Party Connectivity</w:t>
      </w:r>
      <w:bookmarkEnd w:id="73"/>
    </w:p>
    <w:p>
      <w:pPr>
        <w:spacing w:after="210" w:lineRule="auto"/>
      </w:pPr>
      <w:r>
        <w:rPr/>
        <w:t xml:space="preserve">Traditional VPN models grant network extension. This creates common failure modes:</w:t>
      </w:r>
    </w:p>
    <w:p>
      <w:pPr>
        <w:numPr>
          <w:ilvl w:val="0"/>
          <w:numId w:val="55"/>
        </w:numPr>
        <w:spacing w:lineRule="auto"/>
      </w:pPr>
      <w:r>
        <w:rPr/>
        <w:t xml:space="preserve">Lateral exploration within internal networks</w:t>
      </w:r>
    </w:p>
    <w:p>
      <w:pPr>
        <w:numPr>
          <w:ilvl w:val="0"/>
          <w:numId w:val="55"/>
        </w:numPr>
        <w:spacing w:lineRule="auto"/>
      </w:pPr>
      <w:r>
        <w:rPr/>
        <w:t xml:space="preserve">Port range expansion over time ("make it work" syndrome)</w:t>
      </w:r>
    </w:p>
    <w:p>
      <w:pPr>
        <w:numPr>
          <w:ilvl w:val="0"/>
          <w:numId w:val="55"/>
        </w:numPr>
        <w:spacing w:lineRule="auto"/>
      </w:pPr>
      <w:r>
        <w:rPr/>
        <w:t xml:space="preserve">Overbroad firewall rules to accommodate application chatter</w:t>
      </w:r>
    </w:p>
    <w:p>
      <w:pPr>
        <w:numPr>
          <w:ilvl w:val="0"/>
          <w:numId w:val="55"/>
        </w:numPr>
        <w:spacing w:lineRule="auto"/>
      </w:pPr>
      <w:r>
        <w:rPr/>
        <w:t xml:space="preserve">Implicit trust of all hosts within reachable subnets</w:t>
      </w:r>
    </w:p>
    <w:p>
      <w:pPr>
        <w:spacing w:after="210" w:lineRule="auto"/>
      </w:pPr>
      <w:r>
        <w:rPr/>
        <w:t xml:space="preserve">Encryption (VPN tunnels, TLS) protects data in transit but does not reduce blast radius. Mediated capability exposure ensures that even with valid transport credentials, third parties can only invoke explicitly permitted capabilities[13][14].</w:t>
      </w:r>
    </w:p>
    <w:p>
      <w:pPr>
        <w:spacing w:line="271" w:before="240" w:lineRule="auto"/>
      </w:pPr>
      <w:bookmarkStart w:id="74" w:name="invariants_6"/>
      <w:r>
        <w:rPr>
          <w:b/>
          <w:sz w:val="33"/>
        </w:rPr>
        <w:t xml:space="preserve">Invariants</w:t>
      </w:r>
      <w:bookmarkEnd w:id="74"/>
    </w:p>
    <w:p>
      <w:pPr>
        <w:spacing w:after="210" w:lineRule="auto"/>
      </w:pPr>
      <w:r>
        <w:rPr>
          <w:b/>
        </w:rPr>
        <w:t xml:space="preserve">Invariant 2.1</w:t>
      </w:r>
      <w:r>
        <w:rPr/>
        <w:t xml:space="preserve">: No third party may access internal subnets directly. All permitted flows must traverse mediation constructs.</w:t>
      </w:r>
    </w:p>
    <w:p>
      <w:pPr>
        <w:spacing w:after="210" w:lineRule="auto"/>
      </w:pPr>
      <w:r>
        <w:rPr>
          <w:b/>
        </w:rPr>
        <w:t xml:space="preserve">Invariant 2.2</w:t>
      </w:r>
      <w:r>
        <w:rPr/>
        <w:t xml:space="preserve">: Destination scope must be explicitly declared and enforced. Wildcards or broad subnet ranges violate this requirement.</w:t>
      </w:r>
    </w:p>
    <w:p>
      <w:pPr>
        <w:spacing w:after="210" w:lineRule="auto"/>
      </w:pPr>
      <w:r>
        <w:rPr>
          <w:b/>
        </w:rPr>
        <w:t xml:space="preserve">Invariant 2.3</w:t>
      </w:r>
      <w:r>
        <w:rPr/>
        <w:t xml:space="preserve">: Directionality must be constrained. Bidirectional flows require explicit bidirectional authorization.</w:t>
      </w:r>
    </w:p>
    <w:p>
      <w:pPr>
        <w:spacing w:after="210" w:lineRule="auto"/>
      </w:pPr>
      <w:r>
        <w:rPr>
          <w:b/>
        </w:rPr>
        <w:t xml:space="preserve">Invariant 2.4</w:t>
      </w:r>
      <w:r>
        <w:rPr/>
        <w:t xml:space="preserve">: Protocol semantics must be enforced at Layer 7 where applicable. Generic TCP/UDP forwarding is insufficient for high-value capabilities.</w:t>
      </w:r>
    </w:p>
    <w:p>
      <w:pPr>
        <w:spacing w:after="210" w:lineRule="auto"/>
      </w:pPr>
      <w:r>
        <w:rPr>
          <w:b/>
        </w:rPr>
        <w:t xml:space="preserve">Invariant 2.5</w:t>
      </w:r>
      <w:r>
        <w:rPr/>
        <w:t xml:space="preserve">: Removing mediation must eliminate capability access. Direct fallback paths violate this paradigm.</w:t>
      </w:r>
    </w:p>
    <w:p>
      <w:pPr>
        <w:spacing w:line="271" w:before="240" w:lineRule="auto"/>
      </w:pPr>
      <w:bookmarkStart w:id="75" w:name="vendor_evaluation_questions_6"/>
      <w:r>
        <w:rPr>
          <w:b/>
          <w:sz w:val="33"/>
        </w:rPr>
        <w:t xml:space="preserve">Vendor Evaluation Questions</w:t>
      </w:r>
      <w:bookmarkEnd w:id="7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third parties route directly to internal subnets?</w:t>
            </w:r>
          </w:p>
        </w:tc>
        <w:tc>
          <w:tcPr>
            <w:tcBorders>
              <w:bottom w:val="single" w:sz="8" w:space="0" w:color="000000"/>
              <w:right w:val="single" w:sz="8" w:space="0" w:color="000000"/>
            </w:tcBorders>
            <w:vAlign w:val="top"/>
          </w:tcPr>
          <w:p>
            <w:pPr>
              <w:spacing w:lineRule="auto"/>
              <w:jc w:val="left"/>
            </w:pPr>
            <w:r>
              <w:rPr/>
              <w:t xml:space="preserve">Any "yes" answer disqualifies the solution under this paradigm.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are permitted endpoints declared?</w:t>
            </w:r>
          </w:p>
        </w:tc>
        <w:tc>
          <w:tcPr>
            <w:tcBorders>
              <w:bottom w:val="single" w:sz="8" w:space="0" w:color="000000"/>
              <w:right w:val="single" w:sz="8" w:space="0" w:color="000000"/>
            </w:tcBorders>
            <w:vAlign w:val="top"/>
          </w:tcPr>
          <w:p>
            <w:pPr>
              <w:spacing w:lineRule="auto"/>
              <w:jc w:val="left"/>
            </w:pPr>
            <w:r>
              <w:rPr/>
              <w:t xml:space="preserve">Look for explicit allow-lists (hostname, FQDN, specific IP) rather than subnet ranges or wildcards.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directionality enforced?</w:t>
            </w:r>
          </w:p>
        </w:tc>
        <w:tc>
          <w:tcPr>
            <w:tcBorders>
              <w:bottom w:val="single" w:sz="8" w:space="0" w:color="000000"/>
              <w:right w:val="single" w:sz="8" w:space="0" w:color="000000"/>
            </w:tcBorders>
            <w:vAlign w:val="top"/>
          </w:tcPr>
          <w:p>
            <w:pPr>
              <w:spacing w:lineRule="auto"/>
              <w:jc w:val="left"/>
            </w:pPr>
            <w:r>
              <w:rPr/>
              <w:t xml:space="preserve">Verify that inbound-only or outbound-only flows are architecturally constrained, not policy-dependent.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protocol enforcement is applied?</w:t>
            </w:r>
          </w:p>
        </w:tc>
        <w:tc>
          <w:tcPr>
            <w:tcBorders>
              <w:bottom w:val="single" w:sz="8" w:space="0" w:color="000000"/>
              <w:right w:val="single" w:sz="8" w:space="0" w:color="000000"/>
            </w:tcBorders>
            <w:vAlign w:val="top"/>
          </w:tcPr>
          <w:p>
            <w:pPr>
              <w:spacing w:lineRule="auto"/>
              <w:jc w:val="left"/>
            </w:pPr>
            <w:r>
              <w:rPr/>
              <w:t xml:space="preserve">Generic port forwarding is weaker than application-aware proxying (HTTP, SQL, RDP protocol validation).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the mediation layer is bypassed?</w:t>
            </w:r>
          </w:p>
        </w:tc>
        <w:tc>
          <w:tcPr>
            <w:tcBorders>
              <w:bottom w:val="single" w:sz="8" w:space="0" w:color="000000"/>
              <w:right w:val="single" w:sz="8" w:space="0" w:color="000000"/>
            </w:tcBorders>
            <w:vAlign w:val="top"/>
          </w:tcPr>
          <w:p>
            <w:pPr>
              <w:spacing w:lineRule="auto"/>
              <w:jc w:val="left"/>
            </w:pPr>
            <w:r>
              <w:rPr/>
              <w:t xml:space="preserve">If direct routes or firewall changes could restore connectivity, mediation is not architecturally enforced.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third parties discover or scan internal networks?</w:t>
            </w:r>
          </w:p>
        </w:tc>
        <w:tc>
          <w:tcPr>
            <w:tcBorders>
              <w:bottom w:val="single" w:sz="8" w:space="0" w:color="000000"/>
              <w:right w:val="single" w:sz="8" w:space="0" w:color="000000"/>
            </w:tcBorders>
            <w:vAlign w:val="top"/>
          </w:tcPr>
          <w:p>
            <w:pPr>
              <w:spacing w:lineRule="auto"/>
              <w:jc w:val="left"/>
            </w:pPr>
            <w:r>
              <w:rPr/>
              <w:t xml:space="preserve">Mediation should prevent enumeration, not just block access after discovery.</w:t>
            </w:r>
          </w:p>
        </w:tc>
      </w:tr>
    </w:tbl>
    <w:p>
      <w:pPr>
        <w:spacing w:lineRule="auto"/>
      </w:pPr>
    </w:p>
    <w:p>
      <w:pPr>
        <w:spacing w:lineRule="auto"/>
      </w:pPr>
      <w:r>
        <w:rPr/>
        <w:t xml:space="preserve">Table 7: Mediated Capability Exposure Evaluation Criteria</w:t>
      </w:r>
    </w:p>
    <w:p>
      <w:pPr>
        <w:spacing w:line="271" w:before="240" w:lineRule="auto"/>
      </w:pPr>
      <w:bookmarkStart w:id="76" w:name="validation_test_6"/>
      <w:r>
        <w:rPr>
          <w:b/>
          <w:sz w:val="33"/>
        </w:rPr>
        <w:t xml:space="preserve">Validation Test</w:t>
      </w:r>
      <w:bookmarkEnd w:id="76"/>
    </w:p>
    <w:p>
      <w:pPr>
        <w:spacing w:after="210" w:lineRule="auto"/>
      </w:pPr>
      <w:r>
        <w:rPr>
          <w:b/>
        </w:rPr>
        <w:t xml:space="preserve">Test</w:t>
      </w:r>
      <w:r>
        <w:rPr/>
        <w:t xml:space="preserve">: Remove or disable the mediation construct (proxy, gateway, broker) and attempt to reach the internal endpoint from the third-party context.</w:t>
      </w:r>
    </w:p>
    <w:p>
      <w:pPr>
        <w:spacing w:after="210" w:lineRule="auto"/>
      </w:pPr>
      <w:r>
        <w:rPr>
          <w:b/>
        </w:rPr>
        <w:t xml:space="preserve">Expected Result</w:t>
      </w:r>
      <w:r>
        <w:rPr/>
        <w:t xml:space="preserve">: All connectivity must fail. If direct network routes remain functional, mediation is not structurally enforced.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paradigm_3_identity_bound_authori_f5fa8a"/>
      <w:r>
        <w:rPr>
          <w:b/>
          <w:sz w:val="42"/>
        </w:rPr>
        <w:t xml:space="preserve">Paradigm 3: Identity-Bound Authorization</w:t>
      </w:r>
      <w:bookmarkEnd w:id="77"/>
    </w:p>
    <w:p>
      <w:pPr>
        <w:spacing w:line="271" w:before="240" w:lineRule="auto"/>
      </w:pPr>
      <w:bookmarkStart w:id="78" w:name="definition_7"/>
      <w:r>
        <w:rPr>
          <w:b/>
          <w:sz w:val="33"/>
        </w:rPr>
        <w:t xml:space="preserve">Definition</w:t>
      </w:r>
      <w:bookmarkEnd w:id="78"/>
    </w:p>
    <w:p>
      <w:pPr>
        <w:spacing w:after="210" w:lineRule="auto"/>
      </w:pPr>
      <w:r>
        <w:rPr>
          <w:b/>
        </w:rPr>
        <w:t xml:space="preserve">Security is enforced at the subject level, not location level.</w:t>
      </w:r>
    </w:p>
    <w:p>
      <w:pPr>
        <w:spacing w:after="210" w:lineRule="auto"/>
      </w:pPr>
      <w:r>
        <w:rPr/>
        <w:t xml:space="preserve">Identity must be cryptographically validated, tenant-scoped, and bound to declared capabilities. Authorization decisions depend on authenticated subjects, not source IP addresses or network position. Revocation must be independent of routing topology.</w:t>
      </w:r>
    </w:p>
    <w:p>
      <w:pPr>
        <w:spacing w:line="271" w:before="240" w:lineRule="auto"/>
      </w:pPr>
      <w:bookmarkStart w:id="79" w:name="core_principle_7"/>
      <w:r>
        <w:rPr>
          <w:b/>
          <w:sz w:val="33"/>
        </w:rPr>
        <w:t xml:space="preserve">Core Principle</w:t>
      </w:r>
      <w:bookmarkEnd w:id="79"/>
    </w:p>
    <w:p>
      <w:pPr>
        <w:spacing w:after="210" w:lineRule="auto"/>
      </w:pPr>
      <w:r>
        <w:rPr/>
        <w:t xml:space="preserve">Location-based trust is fragile. IP addresses represent network position, not actor identity. In distributed ecosystems with overlapping infrastructure, reused address space, and NAT boundaries, identity must anchor trust[15][16].</w:t>
      </w:r>
    </w:p>
    <w:p>
      <w:pPr>
        <w:spacing w:after="210" w:lineRule="auto"/>
      </w:pPr>
      <w:r>
        <w:rPr/>
        <w:t xml:space="preserve">Identity-bound authorization requires:</w:t>
      </w:r>
    </w:p>
    <w:p>
      <w:pPr>
        <w:numPr>
          <w:ilvl w:val="0"/>
          <w:numId w:val="56"/>
        </w:numPr>
        <w:spacing w:lineRule="auto"/>
      </w:pPr>
      <w:r>
        <w:rPr/>
        <w:t xml:space="preserve">Cryptographic validation of subjects (certificates, tokens, attested identities)</w:t>
      </w:r>
    </w:p>
    <w:p>
      <w:pPr>
        <w:numPr>
          <w:ilvl w:val="0"/>
          <w:numId w:val="56"/>
        </w:numPr>
        <w:spacing w:lineRule="auto"/>
      </w:pPr>
      <w:r>
        <w:rPr/>
        <w:t xml:space="preserve">Tenant-scoped trust anchors to prevent cross-tenant credential reuse</w:t>
      </w:r>
    </w:p>
    <w:p>
      <w:pPr>
        <w:numPr>
          <w:ilvl w:val="0"/>
          <w:numId w:val="56"/>
        </w:numPr>
        <w:spacing w:lineRule="auto"/>
      </w:pPr>
      <w:r>
        <w:rPr/>
        <w:t xml:space="preserve">Access decisions that bind identity to capability, not network to capability</w:t>
      </w:r>
    </w:p>
    <w:p>
      <w:pPr>
        <w:numPr>
          <w:ilvl w:val="0"/>
          <w:numId w:val="56"/>
        </w:numPr>
        <w:spacing w:lineRule="auto"/>
      </w:pPr>
      <w:r>
        <w:rPr/>
        <w:t xml:space="preserve">Revocation mechanisms independent of routing or firewall changes</w:t>
      </w:r>
    </w:p>
    <w:p>
      <w:pPr>
        <w:spacing w:line="271" w:before="240" w:lineRule="auto"/>
      </w:pPr>
      <w:bookmarkStart w:id="80" w:name="why_this_matters_for_third_party_64c2b5"/>
      <w:r>
        <w:rPr>
          <w:b/>
          <w:sz w:val="33"/>
        </w:rPr>
        <w:t xml:space="preserve">Why This Matters for Third-Party Connectivity</w:t>
      </w:r>
      <w:bookmarkEnd w:id="80"/>
    </w:p>
    <w:p>
      <w:pPr>
        <w:spacing w:after="210" w:lineRule="auto"/>
      </w:pPr>
      <w:r>
        <w:rPr/>
        <w:t xml:space="preserve">Location-based authorization fails when:</w:t>
      </w:r>
    </w:p>
    <w:p>
      <w:pPr>
        <w:numPr>
          <w:ilvl w:val="0"/>
          <w:numId w:val="57"/>
        </w:numPr>
        <w:spacing w:lineRule="auto"/>
      </w:pPr>
      <w:r>
        <w:rPr/>
        <w:t xml:space="preserve">IP addresses are reused across vendors or tenants</w:t>
      </w:r>
    </w:p>
    <w:p>
      <w:pPr>
        <w:numPr>
          <w:ilvl w:val="0"/>
          <w:numId w:val="57"/>
        </w:numPr>
        <w:spacing w:lineRule="auto"/>
      </w:pPr>
      <w:r>
        <w:rPr/>
        <w:t xml:space="preserve">Third parties share infrastructure (managed service providers, cloud platforms)</w:t>
      </w:r>
    </w:p>
    <w:p>
      <w:pPr>
        <w:numPr>
          <w:ilvl w:val="0"/>
          <w:numId w:val="57"/>
        </w:numPr>
        <w:spacing w:lineRule="auto"/>
      </w:pPr>
      <w:r>
        <w:rPr/>
        <w:t xml:space="preserve">NAT obscures true origin of requests</w:t>
      </w:r>
    </w:p>
    <w:p>
      <w:pPr>
        <w:numPr>
          <w:ilvl w:val="0"/>
          <w:numId w:val="57"/>
        </w:numPr>
        <w:spacing w:lineRule="auto"/>
      </w:pPr>
      <w:r>
        <w:rPr/>
        <w:t xml:space="preserve">VPN presence is treated as sufficient authorization</w:t>
      </w:r>
    </w:p>
    <w:p>
      <w:pPr>
        <w:numPr>
          <w:ilvl w:val="0"/>
          <w:numId w:val="57"/>
        </w:numPr>
        <w:spacing w:lineRule="auto"/>
      </w:pPr>
      <w:r>
        <w:rPr/>
        <w:t xml:space="preserve">Credentials are shared across multiple actors within a vendor organization</w:t>
      </w:r>
    </w:p>
    <w:p>
      <w:pPr>
        <w:spacing w:after="210" w:lineRule="auto"/>
      </w:pPr>
      <w:r>
        <w:rPr/>
        <w:t xml:space="preserve">Identity-bound authorization ensures that even if transport-level access exists (VPN tunnel, network route), each request requires validated subject identity and that identity determines capability scope[17].</w:t>
      </w:r>
    </w:p>
    <w:p>
      <w:pPr>
        <w:spacing w:line="271" w:before="240" w:lineRule="auto"/>
      </w:pPr>
      <w:bookmarkStart w:id="81" w:name="invariants_7"/>
      <w:r>
        <w:rPr>
          <w:b/>
          <w:sz w:val="33"/>
        </w:rPr>
        <w:t xml:space="preserve">Invariants</w:t>
      </w:r>
      <w:bookmarkEnd w:id="81"/>
    </w:p>
    <w:p>
      <w:pPr>
        <w:spacing w:after="210" w:lineRule="auto"/>
      </w:pPr>
      <w:r>
        <w:rPr>
          <w:b/>
        </w:rPr>
        <w:t xml:space="preserve">Invariant 3.1</w:t>
      </w:r>
      <w:r>
        <w:rPr/>
        <w:t xml:space="preserve">: Access must be denied in the absence of validated identity. Network reachability alone must be insufficient.</w:t>
      </w:r>
    </w:p>
    <w:p>
      <w:pPr>
        <w:spacing w:after="210" w:lineRule="auto"/>
      </w:pPr>
      <w:r>
        <w:rPr>
          <w:b/>
        </w:rPr>
        <w:t xml:space="preserve">Invariant 3.2</w:t>
      </w:r>
      <w:r>
        <w:rPr/>
        <w:t xml:space="preserve">: Identity scope must be limited to the tenant context. Credentials from one third party must not grant access to another's resources.</w:t>
      </w:r>
    </w:p>
    <w:p>
      <w:pPr>
        <w:spacing w:after="210" w:lineRule="auto"/>
      </w:pPr>
      <w:r>
        <w:rPr>
          <w:b/>
        </w:rPr>
        <w:t xml:space="preserve">Invariant 3.3</w:t>
      </w:r>
      <w:r>
        <w:rPr/>
        <w:t xml:space="preserve">: Identity revocation must prevent capability access immediately without requiring routing or firewall changes.</w:t>
      </w:r>
    </w:p>
    <w:p>
      <w:pPr>
        <w:spacing w:after="210" w:lineRule="auto"/>
      </w:pPr>
      <w:r>
        <w:rPr>
          <w:b/>
        </w:rPr>
        <w:t xml:space="preserve">Invariant 3.4</w:t>
      </w:r>
      <w:r>
        <w:rPr/>
        <w:t xml:space="preserve">: Authorization decisions must bind subject identity to capability invocation. Source IP must not substitute for identity validation.</w:t>
      </w:r>
    </w:p>
    <w:p>
      <w:pPr>
        <w:spacing w:line="271" w:before="240" w:lineRule="auto"/>
      </w:pPr>
      <w:bookmarkStart w:id="82" w:name="vendor_evaluation_questions_7"/>
      <w:r>
        <w:rPr>
          <w:b/>
          <w:sz w:val="33"/>
        </w:rPr>
        <w:t xml:space="preserve">Vendor Evaluation Questions</w:t>
      </w:r>
      <w:bookmarkEnd w:id="82"/>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third-party identity established?</w:t>
            </w:r>
          </w:p>
        </w:tc>
        <w:tc>
          <w:tcPr>
            <w:tcBorders>
              <w:bottom w:val="single" w:sz="8" w:space="0" w:color="000000"/>
              <w:right w:val="single" w:sz="8" w:space="0" w:color="000000"/>
            </w:tcBorders>
            <w:vAlign w:val="top"/>
          </w:tcPr>
          <w:p>
            <w:pPr>
              <w:spacing w:lineRule="auto"/>
              <w:jc w:val="left"/>
            </w:pPr>
            <w:r>
              <w:rPr/>
              <w:t xml:space="preserve">Look for certificate-based authentication (mTLS), token-based systems (OAuth, SAML), or attested identities. Avoid IP-based or static password schemes.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Is identity tenant-scoped?</w:t>
            </w:r>
          </w:p>
        </w:tc>
        <w:tc>
          <w:tcPr>
            <w:tcBorders>
              <w:bottom w:val="single" w:sz="8" w:space="0" w:color="000000"/>
              <w:right w:val="single" w:sz="8" w:space="0" w:color="000000"/>
            </w:tcBorders>
            <w:vAlign w:val="top"/>
          </w:tcPr>
          <w:p>
            <w:pPr>
              <w:spacing w:lineRule="auto"/>
              <w:jc w:val="left"/>
            </w:pPr>
            <w:r>
              <w:rPr/>
              <w:t xml:space="preserve">Verify per-third-party certificate authorities, isolated identity providers, or tenant-specific trust anchors.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identity be revoked independently?</w:t>
            </w:r>
          </w:p>
        </w:tc>
        <w:tc>
          <w:tcPr>
            <w:tcBorders>
              <w:bottom w:val="single" w:sz="8" w:space="0" w:color="000000"/>
              <w:right w:val="single" w:sz="8" w:space="0" w:color="000000"/>
            </w:tcBorders>
            <w:vAlign w:val="top"/>
          </w:tcPr>
          <w:p>
            <w:pPr>
              <w:spacing w:lineRule="auto"/>
              <w:jc w:val="left"/>
            </w:pPr>
            <w:r>
              <w:rPr/>
              <w:t xml:space="preserve">Revocation should not require network changes. Certificate revocation lists, token invalidation, or identity provider updates should suffice.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Are authorization decisions identity-aware?</w:t>
            </w:r>
          </w:p>
        </w:tc>
        <w:tc>
          <w:tcPr>
            <w:tcBorders>
              <w:bottom w:val="single" w:sz="8" w:space="0" w:color="000000"/>
              <w:right w:val="single" w:sz="8" w:space="0" w:color="000000"/>
            </w:tcBorders>
            <w:vAlign w:val="top"/>
          </w:tcPr>
          <w:p>
            <w:pPr>
              <w:spacing w:lineRule="auto"/>
              <w:jc w:val="left"/>
            </w:pPr>
            <w:r>
              <w:rPr/>
              <w:t xml:space="preserve">Logs should show subject identity, not just source IP. Access denials should cite identity validation failures.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identity validation fails but network access exists?</w:t>
            </w:r>
          </w:p>
        </w:tc>
        <w:tc>
          <w:tcPr>
            <w:tcBorders>
              <w:bottom w:val="single" w:sz="8" w:space="0" w:color="000000"/>
              <w:right w:val="single" w:sz="8" w:space="0" w:color="000000"/>
            </w:tcBorders>
            <w:vAlign w:val="top"/>
          </w:tcPr>
          <w:p>
            <w:pPr>
              <w:spacing w:lineRule="auto"/>
              <w:jc w:val="left"/>
            </w:pPr>
            <w:r>
              <w:rPr/>
              <w:t xml:space="preserve">Access must be blocked. Network adjacency must not override identity requirements.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one third party impersonate another?</w:t>
            </w:r>
          </w:p>
        </w:tc>
        <w:tc>
          <w:tcPr>
            <w:tcBorders>
              <w:bottom w:val="single" w:sz="8" w:space="0" w:color="000000"/>
              <w:right w:val="single" w:sz="8" w:space="0" w:color="000000"/>
            </w:tcBorders>
            <w:vAlign w:val="top"/>
          </w:tcPr>
          <w:p>
            <w:pPr>
              <w:spacing w:lineRule="auto"/>
              <w:jc w:val="left"/>
            </w:pPr>
            <w:r>
              <w:rPr/>
              <w:t xml:space="preserve">Cross-tenant credential reuse or shared trust anchors violate tenant scoping.</w:t>
            </w:r>
          </w:p>
        </w:tc>
      </w:tr>
    </w:tbl>
    <w:p>
      <w:pPr>
        <w:spacing w:lineRule="auto"/>
      </w:pPr>
    </w:p>
    <w:p>
      <w:pPr>
        <w:spacing w:lineRule="auto"/>
      </w:pPr>
      <w:r>
        <w:rPr/>
        <w:t xml:space="preserve">Table 8: Identity-Bound Authorization Evaluation Criteria</w:t>
      </w:r>
    </w:p>
    <w:p>
      <w:pPr>
        <w:spacing w:line="271" w:before="240" w:lineRule="auto"/>
      </w:pPr>
      <w:bookmarkStart w:id="83" w:name="validation_test_7"/>
      <w:r>
        <w:rPr>
          <w:b/>
          <w:sz w:val="33"/>
        </w:rPr>
        <w:t xml:space="preserve">Validation Test</w:t>
      </w:r>
      <w:bookmarkEnd w:id="83"/>
    </w:p>
    <w:p>
      <w:pPr>
        <w:spacing w:after="210" w:lineRule="auto"/>
      </w:pPr>
      <w:r>
        <w:rPr>
          <w:b/>
        </w:rPr>
        <w:t xml:space="preserve">Test</w:t>
      </w:r>
      <w:r>
        <w:rPr/>
        <w:t xml:space="preserve">: Establish network connectivity (VPN tunnel, route) but provide invalid or expired identity credentials.</w:t>
      </w:r>
    </w:p>
    <w:p>
      <w:pPr>
        <w:spacing w:after="210" w:lineRule="auto"/>
      </w:pPr>
      <w:r>
        <w:rPr>
          <w:b/>
        </w:rPr>
        <w:t xml:space="preserve">Expected Result</w:t>
      </w:r>
      <w:r>
        <w:rPr/>
        <w:t xml:space="preserve">: All capability access must be blocked despite valid network-level transport. Identity validation failures must prevent authorization.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paradigm_4_deterministic_lifecycl_9741ca"/>
      <w:r>
        <w:rPr>
          <w:b/>
          <w:sz w:val="42"/>
        </w:rPr>
        <w:t xml:space="preserve">Paradigm 4: Deterministic Lifecycle Governance</w:t>
      </w:r>
      <w:bookmarkEnd w:id="84"/>
    </w:p>
    <w:p>
      <w:pPr>
        <w:spacing w:line="271" w:before="240" w:lineRule="auto"/>
      </w:pPr>
      <w:bookmarkStart w:id="85" w:name="definition_8"/>
      <w:r>
        <w:rPr>
          <w:b/>
          <w:sz w:val="33"/>
        </w:rPr>
        <w:t xml:space="preserve">Definition</w:t>
      </w:r>
      <w:bookmarkEnd w:id="85"/>
    </w:p>
    <w:p>
      <w:pPr>
        <w:spacing w:after="210" w:lineRule="auto"/>
      </w:pPr>
      <w:r>
        <w:rPr>
          <w:b/>
        </w:rPr>
        <w:t xml:space="preserve">Security is enforced over time, not just at creation.</w:t>
      </w:r>
    </w:p>
    <w:p>
      <w:pPr>
        <w:spacing w:after="210" w:lineRule="auto"/>
      </w:pPr>
      <w:r>
        <w:rPr/>
        <w:t xml:space="preserve">Provisioning must be declarative and idempotent. Removal must be deterministic and eliminate all artifacts. Exposure must not persist beyond declared lifecycle without reauthorization. Extensions must inherit containment properties.</w:t>
      </w:r>
    </w:p>
    <w:p>
      <w:pPr>
        <w:spacing w:line="271" w:before="240" w:lineRule="auto"/>
      </w:pPr>
      <w:bookmarkStart w:id="86" w:name="core_principle_8"/>
      <w:r>
        <w:rPr>
          <w:b/>
          <w:sz w:val="33"/>
        </w:rPr>
        <w:t xml:space="preserve">Core Principle</w:t>
      </w:r>
      <w:bookmarkEnd w:id="86"/>
    </w:p>
    <w:p>
      <w:pPr>
        <w:spacing w:after="210" w:lineRule="auto"/>
      </w:pPr>
      <w:r>
        <w:rPr/>
        <w:t xml:space="preserve">Security failures accumulate over time. Provisioning receives engineering attention and operational rigor. Removal is often neglected, manual, or operationally risky.</w:t>
      </w:r>
    </w:p>
    <w:p>
      <w:pPr>
        <w:spacing w:after="210" w:lineRule="auto"/>
      </w:pPr>
      <w:r>
        <w:rPr/>
        <w:t xml:space="preserve">This lifecycle asymmetry drives exposure sprawl:</w:t>
      </w:r>
    </w:p>
    <w:p>
      <w:pPr>
        <w:numPr>
          <w:ilvl w:val="0"/>
          <w:numId w:val="58"/>
        </w:numPr>
        <w:spacing w:lineRule="auto"/>
      </w:pPr>
      <w:r>
        <w:rPr/>
        <w:t xml:space="preserve">Orphaned tunnels persist after vendor relationships end</w:t>
      </w:r>
    </w:p>
    <w:p>
      <w:pPr>
        <w:numPr>
          <w:ilvl w:val="0"/>
          <w:numId w:val="58"/>
        </w:numPr>
        <w:spacing w:lineRule="auto"/>
      </w:pPr>
      <w:r>
        <w:rPr/>
        <w:t xml:space="preserve">Firewall rules remain when integrations are "temporarily" disabled</w:t>
      </w:r>
    </w:p>
    <w:p>
      <w:pPr>
        <w:numPr>
          <w:ilvl w:val="0"/>
          <w:numId w:val="58"/>
        </w:numPr>
        <w:spacing w:lineRule="auto"/>
      </w:pPr>
      <w:r>
        <w:rPr/>
        <w:t xml:space="preserve">Stale route advertisements continue after migrations</w:t>
      </w:r>
    </w:p>
    <w:p>
      <w:pPr>
        <w:numPr>
          <w:ilvl w:val="0"/>
          <w:numId w:val="58"/>
        </w:numPr>
        <w:spacing w:lineRule="auto"/>
      </w:pPr>
      <w:r>
        <w:rPr/>
        <w:t xml:space="preserve">Dormant connections stay reachable because removal might break something</w:t>
      </w:r>
    </w:p>
    <w:p>
      <w:pPr>
        <w:spacing w:after="210" w:lineRule="auto"/>
      </w:pPr>
      <w:r>
        <w:rPr/>
        <w:t xml:space="preserve">Deterministic lifecycle governance treats reversibility as a security primitive. Provisioning and teardown must receive equal architectural rigor[18][19].</w:t>
      </w:r>
    </w:p>
    <w:p>
      <w:pPr>
        <w:spacing w:line="271" w:before="240" w:lineRule="auto"/>
      </w:pPr>
      <w:bookmarkStart w:id="87" w:name="why_this_matters_for_third_party_64c2b5"/>
      <w:r>
        <w:rPr>
          <w:b/>
          <w:sz w:val="33"/>
        </w:rPr>
        <w:t xml:space="preserve">Why This Matters for Third-Party Connectivity</w:t>
      </w:r>
      <w:bookmarkEnd w:id="87"/>
    </w:p>
    <w:p>
      <w:pPr>
        <w:spacing w:after="210" w:lineRule="auto"/>
      </w:pPr>
      <w:r>
        <w:rPr/>
        <w:t xml:space="preserve">Third-party relationships evolve:</w:t>
      </w:r>
    </w:p>
    <w:p>
      <w:pPr>
        <w:numPr>
          <w:ilvl w:val="0"/>
          <w:numId w:val="59"/>
        </w:numPr>
        <w:spacing w:lineRule="auto"/>
      </w:pPr>
      <w:r>
        <w:rPr/>
        <w:t xml:space="preserve">Vendors are onboarded and offboarded</w:t>
      </w:r>
    </w:p>
    <w:p>
      <w:pPr>
        <w:numPr>
          <w:ilvl w:val="0"/>
          <w:numId w:val="59"/>
        </w:numPr>
        <w:spacing w:lineRule="auto"/>
      </w:pPr>
      <w:r>
        <w:rPr/>
        <w:t xml:space="preserve">Projects complete and integrations sunset</w:t>
      </w:r>
    </w:p>
    <w:p>
      <w:pPr>
        <w:numPr>
          <w:ilvl w:val="0"/>
          <w:numId w:val="59"/>
        </w:numPr>
        <w:spacing w:lineRule="auto"/>
      </w:pPr>
      <w:r>
        <w:rPr/>
        <w:t xml:space="preserve">Contracts expire and are not renewed</w:t>
      </w:r>
    </w:p>
    <w:p>
      <w:pPr>
        <w:numPr>
          <w:ilvl w:val="0"/>
          <w:numId w:val="59"/>
        </w:numPr>
        <w:spacing w:lineRule="auto"/>
      </w:pPr>
      <w:r>
        <w:rPr/>
        <w:t xml:space="preserve">Scope changes require capability adjustments</w:t>
      </w:r>
    </w:p>
    <w:p>
      <w:pPr>
        <w:numPr>
          <w:ilvl w:val="0"/>
          <w:numId w:val="59"/>
        </w:numPr>
        <w:spacing w:lineRule="auto"/>
      </w:pPr>
      <w:r>
        <w:rPr/>
        <w:t xml:space="preserve">Incident response may require emergency revocation</w:t>
      </w:r>
    </w:p>
    <w:p>
      <w:pPr>
        <w:spacing w:after="210" w:lineRule="auto"/>
      </w:pPr>
      <w:r>
        <w:rPr/>
        <w:t xml:space="preserve">If removal is manual, error-prone, or incomplete, exposure accumulates. Long-lived integrations become too risky to modify. Security debt grows.</w:t>
      </w:r>
    </w:p>
    <w:p>
      <w:pPr>
        <w:spacing w:after="210" w:lineRule="auto"/>
      </w:pPr>
      <w:r>
        <w:rPr/>
        <w:t xml:space="preserve">Deterministic lifecycle governance ensures that every integration can be cleanly removed and that temporary access actually expires[20].</w:t>
      </w:r>
    </w:p>
    <w:p>
      <w:pPr>
        <w:spacing w:line="271" w:before="240" w:lineRule="auto"/>
      </w:pPr>
      <w:bookmarkStart w:id="88" w:name="invariants_8"/>
      <w:r>
        <w:rPr>
          <w:b/>
          <w:sz w:val="33"/>
        </w:rPr>
        <w:t xml:space="preserve">Invariants</w:t>
      </w:r>
      <w:bookmarkEnd w:id="88"/>
    </w:p>
    <w:p>
      <w:pPr>
        <w:spacing w:after="210" w:lineRule="auto"/>
      </w:pPr>
      <w:r>
        <w:rPr>
          <w:b/>
        </w:rPr>
        <w:t xml:space="preserve">Invariant 4.1</w:t>
      </w:r>
      <w:r>
        <w:rPr/>
        <w:t xml:space="preserve">: Provisioning must be idempotent. Repeated application of the same configuration must produce identical state.</w:t>
      </w:r>
    </w:p>
    <w:p>
      <w:pPr>
        <w:spacing w:after="210" w:lineRule="auto"/>
      </w:pPr>
      <w:r>
        <w:rPr>
          <w:b/>
        </w:rPr>
        <w:t xml:space="preserve">Invariant 4.2</w:t>
      </w:r>
      <w:r>
        <w:rPr/>
        <w:t xml:space="preserve">: Removal must eliminate all artifacts. Deleting a third-party integration must remove tunnels, routes, mediation proxies, identity constructs, and inspection hooks.</w:t>
      </w:r>
    </w:p>
    <w:p>
      <w:pPr>
        <w:spacing w:after="210" w:lineRule="auto"/>
      </w:pPr>
      <w:r>
        <w:rPr>
          <w:b/>
        </w:rPr>
        <w:t xml:space="preserve">Invariant 4.3</w:t>
      </w:r>
      <w:r>
        <w:rPr/>
        <w:t xml:space="preserve">: Exposure must not persist beyond declared lifecycle. Expired integrations must automatically suspend unless explicitly renewed.</w:t>
      </w:r>
    </w:p>
    <w:p>
      <w:pPr>
        <w:spacing w:after="210" w:lineRule="auto"/>
      </w:pPr>
      <w:r>
        <w:rPr>
          <w:b/>
        </w:rPr>
        <w:t xml:space="preserve">Invariant 4.4</w:t>
      </w:r>
      <w:r>
        <w:rPr/>
        <w:t xml:space="preserve">: Lifecycle state must be auditable. System state must be reconstructable from declarative configuration and audit logs.</w:t>
      </w:r>
    </w:p>
    <w:p>
      <w:pPr>
        <w:spacing w:after="210" w:lineRule="auto"/>
      </w:pPr>
      <w:r>
        <w:rPr>
          <w:b/>
        </w:rPr>
        <w:t xml:space="preserve">Invariant 4.5</w:t>
      </w:r>
      <w:r>
        <w:rPr/>
        <w:t xml:space="preserve">: Extensions (scope changes, duration extensions) must inherit the same containment, mediation, and identity properties as original provisioning.</w:t>
      </w:r>
    </w:p>
    <w:p>
      <w:pPr>
        <w:spacing w:line="271" w:before="240" w:lineRule="auto"/>
      </w:pPr>
      <w:bookmarkStart w:id="89" w:name="vendor_evaluation_questions_8"/>
      <w:r>
        <w:rPr>
          <w:b/>
          <w:sz w:val="33"/>
        </w:rPr>
        <w:t xml:space="preserve">Vendor Evaluation Questions</w:t>
      </w:r>
      <w:bookmarkEnd w:id="8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Question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What to Assess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third-party connectivity provisioned?</w:t>
            </w:r>
          </w:p>
        </w:tc>
        <w:tc>
          <w:tcPr>
            <w:tcBorders>
              <w:bottom w:val="single" w:sz="8" w:space="0" w:color="000000"/>
              <w:right w:val="single" w:sz="8" w:space="0" w:color="000000"/>
            </w:tcBorders>
            <w:vAlign w:val="top"/>
          </w:tcPr>
          <w:p>
            <w:pPr>
              <w:spacing w:lineRule="auto"/>
              <w:jc w:val="left"/>
            </w:pPr>
            <w:r>
              <w:rPr/>
              <w:t xml:space="preserve">Declarative configuration (IaC, YAML, API-driven) is superior to manual GUI workflows or CLI scripts.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artifacts are created during provisioning?</w:t>
            </w:r>
          </w:p>
        </w:tc>
        <w:tc>
          <w:tcPr>
            <w:tcBorders>
              <w:bottom w:val="single" w:sz="8" w:space="0" w:color="000000"/>
              <w:right w:val="single" w:sz="8" w:space="0" w:color="000000"/>
            </w:tcBorders>
            <w:vAlign w:val="top"/>
          </w:tcPr>
          <w:p>
            <w:pPr>
              <w:spacing w:lineRule="auto"/>
              <w:jc w:val="left"/>
            </w:pPr>
            <w:r>
              <w:rPr/>
              <w:t xml:space="preserve">Document tunnels, routes, firewall rules, proxy configs, certificates, logging hooks. All must be tracked.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How is removal performed?</w:t>
            </w:r>
          </w:p>
        </w:tc>
        <w:tc>
          <w:tcPr>
            <w:tcBorders>
              <w:bottom w:val="single" w:sz="8" w:space="0" w:color="000000"/>
              <w:right w:val="single" w:sz="8" w:space="0" w:color="000000"/>
            </w:tcBorders>
            <w:vAlign w:val="top"/>
          </w:tcPr>
          <w:p>
            <w:pPr>
              <w:spacing w:lineRule="auto"/>
              <w:jc w:val="left"/>
            </w:pPr>
            <w:r>
              <w:rPr/>
              <w:t xml:space="preserve">Automated teardown scripts or declarative deletion are required. Manual removal checklists are insufficient.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if removal fails partially?</w:t>
            </w:r>
          </w:p>
        </w:tc>
        <w:tc>
          <w:tcPr>
            <w:tcBorders>
              <w:bottom w:val="single" w:sz="8" w:space="0" w:color="000000"/>
              <w:right w:val="single" w:sz="8" w:space="0" w:color="000000"/>
            </w:tcBorders>
            <w:vAlign w:val="top"/>
          </w:tcPr>
          <w:p>
            <w:pPr>
              <w:spacing w:lineRule="auto"/>
              <w:jc w:val="left"/>
            </w:pPr>
            <w:r>
              <w:rPr/>
              <w:t xml:space="preserve">Look for rollback mechanisms, failure detection, and remediation workflows. Partial removal creates residual exposure.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Does the solution support expiration?</w:t>
            </w:r>
          </w:p>
        </w:tc>
        <w:tc>
          <w:tcPr>
            <w:tcBorders>
              <w:bottom w:val="single" w:sz="8" w:space="0" w:color="000000"/>
              <w:right w:val="single" w:sz="8" w:space="0" w:color="000000"/>
            </w:tcBorders>
            <w:vAlign w:val="top"/>
          </w:tcPr>
          <w:p>
            <w:pPr>
              <w:spacing w:lineRule="auto"/>
              <w:jc w:val="left"/>
            </w:pPr>
            <w:r>
              <w:rPr/>
              <w:t xml:space="preserve">Time-bound access with automatic suspension is essential for temporary integrations.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 you reconstruct current state from config?</w:t>
            </w:r>
          </w:p>
        </w:tc>
        <w:tc>
          <w:tcPr>
            <w:tcBorders>
              <w:bottom w:val="single" w:sz="8" w:space="0" w:color="000000"/>
              <w:right w:val="single" w:sz="8" w:space="0" w:color="000000"/>
            </w:tcBorders>
            <w:vAlign w:val="top"/>
          </w:tcPr>
          <w:p>
            <w:pPr>
              <w:spacing w:lineRule="auto"/>
              <w:jc w:val="left"/>
            </w:pPr>
            <w:r>
              <w:rPr/>
              <w:t xml:space="preserve">Drift detection and state reconciliation ensure configuration matches reality.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Are lifecycle transitions logged?</w:t>
            </w:r>
          </w:p>
        </w:tc>
        <w:tc>
          <w:tcPr>
            <w:tcBorders>
              <w:bottom w:val="single" w:sz="8" w:space="0" w:color="000000"/>
              <w:right w:val="single" w:sz="8" w:space="0" w:color="000000"/>
            </w:tcBorders>
            <w:vAlign w:val="top"/>
          </w:tcPr>
          <w:p>
            <w:pPr>
              <w:spacing w:lineRule="auto"/>
              <w:jc w:val="left"/>
            </w:pPr>
            <w:r>
              <w:rPr/>
              <w:t xml:space="preserve">Audit logs should capture provisioning, modification, suspension, and removal events with timestamps and actors.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What happens during scope extensions?</w:t>
            </w:r>
          </w:p>
        </w:tc>
        <w:tc>
          <w:tcPr>
            <w:tcBorders>
              <w:bottom w:val="single" w:sz="8" w:space="0" w:color="000000"/>
              <w:right w:val="single" w:sz="8" w:space="0" w:color="000000"/>
            </w:tcBorders>
            <w:vAlign w:val="top"/>
          </w:tcPr>
          <w:p>
            <w:pPr>
              <w:spacing w:lineRule="auto"/>
              <w:jc w:val="left"/>
            </w:pPr>
            <w:r>
              <w:rPr/>
              <w:t xml:space="preserve">Verify that extended integrations maintain isolation, mediation, and identity requirements.</w:t>
            </w:r>
          </w:p>
        </w:tc>
      </w:tr>
    </w:tbl>
    <w:p>
      <w:pPr>
        <w:spacing w:lineRule="auto"/>
      </w:pPr>
    </w:p>
    <w:p>
      <w:pPr>
        <w:spacing w:lineRule="auto"/>
      </w:pPr>
      <w:r>
        <w:rPr/>
        <w:t xml:space="preserve">Table 9: Deterministic Lifecycle Governance Evaluation Criteria</w:t>
      </w:r>
    </w:p>
    <w:p>
      <w:pPr>
        <w:spacing w:line="271" w:before="240" w:lineRule="auto"/>
      </w:pPr>
      <w:bookmarkStart w:id="90" w:name="validation_test_8"/>
      <w:r>
        <w:rPr>
          <w:b/>
          <w:sz w:val="33"/>
        </w:rPr>
        <w:t xml:space="preserve">Validation Test</w:t>
      </w:r>
      <w:bookmarkEnd w:id="90"/>
    </w:p>
    <w:p>
      <w:pPr>
        <w:spacing w:after="210" w:lineRule="auto"/>
      </w:pPr>
      <w:r>
        <w:rPr>
          <w:b/>
        </w:rPr>
        <w:t xml:space="preserve">Test</w:t>
      </w:r>
      <w:r>
        <w:rPr/>
        <w:t xml:space="preserve">: Provision a third-party integration, document all created artifacts (network, identity, mediation), then execute removal.</w:t>
      </w:r>
    </w:p>
    <w:p>
      <w:pPr>
        <w:spacing w:after="210" w:lineRule="auto"/>
      </w:pPr>
      <w:r>
        <w:rPr>
          <w:b/>
        </w:rPr>
        <w:t xml:space="preserve">Expected Result</w:t>
      </w:r>
      <w:r>
        <w:rPr/>
        <w:t xml:space="preserve">: All documented artifacts must be eliminated. Re-provisioning the same integration should produce identical state. No residual routes, firewall rules, certificates, or proxy configurations should remain after removal.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1" w:name="using_this_framework_for_vendor_e_28ed0c"/>
      <w:r>
        <w:rPr>
          <w:b/>
          <w:sz w:val="42"/>
        </w:rPr>
        <w:t xml:space="preserve">Using This Framework for Vendor Evaluation</w:t>
      </w:r>
      <w:bookmarkEnd w:id="91"/>
    </w:p>
    <w:p>
      <w:pPr>
        <w:spacing w:line="271" w:before="240" w:lineRule="auto"/>
      </w:pPr>
      <w:bookmarkStart w:id="92" w:name="evaluation_process_2"/>
      <w:r>
        <w:rPr>
          <w:b/>
          <w:sz w:val="33"/>
        </w:rPr>
        <w:t xml:space="preserve">Evaluation Process</w:t>
      </w:r>
      <w:bookmarkEnd w:id="92"/>
    </w:p>
    <w:p>
      <w:pPr>
        <w:spacing w:after="210" w:lineRule="auto"/>
      </w:pPr>
      <w:r>
        <w:rPr/>
        <w:t xml:space="preserve">When assessing vendor solutions for third-party connectivity, apply these paradigms systematically:</w:t>
      </w:r>
    </w:p>
    <w:p>
      <w:pPr>
        <w:spacing w:line="271" w:before="240" w:lineRule="auto"/>
      </w:pPr>
      <w:bookmarkStart w:id="93" w:name="phase_1_discovery_2"/>
      <w:r>
        <w:rPr>
          <w:b/>
          <w:sz w:val="28"/>
        </w:rPr>
        <w:t xml:space="preserve">Phase 1: Discovery</w:t>
      </w:r>
      <w:bookmarkEnd w:id="93"/>
    </w:p>
    <w:p>
      <w:pPr>
        <w:numPr>
          <w:ilvl w:val="0"/>
          <w:numId w:val="60"/>
        </w:numPr>
        <w:spacing w:lineRule="auto"/>
      </w:pPr>
      <w:r>
        <w:rPr/>
        <w:t xml:space="preserve">Request architectural documentation from vendor</w:t>
      </w:r>
    </w:p>
    <w:p>
      <w:pPr>
        <w:numPr>
          <w:ilvl w:val="0"/>
          <w:numId w:val="60"/>
        </w:numPr>
        <w:spacing w:lineRule="auto"/>
      </w:pPr>
      <w:r>
        <w:rPr/>
        <w:t xml:space="preserve">Identify how isolation, mediation, identity, and lifecycle are implemented</w:t>
      </w:r>
    </w:p>
    <w:p>
      <w:pPr>
        <w:numPr>
          <w:ilvl w:val="0"/>
          <w:numId w:val="60"/>
        </w:numPr>
        <w:spacing w:lineRule="auto"/>
      </w:pPr>
      <w:r>
        <w:rPr/>
        <w:t xml:space="preserve">Map vendor architecture to the four paradigms</w:t>
      </w:r>
    </w:p>
    <w:p>
      <w:pPr>
        <w:spacing w:line="271" w:before="240" w:lineRule="auto"/>
      </w:pPr>
      <w:bookmarkStart w:id="94" w:name="phase_2_invariant_testing_2"/>
      <w:r>
        <w:rPr>
          <w:b/>
          <w:sz w:val="28"/>
        </w:rPr>
        <w:t xml:space="preserve">Phase 2: Invariant Testing</w:t>
      </w:r>
      <w:bookmarkEnd w:id="94"/>
    </w:p>
    <w:p>
      <w:pPr>
        <w:numPr>
          <w:ilvl w:val="0"/>
          <w:numId w:val="61"/>
        </w:numPr>
        <w:spacing w:lineRule="auto"/>
      </w:pPr>
      <w:r>
        <w:rPr/>
        <w:t xml:space="preserve">For each paradigm, test the stated invariants</w:t>
      </w:r>
    </w:p>
    <w:p>
      <w:pPr>
        <w:numPr>
          <w:ilvl w:val="0"/>
          <w:numId w:val="61"/>
        </w:numPr>
        <w:spacing w:lineRule="auto"/>
      </w:pPr>
      <w:r>
        <w:rPr/>
        <w:t xml:space="preserve">Use validation tests provided in this document</w:t>
      </w:r>
    </w:p>
    <w:p>
      <w:pPr>
        <w:numPr>
          <w:ilvl w:val="0"/>
          <w:numId w:val="61"/>
        </w:numPr>
        <w:spacing w:lineRule="auto"/>
      </w:pPr>
      <w:r>
        <w:rPr/>
        <w:t xml:space="preserve">Document which invariants are satisfied, partially satisfied, or violated</w:t>
      </w:r>
    </w:p>
    <w:p>
      <w:pPr>
        <w:spacing w:line="271" w:before="240" w:lineRule="auto"/>
      </w:pPr>
      <w:bookmarkStart w:id="95" w:name="phase_3_gap_analysis_2"/>
      <w:r>
        <w:rPr>
          <w:b/>
          <w:sz w:val="28"/>
        </w:rPr>
        <w:t xml:space="preserve">Phase 3: Gap Analysis</w:t>
      </w:r>
      <w:bookmarkEnd w:id="95"/>
    </w:p>
    <w:p>
      <w:pPr>
        <w:numPr>
          <w:ilvl w:val="0"/>
          <w:numId w:val="62"/>
        </w:numPr>
        <w:spacing w:lineRule="auto"/>
      </w:pPr>
      <w:r>
        <w:rPr/>
        <w:t xml:space="preserve">Identify paradigm gaps (which paradigms are not satisfied)</w:t>
      </w:r>
    </w:p>
    <w:p>
      <w:pPr>
        <w:numPr>
          <w:ilvl w:val="0"/>
          <w:numId w:val="62"/>
        </w:numPr>
        <w:spacing w:lineRule="auto"/>
      </w:pPr>
      <w:r>
        <w:rPr/>
        <w:t xml:space="preserve">Assess gap severity based on threat model and risk tolerance</w:t>
      </w:r>
    </w:p>
    <w:p>
      <w:pPr>
        <w:numPr>
          <w:ilvl w:val="0"/>
          <w:numId w:val="62"/>
        </w:numPr>
        <w:spacing w:lineRule="auto"/>
      </w:pPr>
      <w:r>
        <w:rPr/>
        <w:t xml:space="preserve">Determine if gaps can be mitigated through compensating controls or architectural supplements</w:t>
      </w:r>
    </w:p>
    <w:p>
      <w:pPr>
        <w:spacing w:line="271" w:before="240" w:lineRule="auto"/>
      </w:pPr>
      <w:bookmarkStart w:id="96" w:name="phase_4_scoring_and_decision_2"/>
      <w:r>
        <w:rPr>
          <w:b/>
          <w:sz w:val="28"/>
        </w:rPr>
        <w:t xml:space="preserve">Phase 4: Scoring and Decision</w:t>
      </w:r>
      <w:bookmarkEnd w:id="96"/>
    </w:p>
    <w:p>
      <w:pPr>
        <w:numPr>
          <w:ilvl w:val="0"/>
          <w:numId w:val="63"/>
        </w:numPr>
        <w:spacing w:lineRule="auto"/>
      </w:pPr>
      <w:r>
        <w:rPr/>
        <w:t xml:space="preserve">Weight paradigms according to organizational priorities</w:t>
      </w:r>
    </w:p>
    <w:p>
      <w:pPr>
        <w:numPr>
          <w:ilvl w:val="0"/>
          <w:numId w:val="63"/>
        </w:numPr>
        <w:spacing w:lineRule="auto"/>
      </w:pPr>
      <w:r>
        <w:rPr/>
        <w:t xml:space="preserve">Score vendor solutions against weighted criteria</w:t>
      </w:r>
    </w:p>
    <w:p>
      <w:pPr>
        <w:numPr>
          <w:ilvl w:val="0"/>
          <w:numId w:val="63"/>
        </w:numPr>
        <w:spacing w:lineRule="auto"/>
      </w:pPr>
      <w:r>
        <w:rPr/>
        <w:t xml:space="preserve">Compare solutions and select based on paradigm alignment</w:t>
      </w:r>
    </w:p>
    <w:p>
      <w:pPr>
        <w:spacing w:line="271" w:before="240" w:lineRule="auto"/>
      </w:pPr>
      <w:bookmarkStart w:id="97" w:name="scoring_template_2"/>
      <w:r>
        <w:rPr>
          <w:b/>
          <w:sz w:val="33"/>
        </w:rPr>
        <w:t xml:space="preserve">Scoring Template</w:t>
      </w:r>
      <w:bookmarkEnd w:id="97"/>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Paradigm</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Weight</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Score (0-10)</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Weighted Score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Structural Containment</w:t>
            </w:r>
          </w:p>
        </w:tc>
        <w:tc>
          <w:tcPr>
            <w:tcBorders>
              <w:bottom w:val="single" w:sz="8" w:space="0" w:color="000000"/>
              <w:right w:val="single" w:sz="8" w:space="0" w:color="000000"/>
            </w:tcBorders>
            <w:vAlign w:val="center"/>
          </w:tcPr>
          <w:p>
            <w:pPr>
              <w:spacing w:lineRule="auto"/>
              <w:jc w:val="center"/>
            </w:pPr>
            <w:r>
              <w:rPr/>
              <w:t xml:space="preserve">25%</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Mediated Capability Exposure</w:t>
            </w:r>
          </w:p>
        </w:tc>
        <w:tc>
          <w:tcPr>
            <w:tcBorders>
              <w:bottom w:val="single" w:sz="8" w:space="0" w:color="000000"/>
              <w:right w:val="single" w:sz="8" w:space="0" w:color="000000"/>
            </w:tcBorders>
            <w:vAlign w:val="center"/>
          </w:tcPr>
          <w:p>
            <w:pPr>
              <w:spacing w:lineRule="auto"/>
              <w:jc w:val="center"/>
            </w:pPr>
            <w:r>
              <w:rPr/>
              <w:t xml:space="preserve">30%</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Identity-Bound Authorization</w:t>
            </w:r>
          </w:p>
        </w:tc>
        <w:tc>
          <w:tcPr>
            <w:tcBorders>
              <w:bottom w:val="single" w:sz="8" w:space="0" w:color="000000"/>
              <w:right w:val="single" w:sz="8" w:space="0" w:color="000000"/>
            </w:tcBorders>
            <w:vAlign w:val="center"/>
          </w:tcPr>
          <w:p>
            <w:pPr>
              <w:spacing w:lineRule="auto"/>
              <w:jc w:val="center"/>
            </w:pPr>
            <w:r>
              <w:rPr/>
              <w:t xml:space="preserve">25%</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Deterministic Lifecycle Governance</w:t>
            </w:r>
          </w:p>
        </w:tc>
        <w:tc>
          <w:tcPr>
            <w:tcBorders>
              <w:bottom w:val="single" w:sz="8" w:space="0" w:color="000000"/>
              <w:right w:val="single" w:sz="8" w:space="0" w:color="000000"/>
            </w:tcBorders>
            <w:vAlign w:val="center"/>
          </w:tcPr>
          <w:p>
            <w:pPr>
              <w:spacing w:lineRule="auto"/>
              <w:jc w:val="center"/>
            </w:pPr>
            <w:r>
              <w:rPr/>
              <w:t xml:space="preserve">20%</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w:t>
            </w:r>
          </w:p>
        </w:tc>
        <w:tc>
          <w:tcPr>
            <w:tcBorders>
              <w:bottom w:val="single" w:sz="8" w:space="0" w:color="000000"/>
              <w:right w:val="single" w:sz="8" w:space="0" w:color="000000"/>
            </w:tcBorders>
            <w:vAlign w:val="center"/>
          </w:tcPr>
          <w:p>
            <w:pPr>
              <w:spacing w:lineRule="auto"/>
              <w:jc w:val="center"/>
            </w:pPr>
            <w:r>
              <w:rPr>
                <w:b/>
              </w:rPr>
              <w:t xml:space="preserve">100%</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t xml:space="preserve">Table 10: Vendor Solution Scoring Template</w:t>
      </w:r>
    </w:p>
    <w:p>
      <w:pPr>
        <w:spacing w:after="210" w:lineRule="auto"/>
      </w:pPr>
      <w:r>
        <w:rPr>
          <w:b/>
        </w:rPr>
        <w:t xml:space="preserve">Scoring Guidance:</w:t>
      </w:r>
    </w:p>
    <w:p>
      <w:pPr>
        <w:numPr>
          <w:ilvl w:val="0"/>
          <w:numId w:val="64"/>
        </w:numPr>
        <w:spacing w:lineRule="auto"/>
      </w:pPr>
      <w:r>
        <w:rPr>
          <w:b/>
        </w:rPr>
        <w:t xml:space="preserve">0-3</w:t>
      </w:r>
      <w:r>
        <w:rPr/>
        <w:t xml:space="preserve">: Paradigm not satisfied; significant architectural gaps exist</w:t>
      </w:r>
    </w:p>
    <w:p>
      <w:pPr>
        <w:numPr>
          <w:ilvl w:val="0"/>
          <w:numId w:val="64"/>
        </w:numPr>
        <w:spacing w:lineRule="auto"/>
      </w:pPr>
      <w:r>
        <w:rPr>
          <w:b/>
        </w:rPr>
        <w:t xml:space="preserve">4-6</w:t>
      </w:r>
      <w:r>
        <w:rPr/>
        <w:t xml:space="preserve">: Partial satisfaction; some invariants met, others require compensating controls</w:t>
      </w:r>
    </w:p>
    <w:p>
      <w:pPr>
        <w:numPr>
          <w:ilvl w:val="0"/>
          <w:numId w:val="64"/>
        </w:numPr>
        <w:spacing w:lineRule="auto"/>
      </w:pPr>
      <w:r>
        <w:rPr>
          <w:b/>
        </w:rPr>
        <w:t xml:space="preserve">7-9</w:t>
      </w:r>
      <w:r>
        <w:rPr/>
        <w:t xml:space="preserve">: Strong satisfaction; most invariants met with minor exceptions</w:t>
      </w:r>
    </w:p>
    <w:p>
      <w:pPr>
        <w:numPr>
          <w:ilvl w:val="0"/>
          <w:numId w:val="64"/>
        </w:numPr>
        <w:spacing w:lineRule="auto"/>
      </w:pPr>
      <w:r>
        <w:rPr>
          <w:b/>
        </w:rPr>
        <w:t xml:space="preserve">10</w:t>
      </w:r>
      <w:r>
        <w:rPr/>
        <w:t xml:space="preserve">: Complete satisfaction; all invariants met and validated</w:t>
      </w:r>
    </w:p>
    <w:p>
      <w:pPr>
        <w:spacing w:line="271" w:before="240" w:lineRule="auto"/>
      </w:pPr>
      <w:bookmarkStart w:id="98" w:name="common_vendor_response_patterns_2"/>
      <w:r>
        <w:rPr>
          <w:b/>
          <w:sz w:val="33"/>
        </w:rPr>
        <w:t xml:space="preserve">Common Vendor Response Patterns</w:t>
      </w:r>
      <w:bookmarkEnd w:id="98"/>
    </w:p>
    <w:p>
      <w:pPr>
        <w:spacing w:after="210" w:lineRule="auto"/>
      </w:pPr>
      <w:r>
        <w:rPr/>
        <w:t xml:space="preserve">When evaluating vendor responses, be alert to these patterns:</w:t>
      </w:r>
    </w:p>
    <w:p>
      <w:pPr>
        <w:spacing w:after="210" w:lineRule="auto"/>
      </w:pPr>
      <w:r>
        <w:rPr>
          <w:b/>
        </w:rPr>
        <w:t xml:space="preserve">Pattern 1: Policy Substitution</w:t>
      </w:r>
    </w:p>
    <w:p>
      <w:pPr>
        <w:spacing w:after="210" w:lineRule="auto"/>
      </w:pPr>
      <w:r>
        <w:rPr/>
        <w:t xml:space="preserve">Vendor claims isolation through firewall rules rather than structural separation. This satisfies policy layering but not Structural Containment.</w:t>
      </w:r>
    </w:p>
    <w:p>
      <w:pPr>
        <w:spacing w:after="210" w:lineRule="auto"/>
      </w:pPr>
      <w:r>
        <w:rPr>
          <w:b/>
        </w:rPr>
        <w:t xml:space="preserve">Pattern 2: Encryption as Capability Control</w:t>
      </w:r>
    </w:p>
    <w:p>
      <w:pPr>
        <w:spacing w:after="210" w:lineRule="auto"/>
      </w:pPr>
      <w:r>
        <w:rPr/>
        <w:t xml:space="preserve">Vendor emphasizes VPN or TLS encryption but still grants subnet-level reachability. This addresses confidentiality but not Mediated Capability Exposure.</w:t>
      </w:r>
    </w:p>
    <w:p>
      <w:pPr>
        <w:spacing w:after="210" w:lineRule="auto"/>
      </w:pPr>
      <w:r>
        <w:rPr>
          <w:b/>
        </w:rPr>
        <w:t xml:space="preserve">Pattern 3: IP-Based Identity</w:t>
      </w:r>
    </w:p>
    <w:p>
      <w:pPr>
        <w:spacing w:after="210" w:lineRule="auto"/>
      </w:pPr>
      <w:r>
        <w:rPr/>
        <w:t xml:space="preserve">Vendor uses source IP allow-lists as authentication mechanism. This fails Identity-Bound Authorization requirements.</w:t>
      </w:r>
    </w:p>
    <w:p>
      <w:pPr>
        <w:spacing w:after="210" w:lineRule="auto"/>
      </w:pPr>
      <w:r>
        <w:rPr>
          <w:b/>
        </w:rPr>
        <w:t xml:space="preserve">Pattern 4: Manual Teardown Procedures</w:t>
      </w:r>
    </w:p>
    <w:p>
      <w:pPr>
        <w:spacing w:after="210" w:lineRule="auto"/>
      </w:pPr>
      <w:r>
        <w:rPr/>
        <w:t xml:space="preserve">Vendor provides documentation for removal but no automated, deterministic teardown. This fails Deterministic Lifecycle Governance.</w:t>
      </w:r>
    </w:p>
    <w:p>
      <w:pPr>
        <w:spacing w:line="271" w:before="240" w:lineRule="auto"/>
      </w:pPr>
      <w:bookmarkStart w:id="99" w:name="red_flags_2"/>
      <w:r>
        <w:rPr>
          <w:b/>
          <w:sz w:val="33"/>
        </w:rPr>
        <w:t xml:space="preserve">Red Flags</w:t>
      </w:r>
      <w:bookmarkEnd w:id="99"/>
    </w:p>
    <w:p>
      <w:pPr>
        <w:spacing w:after="210" w:lineRule="auto"/>
      </w:pPr>
      <w:r>
        <w:rPr/>
        <w:t xml:space="preserve">Immediate disqualifiers during vendor evaluation:</w:t>
      </w:r>
    </w:p>
    <w:p>
      <w:pPr>
        <w:numPr>
          <w:ilvl w:val="0"/>
          <w:numId w:val="65"/>
        </w:numPr>
        <w:spacing w:lineRule="auto"/>
      </w:pPr>
      <w:r>
        <w:rPr/>
        <w:t xml:space="preserve">Direct subnet routing from third parties to internal networks</w:t>
      </w:r>
    </w:p>
    <w:p>
      <w:pPr>
        <w:numPr>
          <w:ilvl w:val="0"/>
          <w:numId w:val="65"/>
        </w:numPr>
        <w:spacing w:lineRule="auto"/>
      </w:pPr>
      <w:r>
        <w:rPr/>
        <w:t xml:space="preserve">Shared routing or forwarding domains across third parties</w:t>
      </w:r>
    </w:p>
    <w:p>
      <w:pPr>
        <w:numPr>
          <w:ilvl w:val="0"/>
          <w:numId w:val="65"/>
        </w:numPr>
        <w:spacing w:lineRule="auto"/>
      </w:pPr>
      <w:r>
        <w:rPr/>
        <w:t xml:space="preserve">IP address as sole authentication mechanism</w:t>
      </w:r>
    </w:p>
    <w:p>
      <w:pPr>
        <w:numPr>
          <w:ilvl w:val="0"/>
          <w:numId w:val="65"/>
        </w:numPr>
        <w:spacing w:lineRule="auto"/>
      </w:pPr>
      <w:r>
        <w:rPr/>
        <w:t xml:space="preserve">No automated removal capability</w:t>
      </w:r>
    </w:p>
    <w:p>
      <w:pPr>
        <w:numPr>
          <w:ilvl w:val="0"/>
          <w:numId w:val="65"/>
        </w:numPr>
        <w:spacing w:lineRule="auto"/>
      </w:pPr>
      <w:r>
        <w:rPr/>
        <w:t xml:space="preserve">Inability to revoke access without network topology changes</w:t>
      </w:r>
    </w:p>
    <w:p>
      <w:pPr>
        <w:numPr>
          <w:ilvl w:val="0"/>
          <w:numId w:val="65"/>
        </w:numPr>
        <w:spacing w:lineRule="auto"/>
      </w:pPr>
      <w:r>
        <w:rPr/>
        <w:t xml:space="preserve">Residual artifacts after documented removal procedures</w:t>
      </w:r>
    </w:p>
    <w:p>
      <w:pPr>
        <w:numPr>
          <w:ilvl w:val="0"/>
          <w:numId w:val="65"/>
        </w:numPr>
        <w:spacing w:lineRule="auto"/>
      </w:pPr>
      <w:r>
        <w:rPr/>
        <w:t xml:space="preserve">Lack of audit logging for lifecycle events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0" w:name="alignment_with_industry_frameworks_2"/>
      <w:r>
        <w:rPr>
          <w:b/>
          <w:sz w:val="42"/>
        </w:rPr>
        <w:t xml:space="preserve">Alignment with Industry Frameworks</w:t>
      </w:r>
      <w:bookmarkEnd w:id="100"/>
    </w:p>
    <w:p>
      <w:pPr>
        <w:spacing w:after="210" w:lineRule="auto"/>
      </w:pPr>
      <w:r>
        <w:rPr/>
        <w:t xml:space="preserve">These paradigms align with established security frameworks and standards while providing more specific, testable criteria:</w:t>
      </w:r>
    </w:p>
    <w:p>
      <w:pPr>
        <w:spacing w:line="271" w:before="240" w:lineRule="auto"/>
      </w:pPr>
      <w:bookmarkStart w:id="101" w:name="zero_trust_architecture_nist_sp_8_f54d28"/>
      <w:r>
        <w:rPr>
          <w:b/>
          <w:sz w:val="33"/>
        </w:rPr>
        <w:t xml:space="preserve">Zero Trust Architecture (NIST SP 800-207)</w:t>
      </w:r>
      <w:bookmarkEnd w:id="101"/>
    </w:p>
    <w:p>
      <w:pPr>
        <w:numPr>
          <w:ilvl w:val="0"/>
          <w:numId w:val="66"/>
        </w:numPr>
        <w:spacing w:lineRule="auto"/>
      </w:pPr>
      <w:r>
        <w:rPr>
          <w:b/>
        </w:rPr>
        <w:t xml:space="preserve">Structural Containment</w:t>
      </w:r>
      <w:r>
        <w:rPr/>
        <w:t xml:space="preserve"> implements zero trust's "assume breach" and "least privilege network access" principles through topology rather than policy[5]</w:t>
      </w:r>
    </w:p>
    <w:p>
      <w:pPr>
        <w:numPr>
          <w:ilvl w:val="0"/>
          <w:numId w:val="66"/>
        </w:numPr>
        <w:spacing w:lineRule="auto"/>
      </w:pPr>
      <w:r>
        <w:rPr>
          <w:b/>
        </w:rPr>
        <w:t xml:space="preserve">Mediated Capability Exposure</w:t>
      </w:r>
      <w:r>
        <w:rPr/>
        <w:t xml:space="preserve"> realizes "verify explicitly" and "minimize blast radius" by replacing network adjacency with capability adjacency[6]</w:t>
      </w:r>
    </w:p>
    <w:p>
      <w:pPr>
        <w:numPr>
          <w:ilvl w:val="0"/>
          <w:numId w:val="66"/>
        </w:numPr>
        <w:spacing w:lineRule="auto"/>
      </w:pPr>
      <w:r>
        <w:rPr>
          <w:b/>
        </w:rPr>
        <w:t xml:space="preserve">Identity-Bound Authorization</w:t>
      </w:r>
      <w:r>
        <w:rPr/>
        <w:t xml:space="preserve"> directly implements "never trust, always verify" through cryptographic identity validation[15]</w:t>
      </w:r>
    </w:p>
    <w:p>
      <w:pPr>
        <w:numPr>
          <w:ilvl w:val="0"/>
          <w:numId w:val="66"/>
        </w:numPr>
        <w:spacing w:lineRule="auto"/>
      </w:pPr>
      <w:r>
        <w:rPr>
          <w:b/>
        </w:rPr>
        <w:t xml:space="preserve">Deterministic Lifecycle Governance</w:t>
      </w:r>
      <w:r>
        <w:rPr/>
        <w:t xml:space="preserve"> supports "continuous monitoring and validation" through auditable, reversible state management[18]</w:t>
      </w:r>
    </w:p>
    <w:p>
      <w:pPr>
        <w:spacing w:line="271" w:before="240" w:lineRule="auto"/>
      </w:pPr>
      <w:bookmarkStart w:id="102" w:name="defense_in_depth_2"/>
      <w:r>
        <w:rPr>
          <w:b/>
          <w:sz w:val="33"/>
        </w:rPr>
        <w:t xml:space="preserve">Defense in Depth</w:t>
      </w:r>
      <w:bookmarkEnd w:id="102"/>
    </w:p>
    <w:p>
      <w:pPr>
        <w:spacing w:after="210" w:lineRule="auto"/>
      </w:pPr>
      <w:r>
        <w:rPr/>
        <w:t xml:space="preserve">These paradigms do not replace defense in depth but rather establish structural foundations that make layered security more effective and maintainable.</w:t>
      </w:r>
    </w:p>
    <w:p>
      <w:pPr>
        <w:spacing w:line="271" w:before="240" w:lineRule="auto"/>
      </w:pPr>
      <w:bookmarkStart w:id="103" w:name="vendor_risk_management_2"/>
      <w:r>
        <w:rPr>
          <w:b/>
          <w:sz w:val="33"/>
        </w:rPr>
        <w:t xml:space="preserve">Vendor Risk Management</w:t>
      </w:r>
      <w:bookmarkEnd w:id="103"/>
    </w:p>
    <w:p>
      <w:pPr>
        <w:spacing w:after="210" w:lineRule="auto"/>
      </w:pPr>
      <w:r>
        <w:rPr/>
        <w:t xml:space="preserve">Standard vendor risk assessment frameworks focus on vendor security posture (certifications, audits, questionnaires). These paradigms focus on the architectural properties of the connectivity solution itself[1][2].</w:t>
      </w:r>
    </w:p>
    <w:p>
      <w:pPr>
        <w:spacing w:after="210" w:lineRule="auto"/>
      </w:pPr>
      <w:r>
        <w:rPr/>
        <w:t xml:space="preserve">Both are necessary: vendor assessment evaluates the third party's security practices; paradigm evaluation assesses how the connectivity architecture manages exposure.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4" w:name="conclusion_2"/>
      <w:r>
        <w:rPr>
          <w:b/>
          <w:sz w:val="42"/>
        </w:rPr>
        <w:t xml:space="preserve">Conclusion</w:t>
      </w:r>
      <w:bookmarkEnd w:id="104"/>
    </w:p>
    <w:p>
      <w:pPr>
        <w:spacing w:after="210" w:lineRule="auto"/>
      </w:pPr>
      <w:r>
        <w:rPr>
          <w:rFonts w:eastAsia="Georgia" w:cs="Georgia" w:ascii="Georgia" w:hAnsi="Georgia"/>
        </w:rPr>
        <w:t xml:space="preserve">Third-party connectivity to enterprise systems requires architectural security properties that extend beyond encryption, authentication, and firewall rules. The four paradigms in this framework—Structural Containment, Mediated Capability Exposure, Identity-Bound Authorization, and Deterministic Lifecycle Governance—provide objective, testable criteria for evaluating vendor solutions.</w:t>
      </w:r>
    </w:p>
    <w:p>
      <w:pPr>
        <w:spacing w:after="210" w:lineRule="auto"/>
      </w:pPr>
      <w:r>
        <w:rPr/>
        <w:t xml:space="preserve">When assessing vendor proposals:</w:t>
      </w:r>
    </w:p>
    <w:p>
      <w:pPr>
        <w:numPr>
          <w:ilvl w:val="0"/>
          <w:numId w:val="67"/>
        </w:numPr>
        <w:spacing w:lineRule="auto"/>
      </w:pPr>
      <w:r>
        <w:rPr/>
        <w:t xml:space="preserve">Map vendor architecture to these paradigms</w:t>
      </w:r>
    </w:p>
    <w:p>
      <w:pPr>
        <w:numPr>
          <w:ilvl w:val="0"/>
          <w:numId w:val="67"/>
        </w:numPr>
        <w:spacing w:lineRule="auto"/>
      </w:pPr>
      <w:r>
        <w:rPr/>
        <w:t xml:space="preserve">Test the stated invariants for each paradigm</w:t>
      </w:r>
    </w:p>
    <w:p>
      <w:pPr>
        <w:numPr>
          <w:ilvl w:val="0"/>
          <w:numId w:val="67"/>
        </w:numPr>
        <w:spacing w:lineRule="auto"/>
      </w:pPr>
      <w:r>
        <w:rPr/>
        <w:t xml:space="preserve">Identify gaps and assess whether compensating controls are viable</w:t>
      </w:r>
    </w:p>
    <w:p>
      <w:pPr>
        <w:numPr>
          <w:ilvl w:val="0"/>
          <w:numId w:val="67"/>
        </w:numPr>
        <w:spacing w:lineRule="auto"/>
      </w:pPr>
      <w:r>
        <w:rPr/>
        <w:t xml:space="preserve">Score solutions systematically against weighted criteria</w:t>
      </w:r>
    </w:p>
    <w:p>
      <w:pPr>
        <w:spacing w:after="210" w:lineRule="auto"/>
      </w:pPr>
      <w:r>
        <w:rPr/>
        <w:t xml:space="preserve">Solutions that satisfy all four paradigms provide structural security properties that scale with integration complexity and survive operational variability. Solutions that satisfy only some paradigms may be acceptable depending on threat model, risk tolerance, and availability of compensating controls.</w:t>
      </w:r>
    </w:p>
    <w:p>
      <w:pPr>
        <w:spacing w:after="210" w:lineRule="auto"/>
      </w:pPr>
      <w:r>
        <w:rPr/>
        <w:t xml:space="preserve">This framework does not prescribe specific technologies or vendor products. It establishes architectural principles that any secure third-party connectivity solution should demonstrate, regardless of implementation approach.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5" w:name="appendix_a_quick_reference_checklist_2"/>
      <w:r>
        <w:rPr>
          <w:b/>
          <w:sz w:val="42"/>
        </w:rPr>
        <w:t xml:space="preserve">Appendix A: Quick Reference Checklist</w:t>
      </w:r>
      <w:bookmarkEnd w:id="105"/>
    </w:p>
    <w:p>
      <w:pPr>
        <w:spacing w:after="210" w:lineRule="auto"/>
      </w:pPr>
      <w:r>
        <w:rPr/>
        <w:t xml:space="preserve">Use this checklist during vendor demonstrations and RFP evaluation:</w:t>
      </w:r>
    </w:p>
    <w:p>
      <w:pPr>
        <w:spacing w:line="271" w:before="240" w:lineRule="auto"/>
      </w:pPr>
      <w:bookmarkStart w:id="106" w:name="structural_containment_2"/>
      <w:r>
        <w:rPr>
          <w:b/>
          <w:sz w:val="33"/>
        </w:rPr>
        <w:t xml:space="preserve">Structural Containment</w:t>
      </w:r>
      <w:bookmarkEnd w:id="106"/>
    </w:p>
    <w:p>
      <w:pPr>
        <w:numPr>
          <w:ilvl w:val="0"/>
          <w:numId w:val="69"/>
        </w:numPr>
        <w:spacing w:lineRule="auto"/>
      </w:pPr>
      <w:r>
        <w:rPr/>
        <w:t xml:space="preserve">Each third party operates in dedicated routing domain</w:t>
      </w:r>
    </w:p>
    <w:p>
      <w:pPr>
        <w:numPr>
          <w:ilvl w:val="0"/>
          <w:numId w:val="70"/>
        </w:numPr>
        <w:spacing w:lineRule="auto"/>
      </w:pPr>
      <w:r>
        <w:rPr/>
        <w:t xml:space="preserve">No shared forwarding planes or adjacency domains</w:t>
      </w:r>
    </w:p>
    <w:p>
      <w:pPr>
        <w:numPr>
          <w:ilvl w:val="0"/>
          <w:numId w:val="71"/>
        </w:numPr>
        <w:spacing w:lineRule="auto"/>
      </w:pPr>
      <w:r>
        <w:rPr/>
        <w:t xml:space="preserve">Removing mediation eliminates reachability</w:t>
      </w:r>
    </w:p>
    <w:p>
      <w:pPr>
        <w:numPr>
          <w:ilvl w:val="0"/>
          <w:numId w:val="72"/>
        </w:numPr>
        <w:spacing w:lineRule="auto"/>
      </w:pPr>
      <w:r>
        <w:rPr/>
        <w:t xml:space="preserve">Route leakage is structurally prevented</w:t>
      </w:r>
    </w:p>
    <w:p>
      <w:pPr>
        <w:numPr>
          <w:ilvl w:val="0"/>
          <w:numId w:val="73"/>
        </w:numPr>
        <w:spacing w:lineRule="auto"/>
      </w:pPr>
      <w:r>
        <w:rPr/>
        <w:t xml:space="preserve">One third party's misconfiguration cannot affect another</w:t>
      </w:r>
    </w:p>
    <w:p>
      <w:pPr>
        <w:spacing w:line="271" w:before="240" w:lineRule="auto"/>
      </w:pPr>
      <w:bookmarkStart w:id="107" w:name="mediated_capability_exposure_2"/>
      <w:r>
        <w:rPr>
          <w:b/>
          <w:sz w:val="33"/>
        </w:rPr>
        <w:t xml:space="preserve">Mediated Capability Exposure</w:t>
      </w:r>
      <w:bookmarkEnd w:id="107"/>
    </w:p>
    <w:p>
      <w:pPr>
        <w:numPr>
          <w:ilvl w:val="0"/>
          <w:numId w:val="75"/>
        </w:numPr>
        <w:spacing w:lineRule="auto"/>
      </w:pPr>
      <w:r>
        <w:rPr/>
        <w:t xml:space="preserve">No direct subnet routing to internal networks</w:t>
      </w:r>
    </w:p>
    <w:p>
      <w:pPr>
        <w:numPr>
          <w:ilvl w:val="0"/>
          <w:numId w:val="76"/>
        </w:numPr>
        <w:spacing w:lineRule="auto"/>
      </w:pPr>
      <w:r>
        <w:rPr/>
        <w:t xml:space="preserve">All flows traverse enforcement constructs</w:t>
      </w:r>
    </w:p>
    <w:p>
      <w:pPr>
        <w:numPr>
          <w:ilvl w:val="0"/>
          <w:numId w:val="77"/>
        </w:numPr>
        <w:spacing w:lineRule="auto"/>
      </w:pPr>
      <w:r>
        <w:rPr/>
        <w:t xml:space="preserve">Destination scope uses explicit allow-lists</w:t>
      </w:r>
    </w:p>
    <w:p>
      <w:pPr>
        <w:numPr>
          <w:ilvl w:val="0"/>
          <w:numId w:val="78"/>
        </w:numPr>
        <w:spacing w:lineRule="auto"/>
      </w:pPr>
      <w:r>
        <w:rPr/>
        <w:t xml:space="preserve">Directionality is architecturally constrained</w:t>
      </w:r>
    </w:p>
    <w:p>
      <w:pPr>
        <w:numPr>
          <w:ilvl w:val="0"/>
          <w:numId w:val="79"/>
        </w:numPr>
        <w:spacing w:lineRule="auto"/>
      </w:pPr>
      <w:r>
        <w:rPr/>
        <w:t xml:space="preserve">Protocol semantics are enforced (L7 where applicable)</w:t>
      </w:r>
    </w:p>
    <w:p>
      <w:pPr>
        <w:numPr>
          <w:ilvl w:val="0"/>
          <w:numId w:val="80"/>
        </w:numPr>
        <w:spacing w:lineRule="auto"/>
      </w:pPr>
      <w:r>
        <w:rPr/>
        <w:t xml:space="preserve">Bypassing mediation eliminates capability access</w:t>
      </w:r>
    </w:p>
    <w:p>
      <w:pPr>
        <w:spacing w:line="271" w:before="240" w:lineRule="auto"/>
      </w:pPr>
      <w:bookmarkStart w:id="108" w:name="identity_bound_authorization_2"/>
      <w:r>
        <w:rPr>
          <w:b/>
          <w:sz w:val="33"/>
        </w:rPr>
        <w:t xml:space="preserve">Identity-Bound Authorization</w:t>
      </w:r>
      <w:bookmarkEnd w:id="108"/>
    </w:p>
    <w:p>
      <w:pPr>
        <w:numPr>
          <w:ilvl w:val="0"/>
          <w:numId w:val="82"/>
        </w:numPr>
        <w:spacing w:lineRule="auto"/>
      </w:pPr>
      <w:r>
        <w:rPr/>
        <w:t xml:space="preserve">Cryptographic identity validation required</w:t>
      </w:r>
    </w:p>
    <w:p>
      <w:pPr>
        <w:numPr>
          <w:ilvl w:val="0"/>
          <w:numId w:val="83"/>
        </w:numPr>
        <w:spacing w:lineRule="auto"/>
      </w:pPr>
      <w:r>
        <w:rPr/>
        <w:t xml:space="preserve">Identity is tenant-scoped</w:t>
      </w:r>
    </w:p>
    <w:p>
      <w:pPr>
        <w:numPr>
          <w:ilvl w:val="0"/>
          <w:numId w:val="84"/>
        </w:numPr>
        <w:spacing w:lineRule="auto"/>
      </w:pPr>
      <w:r>
        <w:rPr/>
        <w:t xml:space="preserve">Network access without valid identity is blocked</w:t>
      </w:r>
    </w:p>
    <w:p>
      <w:pPr>
        <w:numPr>
          <w:ilvl w:val="0"/>
          <w:numId w:val="85"/>
        </w:numPr>
        <w:spacing w:lineRule="auto"/>
      </w:pPr>
      <w:r>
        <w:rPr/>
        <w:t xml:space="preserve">Revocation is independent of routing changes</w:t>
      </w:r>
    </w:p>
    <w:p>
      <w:pPr>
        <w:numPr>
          <w:ilvl w:val="0"/>
          <w:numId w:val="86"/>
        </w:numPr>
        <w:spacing w:lineRule="auto"/>
      </w:pPr>
      <w:r>
        <w:rPr/>
        <w:t xml:space="preserve">Authorization decisions bind to subject identity</w:t>
      </w:r>
    </w:p>
    <w:p>
      <w:pPr>
        <w:numPr>
          <w:ilvl w:val="0"/>
          <w:numId w:val="87"/>
        </w:numPr>
        <w:spacing w:lineRule="auto"/>
      </w:pPr>
      <w:r>
        <w:rPr/>
        <w:t xml:space="preserve">Audit logs capture subject identity, not just source IP</w:t>
      </w:r>
    </w:p>
    <w:p>
      <w:pPr>
        <w:spacing w:line="271" w:before="240" w:lineRule="auto"/>
      </w:pPr>
      <w:bookmarkStart w:id="109" w:name="deterministic_lifecycle_governance_2"/>
      <w:r>
        <w:rPr>
          <w:b/>
          <w:sz w:val="33"/>
        </w:rPr>
        <w:t xml:space="preserve">Deterministic Lifecycle Governance</w:t>
      </w:r>
      <w:bookmarkEnd w:id="109"/>
    </w:p>
    <w:p>
      <w:pPr>
        <w:numPr>
          <w:ilvl w:val="0"/>
          <w:numId w:val="89"/>
        </w:numPr>
        <w:spacing w:lineRule="auto"/>
      </w:pPr>
      <w:r>
        <w:rPr/>
        <w:t xml:space="preserve">Provisioning is declarative and idempotent</w:t>
      </w:r>
    </w:p>
    <w:p>
      <w:pPr>
        <w:numPr>
          <w:ilvl w:val="0"/>
          <w:numId w:val="90"/>
        </w:numPr>
        <w:spacing w:lineRule="auto"/>
      </w:pPr>
      <w:r>
        <w:rPr/>
        <w:t xml:space="preserve">Removal is automated and deterministic</w:t>
      </w:r>
    </w:p>
    <w:p>
      <w:pPr>
        <w:numPr>
          <w:ilvl w:val="0"/>
          <w:numId w:val="91"/>
        </w:numPr>
        <w:spacing w:lineRule="auto"/>
      </w:pPr>
      <w:r>
        <w:rPr/>
        <w:t xml:space="preserve">All artifacts eliminated upon removal</w:t>
      </w:r>
    </w:p>
    <w:p>
      <w:pPr>
        <w:numPr>
          <w:ilvl w:val="0"/>
          <w:numId w:val="92"/>
        </w:numPr>
        <w:spacing w:lineRule="auto"/>
      </w:pPr>
      <w:r>
        <w:rPr/>
        <w:t xml:space="preserve">Expiration is enforced for time-bound access</w:t>
      </w:r>
    </w:p>
    <w:p>
      <w:pPr>
        <w:numPr>
          <w:ilvl w:val="0"/>
          <w:numId w:val="93"/>
        </w:numPr>
        <w:spacing w:lineRule="auto"/>
      </w:pPr>
      <w:r>
        <w:rPr/>
        <w:t xml:space="preserve">Lifecycle state is auditable and reconstructable</w:t>
      </w:r>
    </w:p>
    <w:p>
      <w:pPr>
        <w:numPr>
          <w:ilvl w:val="0"/>
          <w:numId w:val="94"/>
        </w:numPr>
        <w:spacing w:lineRule="auto"/>
      </w:pPr>
      <w:r>
        <w:rPr/>
        <w:t xml:space="preserve">Extensions inherit security properties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0" w:name="appendix_b_sample_rfp_language_2"/>
      <w:r>
        <w:rPr>
          <w:b/>
          <w:sz w:val="42"/>
        </w:rPr>
        <w:t xml:space="preserve">Appendix B: Sample RFP Language</w:t>
      </w:r>
      <w:bookmarkEnd w:id="110"/>
    </w:p>
    <w:p>
      <w:pPr>
        <w:spacing w:after="210" w:lineRule="auto"/>
      </w:pPr>
      <w:r>
        <w:rPr/>
        <w:t xml:space="preserve">Include this language in RFPs for third-party connectivity solutions:</w:t>
      </w:r>
    </w:p>
    <w:p>
      <w:pPr>
        <w:spacing w:after="210" w:lineRule="auto"/>
      </w:pPr>
      <w:r>
        <w:rPr>
          <w:b/>
        </w:rPr>
        <w:t xml:space="preserve">Security Architecture Requirements</w:t>
      </w:r>
    </w:p>
    <w:p>
      <w:pPr>
        <w:spacing w:after="210" w:lineRule="auto"/>
      </w:pPr>
      <w:r>
        <w:rPr/>
        <w:t xml:space="preserve">The proposed solution must demonstrate alignment with the following security paradigms. Vendor responses should explicitly address each paradigm and provide technical evidence of compliance.</w:t>
      </w:r>
    </w:p>
    <w:p>
      <w:pPr>
        <w:spacing w:after="210" w:lineRule="auto"/>
      </w:pPr>
      <w:r>
        <w:rPr>
          <w:b/>
        </w:rPr>
        <w:t xml:space="preserve">1. Structural Containment</w:t>
      </w:r>
    </w:p>
    <w:p>
      <w:pPr>
        <w:spacing w:after="210" w:lineRule="auto"/>
      </w:pPr>
      <w:r>
        <w:rPr/>
        <w:t xml:space="preserve">The solution must provide per-tenant isolation embedded in network topology and routing domains. Third-party integrations must not share forwarding planes or routing adjacency. Describe how isolation is architecturally enforced and how cross-tenant exposure is structurally prevented.</w:t>
      </w:r>
    </w:p>
    <w:p>
      <w:pPr>
        <w:spacing w:after="210" w:lineRule="auto"/>
      </w:pPr>
      <w:r>
        <w:rPr>
          <w:b/>
        </w:rPr>
        <w:t xml:space="preserve">Required Evidence:</w:t>
      </w:r>
    </w:p>
    <w:p>
      <w:pPr>
        <w:numPr>
          <w:ilvl w:val="0"/>
          <w:numId w:val="95"/>
        </w:numPr>
        <w:spacing w:lineRule="auto"/>
      </w:pPr>
      <w:r>
        <w:rPr/>
        <w:t xml:space="preserve">Architecture diagrams showing routing and forwarding isolation</w:t>
      </w:r>
    </w:p>
    <w:p>
      <w:pPr>
        <w:numPr>
          <w:ilvl w:val="0"/>
          <w:numId w:val="95"/>
        </w:numPr>
        <w:spacing w:lineRule="auto"/>
      </w:pPr>
      <w:r>
        <w:rPr/>
        <w:t xml:space="preserve">Technical description of per-tenant network domains</w:t>
      </w:r>
    </w:p>
    <w:p>
      <w:pPr>
        <w:numPr>
          <w:ilvl w:val="0"/>
          <w:numId w:val="95"/>
        </w:numPr>
        <w:spacing w:lineRule="auto"/>
      </w:pPr>
      <w:r>
        <w:rPr/>
        <w:t xml:space="preserve">Validation test results demonstrating that removing mediation eliminates reachability</w:t>
      </w:r>
    </w:p>
    <w:p>
      <w:pPr>
        <w:spacing w:after="210" w:lineRule="auto"/>
      </w:pPr>
      <w:r>
        <w:rPr>
          <w:b/>
        </w:rPr>
        <w:t xml:space="preserve">2. Mediated Capability Exposure</w:t>
      </w:r>
    </w:p>
    <w:p>
      <w:pPr>
        <w:spacing w:after="210" w:lineRule="auto"/>
      </w:pPr>
      <w:r>
        <w:rPr/>
        <w:t xml:space="preserve">The solution must prevent direct subnet routing from third parties to internal networks. All access must traverse mediation constructs with explicit destination allow-lists, directional constraints, and protocol enforcement.</w:t>
      </w:r>
    </w:p>
    <w:p>
      <w:pPr>
        <w:spacing w:after="210" w:lineRule="auto"/>
      </w:pPr>
      <w:r>
        <w:rPr>
          <w:b/>
        </w:rPr>
        <w:t xml:space="preserve">Required Evidence:</w:t>
      </w:r>
    </w:p>
    <w:p>
      <w:pPr>
        <w:numPr>
          <w:ilvl w:val="0"/>
          <w:numId w:val="96"/>
        </w:numPr>
        <w:spacing w:lineRule="auto"/>
      </w:pPr>
      <w:r>
        <w:rPr/>
        <w:t xml:space="preserve">Description of mediation architecture (proxy, gateway, broker)</w:t>
      </w:r>
    </w:p>
    <w:p>
      <w:pPr>
        <w:numPr>
          <w:ilvl w:val="0"/>
          <w:numId w:val="96"/>
        </w:numPr>
        <w:spacing w:lineRule="auto"/>
      </w:pPr>
      <w:r>
        <w:rPr/>
        <w:t xml:space="preserve">Examples of capability allow-list configuration</w:t>
      </w:r>
    </w:p>
    <w:p>
      <w:pPr>
        <w:numPr>
          <w:ilvl w:val="0"/>
          <w:numId w:val="96"/>
        </w:numPr>
        <w:spacing w:lineRule="auto"/>
      </w:pPr>
      <w:r>
        <w:rPr/>
        <w:t xml:space="preserve">Technical validation that bypassing mediation eliminates access</w:t>
      </w:r>
    </w:p>
    <w:p>
      <w:pPr>
        <w:spacing w:after="210" w:lineRule="auto"/>
      </w:pPr>
      <w:r>
        <w:rPr>
          <w:b/>
        </w:rPr>
        <w:t xml:space="preserve">3. Identity-Bound Authorization</w:t>
      </w:r>
    </w:p>
    <w:p>
      <w:pPr>
        <w:spacing w:after="210" w:lineRule="auto"/>
      </w:pPr>
      <w:r>
        <w:rPr/>
        <w:t xml:space="preserve">The solution must enforce cryptographic identity validation for all third-party access. Identity must be tenant-scoped, and authorization decisions must bind to validated subjects rather than source network location. Revocation must be independent of network topology changes.</w:t>
      </w:r>
    </w:p>
    <w:p>
      <w:pPr>
        <w:spacing w:after="210" w:lineRule="auto"/>
      </w:pPr>
      <w:r>
        <w:rPr>
          <w:b/>
        </w:rPr>
        <w:t xml:space="preserve">Required Evidence:</w:t>
      </w:r>
    </w:p>
    <w:p>
      <w:pPr>
        <w:numPr>
          <w:ilvl w:val="0"/>
          <w:numId w:val="97"/>
        </w:numPr>
        <w:spacing w:lineRule="auto"/>
      </w:pPr>
      <w:r>
        <w:rPr/>
        <w:t xml:space="preserve">Description of identity validation mechanism (certificates, tokens, etc.)</w:t>
      </w:r>
    </w:p>
    <w:p>
      <w:pPr>
        <w:numPr>
          <w:ilvl w:val="0"/>
          <w:numId w:val="97"/>
        </w:numPr>
        <w:spacing w:lineRule="auto"/>
      </w:pPr>
      <w:r>
        <w:rPr/>
        <w:t xml:space="preserve">Tenant scoping architecture</w:t>
      </w:r>
    </w:p>
    <w:p>
      <w:pPr>
        <w:numPr>
          <w:ilvl w:val="0"/>
          <w:numId w:val="97"/>
        </w:numPr>
        <w:spacing w:lineRule="auto"/>
      </w:pPr>
      <w:r>
        <w:rPr/>
        <w:t xml:space="preserve">Revocation workflow and timing</w:t>
      </w:r>
    </w:p>
    <w:p>
      <w:pPr>
        <w:numPr>
          <w:ilvl w:val="0"/>
          <w:numId w:val="97"/>
        </w:numPr>
        <w:spacing w:lineRule="auto"/>
      </w:pPr>
      <w:r>
        <w:rPr/>
        <w:t xml:space="preserve">Sample audit logs showing identity-aware authorization</w:t>
      </w:r>
    </w:p>
    <w:p>
      <w:pPr>
        <w:spacing w:after="210" w:lineRule="auto"/>
      </w:pPr>
      <w:r>
        <w:rPr>
          <w:b/>
        </w:rPr>
        <w:t xml:space="preserve">4. Deterministic Lifecycle Governance</w:t>
      </w:r>
    </w:p>
    <w:p>
      <w:pPr>
        <w:spacing w:after="210" w:lineRule="auto"/>
      </w:pPr>
      <w:r>
        <w:rPr/>
        <w:t xml:space="preserve">The solution must provide declarative, idempotent provisioning and automated, deterministic removal of all integration artifacts. Time-bound access must enforce expiration. Lifecycle state must be auditable and reconstructable.</w:t>
      </w:r>
    </w:p>
    <w:p>
      <w:pPr>
        <w:spacing w:after="210" w:lineRule="auto"/>
      </w:pPr>
      <w:r>
        <w:rPr>
          <w:b/>
        </w:rPr>
        <w:t xml:space="preserve">Required Evidence:</w:t>
      </w:r>
    </w:p>
    <w:p>
      <w:pPr>
        <w:numPr>
          <w:ilvl w:val="0"/>
          <w:numId w:val="98"/>
        </w:numPr>
        <w:spacing w:lineRule="auto"/>
      </w:pPr>
      <w:r>
        <w:rPr/>
        <w:t xml:space="preserve">Provisioning workflow (API, IaC, declarative config)</w:t>
      </w:r>
    </w:p>
    <w:p>
      <w:pPr>
        <w:numPr>
          <w:ilvl w:val="0"/>
          <w:numId w:val="98"/>
        </w:numPr>
        <w:spacing w:lineRule="auto"/>
      </w:pPr>
      <w:r>
        <w:rPr/>
        <w:t xml:space="preserve">Removal workflow with artifact inventory</w:t>
      </w:r>
    </w:p>
    <w:p>
      <w:pPr>
        <w:numPr>
          <w:ilvl w:val="0"/>
          <w:numId w:val="98"/>
        </w:numPr>
        <w:spacing w:lineRule="auto"/>
      </w:pPr>
      <w:r>
        <w:rPr/>
        <w:t xml:space="preserve">Expiration enforcement mechanism</w:t>
      </w:r>
    </w:p>
    <w:p>
      <w:pPr>
        <w:numPr>
          <w:ilvl w:val="0"/>
          <w:numId w:val="98"/>
        </w:numPr>
        <w:spacing w:lineRule="auto"/>
      </w:pPr>
      <w:r>
        <w:rPr/>
        <w:t xml:space="preserve">Audit log examples for lifecycle transitions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1" w:name="references_2"/>
      <w:r>
        <w:rPr>
          <w:b/>
          <w:sz w:val="42"/>
        </w:rPr>
        <w:t xml:space="preserve">References</w:t>
      </w:r>
      <w:bookmarkEnd w:id="111"/>
    </w:p>
    <w:p>
      <w:pPr>
        <w:spacing w:after="210" w:lineRule="auto"/>
      </w:pPr>
      <w:r>
        <w:rPr/>
        <w:t xml:space="preserve">[1] </w:t>
      </w:r>
      <w:hyperlink r:id="rId26">
        <w:r>
          <w:rPr>
            <w:color w:val="4472C4"/>
          </w:rPr>
          <w:t xml:space="preserve">Oort.io</w:t>
        </w:r>
      </w:hyperlink>
      <w:r>
        <w:rPr/>
        <w:t xml:space="preserve">. (2023). 7 Critical Requirements for Securing Third-Party and Vendor Access. </w:t>
      </w:r>
      <w:hyperlink r:id="rId27">
        <w:r>
          <w:rPr>
            <w:color w:val="4472C4"/>
          </w:rPr>
          <w:t xml:space="preserve">https://docs.oort.io/blogs/7-critical-requirements-for-securing-third-party-and-vendor-access</w:t>
        </w:r>
      </w:hyperlink>
    </w:p>
    <w:p>
      <w:pPr>
        <w:spacing w:after="210" w:lineRule="auto"/>
      </w:pPr>
      <w:r>
        <w:rPr/>
        <w:t xml:space="preserve">[2] Panorays. (2025). Securing Third-Party Access: Best Practices for Access Control and Monitoring. </w:t>
      </w:r>
      <w:hyperlink r:id="rId28">
        <w:r>
          <w:rPr>
            <w:color w:val="4472C4"/>
          </w:rPr>
          <w:t xml:space="preserve">https://panorays.com/blog/third-party-access/</w:t>
        </w:r>
      </w:hyperlink>
    </w:p>
    <w:p>
      <w:pPr>
        <w:spacing w:after="210" w:lineRule="auto"/>
      </w:pPr>
      <w:r>
        <w:rPr/>
        <w:t xml:space="preserve">[3] Palo Alto Networks. (2022). What is Zero Trust Network Access (ZTNA) 2.0. </w:t>
      </w:r>
      <w:hyperlink r:id="rId29">
        <w:r>
          <w:rPr>
            <w:color w:val="4472C4"/>
          </w:rPr>
          <w:t xml:space="preserve">https://www.paloaltonetworks.com/cyberpedia/what-is-zero-trust-network-access-2-0</w:t>
        </w:r>
      </w:hyperlink>
    </w:p>
    <w:p>
      <w:pPr>
        <w:spacing w:after="210" w:lineRule="auto"/>
      </w:pPr>
      <w:r>
        <w:rPr/>
        <w:t xml:space="preserve">[4] Cisco. (2017). What Is Network Segmentation? </w:t>
      </w:r>
      <w:hyperlink r:id="rId30">
        <w:r>
          <w:rPr>
            <w:color w:val="4472C4"/>
          </w:rPr>
          <w:t xml:space="preserve">https://www.cisco.com/site/us/en/learn/topics/security/what-is-network-segmentation.html</w:t>
        </w:r>
      </w:hyperlink>
    </w:p>
    <w:p>
      <w:pPr>
        <w:spacing w:after="210" w:lineRule="auto"/>
      </w:pPr>
      <w:r>
        <w:rPr/>
        <w:t xml:space="preserve">[5] National Institute of Standards and Technology. (2020). Zero Trust Architecture (NIST SP 800-207). </w:t>
      </w:r>
      <w:hyperlink r:id="rId31">
        <w:r>
          <w:rPr>
            <w:color w:val="4472C4"/>
          </w:rPr>
          <w:t xml:space="preserve">https://nvlpubs.nist.gov/nistpubs/specialpublications/NIST.SP.800-207.pdf</w:t>
        </w:r>
      </w:hyperlink>
    </w:p>
    <w:p>
      <w:pPr>
        <w:spacing w:after="210" w:lineRule="auto"/>
      </w:pPr>
      <w:r>
        <w:rPr/>
        <w:t xml:space="preserve">[6] Fortinet. (2025). What Is Zero Trust Architecture (ZTA)? Benefits and Best Practices. </w:t>
      </w:r>
      <w:hyperlink r:id="rId32">
        <w:r>
          <w:rPr>
            <w:color w:val="4472C4"/>
          </w:rPr>
          <w:t xml:space="preserve">https://www.fortinet.com/resources/cyberglossary/zero-trust-architecture</w:t>
        </w:r>
      </w:hyperlink>
    </w:p>
    <w:p>
      <w:pPr>
        <w:spacing w:after="210" w:lineRule="auto"/>
      </w:pPr>
      <w:r>
        <w:rPr/>
        <w:t xml:space="preserve">[7] Appgate. (2025). CISO Perspectives: Protecting Legacy Network Devices with ZTNA. </w:t>
      </w:r>
      <w:hyperlink r:id="rId33">
        <w:r>
          <w:rPr>
            <w:color w:val="4472C4"/>
          </w:rPr>
          <w:t xml:space="preserve">https://www.appgate.com/blog/ciso-perspectives-protecting-legacy-network-devices-with-ztna</w:t>
        </w:r>
      </w:hyperlink>
    </w:p>
    <w:p>
      <w:pPr>
        <w:spacing w:after="210" w:lineRule="auto"/>
      </w:pPr>
      <w:r>
        <w:rPr/>
        <w:t xml:space="preserve">[8] MSEndpointMgr. (2026). Zero Trust for Legacy Systems: Bridging the Gap Without Compromising Principles. </w:t>
      </w:r>
      <w:hyperlink r:id="rId34">
        <w:r>
          <w:rPr>
            <w:color w:val="4472C4"/>
          </w:rPr>
          <w:t xml:space="preserve">https://msendpointmgr.com/2026/01/21/zero-trust-for-legacy-systems-bridging-the-gap-without-compromising-principles/</w:t>
        </w:r>
      </w:hyperlink>
    </w:p>
    <w:p>
      <w:pPr>
        <w:spacing w:after="210" w:lineRule="auto"/>
      </w:pPr>
      <w:r>
        <w:rPr/>
        <w:t xml:space="preserve">[9] Gridiron IT. (2025). Top Challenges in Zero Trust Architecture Implementation and How to Overcome Them. </w:t>
      </w:r>
      <w:hyperlink r:id="rId35">
        <w:r>
          <w:rPr>
            <w:color w:val="4472C4"/>
          </w:rPr>
          <w:t xml:space="preserve">https://gridironit.com/2025/07/top-challenges-in-zero-trust-architecture-implementation-and-how-to-overcome-them/</w:t>
        </w:r>
      </w:hyperlink>
    </w:p>
    <w:p>
      <w:pPr>
        <w:spacing w:after="210" w:lineRule="auto"/>
      </w:pPr>
      <w:r>
        <w:rPr/>
        <w:t xml:space="preserve">[10] Cloudbrink. (2026). What Are the Cons of ZTNA? </w:t>
      </w:r>
      <w:hyperlink r:id="rId36">
        <w:r>
          <w:rPr>
            <w:color w:val="4472C4"/>
          </w:rPr>
          <w:t xml:space="preserve">https://cloudbrink.com/faq/what-are-the-cons-of-ztna/</w:t>
        </w:r>
      </w:hyperlink>
    </w:p>
    <w:p>
      <w:pPr>
        <w:spacing w:after="210" w:lineRule="auto"/>
      </w:pPr>
      <w:r>
        <w:rPr/>
        <w:t xml:space="preserve">[11] Avatier. (2025). Zero Trust and Legacy Systems: Bridging the Security Gap. </w:t>
      </w:r>
      <w:hyperlink r:id="rId37">
        <w:r>
          <w:rPr>
            <w:color w:val="4472C4"/>
          </w:rPr>
          <w:t xml:space="preserve">https://www.avatier.com/blog/zero-trust-and-legacy-systems/</w:t>
        </w:r>
      </w:hyperlink>
    </w:p>
    <w:p>
      <w:pPr>
        <w:spacing w:after="210" w:lineRule="auto"/>
      </w:pPr>
      <w:r>
        <w:rPr/>
        <w:t xml:space="preserve">[12] Cyolo. (2024). A Guide to the Challenges and Benefits of Universal ZTNA. </w:t>
      </w:r>
      <w:hyperlink r:id="rId38">
        <w:r>
          <w:rPr>
            <w:color w:val="4472C4"/>
          </w:rPr>
          <w:t xml:space="preserve">https://cyolo.io/blog/universal-ztna-guide-to-challenges-and-benefits</w:t>
        </w:r>
      </w:hyperlink>
    </w:p>
    <w:p>
      <w:pPr>
        <w:spacing w:after="210" w:lineRule="auto"/>
      </w:pPr>
      <w:r>
        <w:rPr/>
        <w:t xml:space="preserve">[13] Zero Networks. (2025). What is Zero Trust Network Access (ZTNA)? </w:t>
      </w:r>
      <w:hyperlink r:id="rId39">
        <w:r>
          <w:rPr>
            <w:color w:val="4472C4"/>
          </w:rPr>
          <w:t xml:space="preserve">https://zeronetworks.com/blog/what-is-zero-trust-networks-access-ztna</w:t>
        </w:r>
      </w:hyperlink>
    </w:p>
    <w:p>
      <w:pPr>
        <w:spacing w:after="210" w:lineRule="auto"/>
      </w:pPr>
      <w:r>
        <w:rPr/>
        <w:t xml:space="preserve">[14] Microsoft. (2025). Replace your legacy VPN with an identity-centric ZTNA. </w:t>
      </w:r>
      <w:hyperlink r:id="rId40">
        <w:r>
          <w:rPr>
            <w:color w:val="4472C4"/>
          </w:rPr>
          <w:t xml:space="preserve">https://techcommunity.microsoft.com/blog/microsoft-entra-blog/replace-your-legacy-vpn-with-an-identity-centric-ztna/4395973</w:t>
        </w:r>
      </w:hyperlink>
    </w:p>
    <w:p>
      <w:pPr>
        <w:spacing w:after="210" w:lineRule="auto"/>
      </w:pPr>
      <w:r>
        <w:rPr/>
        <w:t xml:space="preserve">[15] Portnox. (2025). Identity-based Access Control. </w:t>
      </w:r>
      <w:hyperlink r:id="rId41">
        <w:r>
          <w:rPr>
            <w:color w:val="4472C4"/>
          </w:rPr>
          <w:t xml:space="preserve">https://www.portnox.com/cybersecurity-101/access-control/identity-based-access-control/</w:t>
        </w:r>
      </w:hyperlink>
    </w:p>
    <w:p>
      <w:pPr>
        <w:spacing w:after="210" w:lineRule="auto"/>
      </w:pPr>
      <w:r>
        <w:rPr/>
        <w:t xml:space="preserve">[16] SailPoint. (2024). Zero Trust Architecture: Identity as the Foundation. </w:t>
      </w:r>
      <w:hyperlink r:id="rId42">
        <w:r>
          <w:rPr>
            <w:color w:val="4472C4"/>
          </w:rPr>
          <w:t xml:space="preserve">https://www.sailpoint.com/identity-library/zero-trust-architecture</w:t>
        </w:r>
      </w:hyperlink>
    </w:p>
    <w:p>
      <w:pPr>
        <w:spacing w:after="210" w:lineRule="auto"/>
      </w:pPr>
      <w:r>
        <w:rPr/>
        <w:t xml:space="preserve">[17] CyberArk. (2025). The New Identity Security Paradigm for Cyber Leaders. </w:t>
      </w:r>
      <w:hyperlink r:id="rId43">
        <w:r>
          <w:rPr>
            <w:color w:val="4472C4"/>
          </w:rPr>
          <w:t xml:space="preserve">https://www.cyberark.com/resources/identity-security/securing-the-future-the-new-identity-security-paradigm-for-cyber-leaders</w:t>
        </w:r>
      </w:hyperlink>
    </w:p>
    <w:p>
      <w:pPr>
        <w:spacing w:after="210" w:lineRule="auto"/>
      </w:pPr>
      <w:r>
        <w:rPr/>
        <w:t xml:space="preserve">[18] UpGuard. (2025). Third Party Security: Building Your Vendor Risk Program in 2026. </w:t>
      </w:r>
      <w:hyperlink r:id="rId44">
        <w:r>
          <w:rPr>
            <w:color w:val="4472C4"/>
          </w:rPr>
          <w:t xml:space="preserve">https://www.upguard.com/blog/third-party-security</w:t>
        </w:r>
      </w:hyperlink>
    </w:p>
    <w:p>
      <w:pPr>
        <w:spacing w:after="210" w:lineRule="auto"/>
      </w:pPr>
      <w:r>
        <w:rPr/>
        <w:t xml:space="preserve">[19] TechnologyMatch. (2025). The Essential IT Vendor Selection Criteria Checklist. </w:t>
      </w:r>
      <w:hyperlink r:id="rId45">
        <w:r>
          <w:rPr>
            <w:color w:val="4472C4"/>
          </w:rPr>
          <w:t xml:space="preserve">https://technologymatch.com/blog/the-essential-it-vendor-selection-criteria-and-checklist</w:t>
        </w:r>
      </w:hyperlink>
    </w:p>
    <w:p>
      <w:pPr>
        <w:spacing w:after="210" w:lineRule="auto"/>
      </w:pPr>
      <w:r>
        <w:rPr/>
        <w:t xml:space="preserve">[20] Essent. (2020). Understanding Enterprise RFP Requirements: Security. </w:t>
      </w:r>
      <w:hyperlink r:id="rId46">
        <w:r>
          <w:rPr>
            <w:color w:val="4472C4"/>
          </w:rPr>
          <w:t xml:space="preserve">https://www.essent.com/Blog/Blog/Understanding-Enterprise-RFP-Requirements-Security.htm</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4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4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0" o:title="image"/>
      </v:shape>
    </w:pict>
  </w:numPicBullet>
  <w:numPicBullet w:numPicBulletId="4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4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0" o:title="image"/>
      </v:shape>
    </w:pict>
  </w:numPicBullet>
  <w:numPicBullet w:numPicBulletId="4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4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0" o:title="image"/>
      </v:shape>
    </w:pict>
  </w:numPicBullet>
  <w:numPicBullet w:numPicBulletId="4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4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0" o:title="image"/>
      </v:shape>
    </w:pict>
  </w:numPicBullet>
  <w:numPicBullet w:numPicBulletId="4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0" o:title="image"/>
      </v:shape>
    </w:pict>
  </w:numPicBullet>
  <w:numPicBullet w:numPicBulletId="1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2" o:title="image"/>
      </v:shape>
    </w:pict>
  </w:numPicBullet>
  <w:numPicBullet w:numPicBulletId="1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4" o:title="image"/>
      </v:shape>
    </w:pict>
  </w:numPicBullet>
  <w:numPicBullet w:numPicBulletId="1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6" o:title="image"/>
      </v:shape>
    </w:pict>
  </w:numPicBullet>
  <w:numPicBullet w:numPicBulletId="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8" o:title="image"/>
      </v:shape>
    </w:pict>
  </w:numPicBullet>
  <w:numPicBullet w:numPicBulletId="1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0" o:title="image"/>
      </v:shape>
    </w:pict>
  </w:numPicBullet>
  <w:numPicBullet w:numPicBulletId="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2" o:title="image"/>
      </v:shape>
    </w:pict>
  </w:numPicBullet>
  <w:numPicBullet w:numPicBulletId="1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4" o:title="image"/>
      </v:shape>
    </w:pict>
  </w:numPicBullet>
  <w:numPicBullet w:numPicBulletId="1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6" o:title="image"/>
      </v:shape>
    </w:pict>
  </w:numPicBullet>
  <w:numPicBullet w:numPicBulletId="1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38" o:title="image"/>
      </v:shape>
    </w:pict>
  </w:numPicBullet>
  <w:numPicBullet w:numPicBulletId="1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0" o:title="image"/>
      </v:shape>
    </w:pict>
  </w:numPicBullet>
  <w:numPicBullet w:numPicBulletId="2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2" o:title="image"/>
      </v:shape>
    </w:pict>
  </w:numPicBullet>
  <w:numPicBullet w:numPicBulletId="2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4" o:title="image"/>
      </v:shape>
    </w:pict>
  </w:numPicBullet>
  <w:numPicBullet w:numPicBulletId="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6" o:title="image"/>
      </v:shape>
    </w:pict>
  </w:numPicBullet>
  <w:numPicBullet w:numPicBulletId="2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8" o:title="image"/>
      </v:shape>
    </w:pict>
  </w:numPicBullet>
  <w:numPicBullet w:numPicBulletId="2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0" o:title="image"/>
      </v:shape>
    </w:pict>
  </w:numPicBullet>
  <w:numPicBullet w:numPicBulletId="2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2" o:title="image"/>
      </v:shape>
    </w:pict>
  </w:numPicBullet>
  <w:numPicBullet w:numPicBulletId="2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4" o:title="image"/>
      </v:shape>
    </w:pict>
  </w:numPicBullet>
  <w:numPicBullet w:numPicBulletId="2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6" o:title="image"/>
      </v:shape>
    </w:pict>
  </w:numPicBullet>
  <w:numPicBullet w:numPicBulletId="2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58" o:title="image"/>
      </v:shape>
    </w:pict>
  </w:numPicBullet>
  <w:numPicBullet w:numPicBulletId="2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0" o:title="image"/>
      </v:shape>
    </w:pict>
  </w:numPicBullet>
  <w:numPicBullet w:numPicBulletId="3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2" o:title="image"/>
      </v:shape>
    </w:pict>
  </w:numPicBullet>
  <w:numPicBullet w:numPicBulletId="3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4" o:title="image"/>
      </v:shape>
    </w:pict>
  </w:numPicBullet>
  <w:numPicBullet w:numPicBulletId="3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6" o:title="image"/>
      </v:shape>
    </w:pict>
  </w:numPicBullet>
  <w:numPicBullet w:numPicBulletId="3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8" o:title="image"/>
      </v:shape>
    </w:pict>
  </w:numPicBullet>
  <w:numPicBullet w:numPicBulletId="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0" o:title="image"/>
      </v:shape>
    </w:pict>
  </w:numPicBullet>
  <w:numPicBullet w:numPicBulletId="3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2" o:title="image"/>
      </v:shape>
    </w:pict>
  </w:numPicBullet>
  <w:numPicBullet w:numPicBulletId="3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4" o:title="image"/>
      </v:shape>
    </w:pict>
  </w:numPicBullet>
  <w:numPicBullet w:numPicBulletId="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6" o:title="image"/>
      </v:shape>
    </w:pict>
  </w:numPicBullet>
  <w:numPicBullet w:numPicBulletId="3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78" o:title="image"/>
      </v:shape>
    </w:pict>
  </w:numPicBullet>
  <w:numPicBullet w:numPicBulletId="3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0" o:title="image"/>
      </v:shape>
    </w:pict>
  </w:numPicBullet>
  <w:numPicBullet w:numPicBulletId="4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2" o:title="image"/>
      </v:shape>
    </w:pict>
  </w:numPicBullet>
  <w:numPicBullet w:numPicBulletId="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4" o:title="image"/>
      </v:shape>
    </w:pict>
  </w:numPicBullet>
  <w:numPicBullet w:numPicBulletId="4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6" o:title="image"/>
      </v:shape>
    </w:pict>
  </w:numPicBullet>
  <w:numPicBullet w:numPicBulletId="4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8" o:title="image"/>
      </v:shape>
    </w:pict>
  </w:numPicBullet>
  <w:numPicBullet w:numPicBulletId="4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0" o:title="image"/>
      </v:shape>
    </w:pict>
  </w:numPicBullet>
  <w:numPicBullet w:numPicBulletId="4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92" o:title="image"/>
      </v:shape>
    </w:pict>
  </w:numPicBullet>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abstractNum>
  <w:abstractNum w:abstractNumId="20">
    <w:multiLevelType w:val="hybridMultilevel"/>
    <w:lvl w:ilvl="0">
      <w:start w:val="1"/>
      <w:numFmt w:val="bullet"/>
      <w:lvlText w:val=""/>
      <w:lvlPicBulletId w:val="0"/>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bullet"/>
      <w:lvlText w:val=""/>
      <w:lvlPicBulletId w:val="1"/>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bullet"/>
      <w:lvlText w:val=""/>
      <w:lvlPicBulletId w:val="2"/>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bullet"/>
      <w:lvlText w:val=""/>
      <w:lvlPicBulletId w:val="3"/>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bullet"/>
      <w:lvlText w:val=""/>
      <w:lvlPicBulletId w:val="4"/>
      <w:lvlJc w:val="left"/>
      <w:pPr>
        <w:tabs>
          <w:tab w:val="num" w:pos="1080"/>
        </w:tabs>
        <w:ind w:left="720" w:hanging="360"/>
      </w:pPr>
      <w:rPr>
        <w:rFonts w:eastAsia="Georgia" w:cs="Georgia" w:ascii="Georgia" w:hAnsi="Georgia"/>
      </w:rPr>
    </w:lvl>
  </w:abstractNum>
  <w:abstractNum w:abstractNumId="25">
    <w:multiLevelType w:val="hybridMultilevel"/>
  </w:abstractNum>
  <w:abstractNum w:abstractNumId="26">
    <w:multiLevelType w:val="hybridMultilevel"/>
    <w:lvl w:ilvl="0">
      <w:start w:val="1"/>
      <w:numFmt w:val="bullet"/>
      <w:lvlText w:val=""/>
      <w:lvlPicBulletId w:val="5"/>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bullet"/>
      <w:lvlText w:val=""/>
      <w:lvlPicBulletId w:val="6"/>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bullet"/>
      <w:lvlText w:val=""/>
      <w:lvlPicBulletId w:val="7"/>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bullet"/>
      <w:lvlText w:val=""/>
      <w:lvlPicBulletId w:val="8"/>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bullet"/>
      <w:lvlText w:val=""/>
      <w:lvlPicBulletId w:val="9"/>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bullet"/>
      <w:lvlText w:val=""/>
      <w:lvlPicBulletId w:val="10"/>
      <w:lvlJc w:val="left"/>
      <w:pPr>
        <w:tabs>
          <w:tab w:val="num" w:pos="1080"/>
        </w:tabs>
        <w:ind w:left="720" w:hanging="360"/>
      </w:pPr>
      <w:rPr>
        <w:rFonts w:eastAsia="Georgia" w:cs="Georgia" w:ascii="Georgia" w:hAnsi="Georgia"/>
      </w:rPr>
    </w:lvl>
  </w:abstractNum>
  <w:abstractNum w:abstractNumId="32">
    <w:multiLevelType w:val="hybridMultilevel"/>
  </w:abstractNum>
  <w:abstractNum w:abstractNumId="33">
    <w:multiLevelType w:val="hybridMultilevel"/>
    <w:lvl w:ilvl="0">
      <w:start w:val="1"/>
      <w:numFmt w:val="bullet"/>
      <w:lvlText w:val=""/>
      <w:lvlPicBulletId w:val="11"/>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bullet"/>
      <w:lvlText w:val=""/>
      <w:lvlPicBulletId w:val="12"/>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bullet"/>
      <w:lvlText w:val=""/>
      <w:lvlPicBulletId w:val="13"/>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bullet"/>
      <w:lvlText w:val=""/>
      <w:lvlPicBulletId w:val="14"/>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bullet"/>
      <w:lvlText w:val=""/>
      <w:lvlPicBulletId w:val="15"/>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bullet"/>
      <w:lvlText w:val=""/>
      <w:lvlPicBulletId w:val="16"/>
      <w:lvlJc w:val="left"/>
      <w:pPr>
        <w:tabs>
          <w:tab w:val="num" w:pos="1080"/>
        </w:tabs>
        <w:ind w:left="720" w:hanging="360"/>
      </w:pPr>
      <w:rPr>
        <w:rFonts w:eastAsia="Georgia" w:cs="Georgia" w:ascii="Georgia" w:hAnsi="Georgia"/>
      </w:rPr>
    </w:lvl>
  </w:abstractNum>
  <w:abstractNum w:abstractNumId="39">
    <w:multiLevelType w:val="hybridMultilevel"/>
  </w:abstractNum>
  <w:abstractNum w:abstractNumId="40">
    <w:multiLevelType w:val="hybridMultilevel"/>
    <w:lvl w:ilvl="0">
      <w:start w:val="1"/>
      <w:numFmt w:val="bullet"/>
      <w:lvlText w:val=""/>
      <w:lvlPicBulletId w:val="17"/>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bullet"/>
      <w:lvlText w:val=""/>
      <w:lvlPicBulletId w:val="18"/>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bullet"/>
      <w:lvlText w:val=""/>
      <w:lvlPicBulletId w:val="19"/>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bullet"/>
      <w:lvlText w:val=""/>
      <w:lvlPicBulletId w:val="20"/>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bullet"/>
      <w:lvlText w:val=""/>
      <w:lvlPicBulletId w:val="21"/>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bullet"/>
      <w:lvlText w:val=""/>
      <w:lvlPicBulletId w:val="22"/>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decimal"/>
      <w:lvlText w:val="%1."/>
      <w:lvlJc w:val="left"/>
      <w:pPr>
        <w:tabs>
          <w:tab w:val="num" w:pos="1080"/>
        </w:tabs>
        <w:ind w:left="720" w:hanging="360"/>
      </w:pPr>
    </w:lvl>
  </w:abstractNum>
  <w:abstractNum w:abstractNumId="61">
    <w:multiLevelType w:val="hybridMultilevel"/>
    <w:lvl w:ilvl="0">
      <w:start w:val="1"/>
      <w:numFmt w:val="decimal"/>
      <w:lvlText w:val="%1."/>
      <w:lvlJc w:val="left"/>
      <w:pPr>
        <w:tabs>
          <w:tab w:val="num" w:pos="1080"/>
        </w:tabs>
        <w:ind w:left="720" w:hanging="360"/>
      </w:pPr>
    </w:lvl>
  </w:abstractNum>
  <w:abstractNum w:abstractNumId="62">
    <w:multiLevelType w:val="hybridMultilevel"/>
    <w:lvl w:ilvl="0">
      <w:start w:val="1"/>
      <w:numFmt w:val="decimal"/>
      <w:lvlText w:val="%1."/>
      <w:lvlJc w:val="left"/>
      <w:pPr>
        <w:tabs>
          <w:tab w:val="num" w:pos="1080"/>
        </w:tabs>
        <w:ind w:left="720" w:hanging="360"/>
      </w:pPr>
    </w:lvl>
  </w:abstractNum>
  <w:abstractNum w:abstractNumId="63">
    <w:multiLevelType w:val="hybridMultilevel"/>
    <w:lvl w:ilvl="0">
      <w:start w:val="1"/>
      <w:numFmt w:val="decimal"/>
      <w:lvlText w:val="%1."/>
      <w:lvlJc w:val="left"/>
      <w:pPr>
        <w:tabs>
          <w:tab w:val="num" w:pos="1080"/>
        </w:tabs>
        <w:ind w:left="720" w:hanging="360"/>
      </w:p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7">
    <w:multiLevelType w:val="hybridMultilevel"/>
    <w:lvl w:ilvl="0">
      <w:start w:val="1"/>
      <w:numFmt w:val="decimal"/>
      <w:lvlText w:val="%1."/>
      <w:lvlJc w:val="left"/>
      <w:pPr>
        <w:tabs>
          <w:tab w:val="num" w:pos="1080"/>
        </w:tabs>
        <w:ind w:left="720" w:hanging="360"/>
      </w:pPr>
    </w:lvl>
  </w:abstractNum>
  <w:abstractNum w:abstractNumId="68">
    <w:multiLevelType w:val="hybridMultilevel"/>
  </w:abstractNum>
  <w:abstractNum w:abstractNumId="69">
    <w:multiLevelType w:val="hybridMultilevel"/>
    <w:lvl w:ilvl="0">
      <w:start w:val="1"/>
      <w:numFmt w:val="bullet"/>
      <w:lvlText w:val=""/>
      <w:lvlPicBulletId w:val="23"/>
      <w:lvlJc w:val="left"/>
      <w:pPr>
        <w:tabs>
          <w:tab w:val="num" w:pos="1080"/>
        </w:tabs>
        <w:ind w:left="720" w:hanging="360"/>
      </w:pPr>
      <w:rPr>
        <w:rFonts w:eastAsia="Georgia" w:cs="Georgia" w:ascii="Georgia" w:hAnsi="Georgia"/>
      </w:rPr>
    </w:lvl>
  </w:abstractNum>
  <w:abstractNum w:abstractNumId="70">
    <w:multiLevelType w:val="hybridMultilevel"/>
    <w:lvl w:ilvl="0">
      <w:start w:val="1"/>
      <w:numFmt w:val="bullet"/>
      <w:lvlText w:val=""/>
      <w:lvlPicBulletId w:val="24"/>
      <w:lvlJc w:val="left"/>
      <w:pPr>
        <w:tabs>
          <w:tab w:val="num" w:pos="1080"/>
        </w:tabs>
        <w:ind w:left="720" w:hanging="360"/>
      </w:pPr>
      <w:rPr>
        <w:rFonts w:eastAsia="Georgia" w:cs="Georgia" w:ascii="Georgia" w:hAnsi="Georgia"/>
      </w:rPr>
    </w:lvl>
  </w:abstractNum>
  <w:abstractNum w:abstractNumId="71">
    <w:multiLevelType w:val="hybridMultilevel"/>
    <w:lvl w:ilvl="0">
      <w:start w:val="1"/>
      <w:numFmt w:val="bullet"/>
      <w:lvlText w:val=""/>
      <w:lvlPicBulletId w:val="25"/>
      <w:lvlJc w:val="left"/>
      <w:pPr>
        <w:tabs>
          <w:tab w:val="num" w:pos="1080"/>
        </w:tabs>
        <w:ind w:left="720" w:hanging="360"/>
      </w:pPr>
      <w:rPr>
        <w:rFonts w:eastAsia="Georgia" w:cs="Georgia" w:ascii="Georgia" w:hAnsi="Georgia"/>
      </w:rPr>
    </w:lvl>
  </w:abstractNum>
  <w:abstractNum w:abstractNumId="72">
    <w:multiLevelType w:val="hybridMultilevel"/>
    <w:lvl w:ilvl="0">
      <w:start w:val="1"/>
      <w:numFmt w:val="bullet"/>
      <w:lvlText w:val=""/>
      <w:lvlPicBulletId w:val="26"/>
      <w:lvlJc w:val="left"/>
      <w:pPr>
        <w:tabs>
          <w:tab w:val="num" w:pos="1080"/>
        </w:tabs>
        <w:ind w:left="720" w:hanging="360"/>
      </w:pPr>
      <w:rPr>
        <w:rFonts w:eastAsia="Georgia" w:cs="Georgia" w:ascii="Georgia" w:hAnsi="Georgia"/>
      </w:rPr>
    </w:lvl>
  </w:abstractNum>
  <w:abstractNum w:abstractNumId="73">
    <w:multiLevelType w:val="hybridMultilevel"/>
    <w:lvl w:ilvl="0">
      <w:start w:val="1"/>
      <w:numFmt w:val="bullet"/>
      <w:lvlText w:val=""/>
      <w:lvlPicBulletId w:val="27"/>
      <w:lvlJc w:val="left"/>
      <w:pPr>
        <w:tabs>
          <w:tab w:val="num" w:pos="1080"/>
        </w:tabs>
        <w:ind w:left="720" w:hanging="360"/>
      </w:pPr>
      <w:rPr>
        <w:rFonts w:eastAsia="Georgia" w:cs="Georgia" w:ascii="Georgia" w:hAnsi="Georgia"/>
      </w:rPr>
    </w:lvl>
  </w:abstractNum>
  <w:abstractNum w:abstractNumId="74">
    <w:multiLevelType w:val="hybridMultilevel"/>
  </w:abstractNum>
  <w:abstractNum w:abstractNumId="75">
    <w:multiLevelType w:val="hybridMultilevel"/>
    <w:lvl w:ilvl="0">
      <w:start w:val="1"/>
      <w:numFmt w:val="bullet"/>
      <w:lvlText w:val=""/>
      <w:lvlPicBulletId w:val="28"/>
      <w:lvlJc w:val="left"/>
      <w:pPr>
        <w:tabs>
          <w:tab w:val="num" w:pos="1080"/>
        </w:tabs>
        <w:ind w:left="720" w:hanging="360"/>
      </w:pPr>
      <w:rPr>
        <w:rFonts w:eastAsia="Georgia" w:cs="Georgia" w:ascii="Georgia" w:hAnsi="Georgia"/>
      </w:rPr>
    </w:lvl>
  </w:abstractNum>
  <w:abstractNum w:abstractNumId="76">
    <w:multiLevelType w:val="hybridMultilevel"/>
    <w:lvl w:ilvl="0">
      <w:start w:val="1"/>
      <w:numFmt w:val="bullet"/>
      <w:lvlText w:val=""/>
      <w:lvlPicBulletId w:val="29"/>
      <w:lvlJc w:val="left"/>
      <w:pPr>
        <w:tabs>
          <w:tab w:val="num" w:pos="1080"/>
        </w:tabs>
        <w:ind w:left="720" w:hanging="360"/>
      </w:pPr>
      <w:rPr>
        <w:rFonts w:eastAsia="Georgia" w:cs="Georgia" w:ascii="Georgia" w:hAnsi="Georgia"/>
      </w:rPr>
    </w:lvl>
  </w:abstractNum>
  <w:abstractNum w:abstractNumId="77">
    <w:multiLevelType w:val="hybridMultilevel"/>
    <w:lvl w:ilvl="0">
      <w:start w:val="1"/>
      <w:numFmt w:val="bullet"/>
      <w:lvlText w:val=""/>
      <w:lvlPicBulletId w:val="30"/>
      <w:lvlJc w:val="left"/>
      <w:pPr>
        <w:tabs>
          <w:tab w:val="num" w:pos="1080"/>
        </w:tabs>
        <w:ind w:left="720" w:hanging="360"/>
      </w:pPr>
      <w:rPr>
        <w:rFonts w:eastAsia="Georgia" w:cs="Georgia" w:ascii="Georgia" w:hAnsi="Georgia"/>
      </w:rPr>
    </w:lvl>
  </w:abstractNum>
  <w:abstractNum w:abstractNumId="78">
    <w:multiLevelType w:val="hybridMultilevel"/>
    <w:lvl w:ilvl="0">
      <w:start w:val="1"/>
      <w:numFmt w:val="bullet"/>
      <w:lvlText w:val=""/>
      <w:lvlPicBulletId w:val="31"/>
      <w:lvlJc w:val="left"/>
      <w:pPr>
        <w:tabs>
          <w:tab w:val="num" w:pos="1080"/>
        </w:tabs>
        <w:ind w:left="720" w:hanging="360"/>
      </w:pPr>
      <w:rPr>
        <w:rFonts w:eastAsia="Georgia" w:cs="Georgia" w:ascii="Georgia" w:hAnsi="Georgia"/>
      </w:rPr>
    </w:lvl>
  </w:abstractNum>
  <w:abstractNum w:abstractNumId="79">
    <w:multiLevelType w:val="hybridMultilevel"/>
    <w:lvl w:ilvl="0">
      <w:start w:val="1"/>
      <w:numFmt w:val="bullet"/>
      <w:lvlText w:val=""/>
      <w:lvlPicBulletId w:val="32"/>
      <w:lvlJc w:val="left"/>
      <w:pPr>
        <w:tabs>
          <w:tab w:val="num" w:pos="1080"/>
        </w:tabs>
        <w:ind w:left="720" w:hanging="360"/>
      </w:pPr>
      <w:rPr>
        <w:rFonts w:eastAsia="Georgia" w:cs="Georgia" w:ascii="Georgia" w:hAnsi="Georgia"/>
      </w:rPr>
    </w:lvl>
  </w:abstractNum>
  <w:abstractNum w:abstractNumId="80">
    <w:multiLevelType w:val="hybridMultilevel"/>
    <w:lvl w:ilvl="0">
      <w:start w:val="1"/>
      <w:numFmt w:val="bullet"/>
      <w:lvlText w:val=""/>
      <w:lvlPicBulletId w:val="33"/>
      <w:lvlJc w:val="left"/>
      <w:pPr>
        <w:tabs>
          <w:tab w:val="num" w:pos="1080"/>
        </w:tabs>
        <w:ind w:left="720" w:hanging="360"/>
      </w:pPr>
      <w:rPr>
        <w:rFonts w:eastAsia="Georgia" w:cs="Georgia" w:ascii="Georgia" w:hAnsi="Georgia"/>
      </w:rPr>
    </w:lvl>
  </w:abstractNum>
  <w:abstractNum w:abstractNumId="81">
    <w:multiLevelType w:val="hybridMultilevel"/>
  </w:abstractNum>
  <w:abstractNum w:abstractNumId="82">
    <w:multiLevelType w:val="hybridMultilevel"/>
    <w:lvl w:ilvl="0">
      <w:start w:val="1"/>
      <w:numFmt w:val="bullet"/>
      <w:lvlText w:val=""/>
      <w:lvlPicBulletId w:val="34"/>
      <w:lvlJc w:val="left"/>
      <w:pPr>
        <w:tabs>
          <w:tab w:val="num" w:pos="1080"/>
        </w:tabs>
        <w:ind w:left="720" w:hanging="360"/>
      </w:pPr>
      <w:rPr>
        <w:rFonts w:eastAsia="Georgia" w:cs="Georgia" w:ascii="Georgia" w:hAnsi="Georgia"/>
      </w:rPr>
    </w:lvl>
  </w:abstractNum>
  <w:abstractNum w:abstractNumId="83">
    <w:multiLevelType w:val="hybridMultilevel"/>
    <w:lvl w:ilvl="0">
      <w:start w:val="1"/>
      <w:numFmt w:val="bullet"/>
      <w:lvlText w:val=""/>
      <w:lvlPicBulletId w:val="35"/>
      <w:lvlJc w:val="left"/>
      <w:pPr>
        <w:tabs>
          <w:tab w:val="num" w:pos="1080"/>
        </w:tabs>
        <w:ind w:left="720" w:hanging="360"/>
      </w:pPr>
      <w:rPr>
        <w:rFonts w:eastAsia="Georgia" w:cs="Georgia" w:ascii="Georgia" w:hAnsi="Georgia"/>
      </w:rPr>
    </w:lvl>
  </w:abstractNum>
  <w:abstractNum w:abstractNumId="84">
    <w:multiLevelType w:val="hybridMultilevel"/>
    <w:lvl w:ilvl="0">
      <w:start w:val="1"/>
      <w:numFmt w:val="bullet"/>
      <w:lvlText w:val=""/>
      <w:lvlPicBulletId w:val="36"/>
      <w:lvlJc w:val="left"/>
      <w:pPr>
        <w:tabs>
          <w:tab w:val="num" w:pos="1080"/>
        </w:tabs>
        <w:ind w:left="720" w:hanging="360"/>
      </w:pPr>
      <w:rPr>
        <w:rFonts w:eastAsia="Georgia" w:cs="Georgia" w:ascii="Georgia" w:hAnsi="Georgia"/>
      </w:rPr>
    </w:lvl>
  </w:abstractNum>
  <w:abstractNum w:abstractNumId="85">
    <w:multiLevelType w:val="hybridMultilevel"/>
    <w:lvl w:ilvl="0">
      <w:start w:val="1"/>
      <w:numFmt w:val="bullet"/>
      <w:lvlText w:val=""/>
      <w:lvlPicBulletId w:val="37"/>
      <w:lvlJc w:val="left"/>
      <w:pPr>
        <w:tabs>
          <w:tab w:val="num" w:pos="1080"/>
        </w:tabs>
        <w:ind w:left="720" w:hanging="360"/>
      </w:pPr>
      <w:rPr>
        <w:rFonts w:eastAsia="Georgia" w:cs="Georgia" w:ascii="Georgia" w:hAnsi="Georgia"/>
      </w:rPr>
    </w:lvl>
  </w:abstractNum>
  <w:abstractNum w:abstractNumId="86">
    <w:multiLevelType w:val="hybridMultilevel"/>
    <w:lvl w:ilvl="0">
      <w:start w:val="1"/>
      <w:numFmt w:val="bullet"/>
      <w:lvlText w:val=""/>
      <w:lvlPicBulletId w:val="38"/>
      <w:lvlJc w:val="left"/>
      <w:pPr>
        <w:tabs>
          <w:tab w:val="num" w:pos="1080"/>
        </w:tabs>
        <w:ind w:left="720" w:hanging="360"/>
      </w:pPr>
      <w:rPr>
        <w:rFonts w:eastAsia="Georgia" w:cs="Georgia" w:ascii="Georgia" w:hAnsi="Georgia"/>
      </w:rPr>
    </w:lvl>
  </w:abstractNum>
  <w:abstractNum w:abstractNumId="87">
    <w:multiLevelType w:val="hybridMultilevel"/>
    <w:lvl w:ilvl="0">
      <w:start w:val="1"/>
      <w:numFmt w:val="bullet"/>
      <w:lvlText w:val=""/>
      <w:lvlPicBulletId w:val="39"/>
      <w:lvlJc w:val="left"/>
      <w:pPr>
        <w:tabs>
          <w:tab w:val="num" w:pos="1080"/>
        </w:tabs>
        <w:ind w:left="720" w:hanging="360"/>
      </w:pPr>
      <w:rPr>
        <w:rFonts w:eastAsia="Georgia" w:cs="Georgia" w:ascii="Georgia" w:hAnsi="Georgia"/>
      </w:rPr>
    </w:lvl>
  </w:abstractNum>
  <w:abstractNum w:abstractNumId="88">
    <w:multiLevelType w:val="hybridMultilevel"/>
  </w:abstractNum>
  <w:abstractNum w:abstractNumId="89">
    <w:multiLevelType w:val="hybridMultilevel"/>
    <w:lvl w:ilvl="0">
      <w:start w:val="1"/>
      <w:numFmt w:val="bullet"/>
      <w:lvlText w:val=""/>
      <w:lvlPicBulletId w:val="40"/>
      <w:lvlJc w:val="left"/>
      <w:pPr>
        <w:tabs>
          <w:tab w:val="num" w:pos="1080"/>
        </w:tabs>
        <w:ind w:left="720" w:hanging="360"/>
      </w:pPr>
      <w:rPr>
        <w:rFonts w:eastAsia="Georgia" w:cs="Georgia" w:ascii="Georgia" w:hAnsi="Georgia"/>
      </w:rPr>
    </w:lvl>
  </w:abstractNum>
  <w:abstractNum w:abstractNumId="90">
    <w:multiLevelType w:val="hybridMultilevel"/>
    <w:lvl w:ilvl="0">
      <w:start w:val="1"/>
      <w:numFmt w:val="bullet"/>
      <w:lvlText w:val=""/>
      <w:lvlPicBulletId w:val="41"/>
      <w:lvlJc w:val="left"/>
      <w:pPr>
        <w:tabs>
          <w:tab w:val="num" w:pos="1080"/>
        </w:tabs>
        <w:ind w:left="720" w:hanging="360"/>
      </w:pPr>
      <w:rPr>
        <w:rFonts w:eastAsia="Georgia" w:cs="Georgia" w:ascii="Georgia" w:hAnsi="Georgia"/>
      </w:rPr>
    </w:lvl>
  </w:abstractNum>
  <w:abstractNum w:abstractNumId="91">
    <w:multiLevelType w:val="hybridMultilevel"/>
    <w:lvl w:ilvl="0">
      <w:start w:val="1"/>
      <w:numFmt w:val="bullet"/>
      <w:lvlText w:val=""/>
      <w:lvlPicBulletId w:val="42"/>
      <w:lvlJc w:val="left"/>
      <w:pPr>
        <w:tabs>
          <w:tab w:val="num" w:pos="1080"/>
        </w:tabs>
        <w:ind w:left="720" w:hanging="360"/>
      </w:pPr>
      <w:rPr>
        <w:rFonts w:eastAsia="Georgia" w:cs="Georgia" w:ascii="Georgia" w:hAnsi="Georgia"/>
      </w:rPr>
    </w:lvl>
  </w:abstractNum>
  <w:abstractNum w:abstractNumId="92">
    <w:multiLevelType w:val="hybridMultilevel"/>
    <w:lvl w:ilvl="0">
      <w:start w:val="1"/>
      <w:numFmt w:val="bullet"/>
      <w:lvlText w:val=""/>
      <w:lvlPicBulletId w:val="43"/>
      <w:lvlJc w:val="left"/>
      <w:pPr>
        <w:tabs>
          <w:tab w:val="num" w:pos="1080"/>
        </w:tabs>
        <w:ind w:left="720" w:hanging="360"/>
      </w:pPr>
      <w:rPr>
        <w:rFonts w:eastAsia="Georgia" w:cs="Georgia" w:ascii="Georgia" w:hAnsi="Georgia"/>
      </w:rPr>
    </w:lvl>
  </w:abstractNum>
  <w:abstractNum w:abstractNumId="93">
    <w:multiLevelType w:val="hybridMultilevel"/>
    <w:lvl w:ilvl="0">
      <w:start w:val="1"/>
      <w:numFmt w:val="bullet"/>
      <w:lvlText w:val=""/>
      <w:lvlPicBulletId w:val="44"/>
      <w:lvlJc w:val="left"/>
      <w:pPr>
        <w:tabs>
          <w:tab w:val="num" w:pos="1080"/>
        </w:tabs>
        <w:ind w:left="720" w:hanging="360"/>
      </w:pPr>
      <w:rPr>
        <w:rFonts w:eastAsia="Georgia" w:cs="Georgia" w:ascii="Georgia" w:hAnsi="Georgia"/>
      </w:rPr>
    </w:lvl>
  </w:abstractNum>
  <w:abstractNum w:abstractNumId="94">
    <w:multiLevelType w:val="hybridMultilevel"/>
    <w:lvl w:ilvl="0">
      <w:start w:val="1"/>
      <w:numFmt w:val="bullet"/>
      <w:lvlText w:val=""/>
      <w:lvlPicBulletId w:val="45"/>
      <w:lvlJc w:val="left"/>
      <w:pPr>
        <w:tabs>
          <w:tab w:val="num" w:pos="1080"/>
        </w:tabs>
        <w:ind w:left="720" w:hanging="360"/>
      </w:pPr>
      <w:rPr>
        <w:rFonts w:eastAsia="Georgia" w:cs="Georgia" w:ascii="Georgia" w:hAnsi="Georgia"/>
      </w:rPr>
    </w:lvl>
  </w:abstractNum>
  <w:abstractNum w:abstractNumId="9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8">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Oort.io" TargetMode="External"/><Relationship Id="rId6" Type="http://schemas.openxmlformats.org/officeDocument/2006/relationships/hyperlink" Target="https://docs.oort.io/blogs/7-critical-requirements-for-securing-third-party-and-vendor-access" TargetMode="External"/><Relationship Id="rId7" Type="http://schemas.openxmlformats.org/officeDocument/2006/relationships/hyperlink" Target="https://panorays.com/blog/third-party-access/" TargetMode="External"/><Relationship Id="rId8" Type="http://schemas.openxmlformats.org/officeDocument/2006/relationships/hyperlink" Target="https://www.paloaltonetworks.com/cyberpedia/what-is-zero-trust-network-access-2-0" TargetMode="External"/><Relationship Id="rId9" Type="http://schemas.openxmlformats.org/officeDocument/2006/relationships/hyperlink" Target="https://www.cisco.com/site/us/en/learn/topics/security/what-is-network-segmentation.html" TargetMode="External"/><Relationship Id="rId10" Type="http://schemas.openxmlformats.org/officeDocument/2006/relationships/hyperlink" Target="https://nvlpubs.nist.gov/nistpubs/specialpublications/NIST.SP.800-207.pdf" TargetMode="External"/><Relationship Id="rId11" Type="http://schemas.openxmlformats.org/officeDocument/2006/relationships/hyperlink" Target="https://www.fortinet.com/resources/cyberglossary/zero-trust-architecture" TargetMode="External"/><Relationship Id="rId12" Type="http://schemas.openxmlformats.org/officeDocument/2006/relationships/hyperlink" Target="https://www.appgate.com/blog/ciso-perspectives-protecting-legacy-network-devices-with-ztna" TargetMode="External"/><Relationship Id="rId13" Type="http://schemas.openxmlformats.org/officeDocument/2006/relationships/hyperlink" Target="https://msendpointmgr.com/2026/01/21/zero-trust-for-legacy-systems-bridging-the-gap-without-compromising-principles/" TargetMode="External"/><Relationship Id="rId14" Type="http://schemas.openxmlformats.org/officeDocument/2006/relationships/hyperlink" Target="https://gridironit.com/2025/07/top-challenges-in-zero-trust-architecture-implementation-and-how-to-overcome-them/" TargetMode="External"/><Relationship Id="rId15" Type="http://schemas.openxmlformats.org/officeDocument/2006/relationships/hyperlink" Target="https://cloudbrink.com/faq/what-are-the-cons-of-ztna/" TargetMode="External"/><Relationship Id="rId16" Type="http://schemas.openxmlformats.org/officeDocument/2006/relationships/hyperlink" Target="https://www.avatier.com/blog/zero-trust-and-legacy-systems/" TargetMode="External"/><Relationship Id="rId17" Type="http://schemas.openxmlformats.org/officeDocument/2006/relationships/hyperlink" Target="https://cyolo.io/blog/universal-ztna-guide-to-challenges-and-benefits" TargetMode="External"/><Relationship Id="rId18" Type="http://schemas.openxmlformats.org/officeDocument/2006/relationships/hyperlink" Target="https://zeronetworks.com/blog/what-is-zero-trust-networks-access-ztna" TargetMode="External"/><Relationship Id="rId19" Type="http://schemas.openxmlformats.org/officeDocument/2006/relationships/hyperlink" Target="https://techcommunity.microsoft.com/blog/microsoft-entra-blog/replace-your-legacy-vpn-with-an-identity-centric-ztna/4395973" TargetMode="External"/><Relationship Id="rId20" Type="http://schemas.openxmlformats.org/officeDocument/2006/relationships/hyperlink" Target="https://www.portnox.com/cybersecurity-101/access-control/identity-based-access-control/" TargetMode="External"/><Relationship Id="rId21" Type="http://schemas.openxmlformats.org/officeDocument/2006/relationships/hyperlink" Target="https://www.sailpoint.com/identity-library/zero-trust-architecture" TargetMode="External"/><Relationship Id="rId22" Type="http://schemas.openxmlformats.org/officeDocument/2006/relationships/hyperlink" Target="https://www.cyberark.com/resources/identity-security/securing-the-future-the-new-identity-security-paradigm-for-cyber-leaders" TargetMode="External"/><Relationship Id="rId23" Type="http://schemas.openxmlformats.org/officeDocument/2006/relationships/hyperlink" Target="https://www.upguard.com/blog/third-party-security" TargetMode="External"/><Relationship Id="rId24" Type="http://schemas.openxmlformats.org/officeDocument/2006/relationships/hyperlink" Target="https://technologymatch.com/blog/the-essential-it-vendor-selection-criteria-and-checklist" TargetMode="External"/><Relationship Id="rId25" Type="http://schemas.openxmlformats.org/officeDocument/2006/relationships/hyperlink" Target="https://www.essent.com/Blog/Blog/Understanding-Enterprise-RFP-Requirements-Security.htm" TargetMode="External"/><Relationship Id="rId26" Type="http://schemas.openxmlformats.org/officeDocument/2006/relationships/hyperlink" Target="http://Oort.io" TargetMode="External"/><Relationship Id="rId27" Type="http://schemas.openxmlformats.org/officeDocument/2006/relationships/hyperlink" Target="https://docs.oort.io/blogs/7-critical-requirements-for-securing-third-party-and-vendor-access" TargetMode="External"/><Relationship Id="rId28" Type="http://schemas.openxmlformats.org/officeDocument/2006/relationships/hyperlink" Target="https://panorays.com/blog/third-party-access/" TargetMode="External"/><Relationship Id="rId29" Type="http://schemas.openxmlformats.org/officeDocument/2006/relationships/hyperlink" Target="https://www.paloaltonetworks.com/cyberpedia/what-is-zero-trust-network-access-2-0" TargetMode="External"/><Relationship Id="rId30" Type="http://schemas.openxmlformats.org/officeDocument/2006/relationships/hyperlink" Target="https://www.cisco.com/site/us/en/learn/topics/security/what-is-network-segmentation.html" TargetMode="External"/><Relationship Id="rId31" Type="http://schemas.openxmlformats.org/officeDocument/2006/relationships/hyperlink" Target="https://nvlpubs.nist.gov/nistpubs/specialpublications/NIST.SP.800-207.pdf" TargetMode="External"/><Relationship Id="rId32" Type="http://schemas.openxmlformats.org/officeDocument/2006/relationships/hyperlink" Target="https://www.fortinet.com/resources/cyberglossary/zero-trust-architecture" TargetMode="External"/><Relationship Id="rId33" Type="http://schemas.openxmlformats.org/officeDocument/2006/relationships/hyperlink" Target="https://www.appgate.com/blog/ciso-perspectives-protecting-legacy-network-devices-with-ztna" TargetMode="External"/><Relationship Id="rId34" Type="http://schemas.openxmlformats.org/officeDocument/2006/relationships/hyperlink" Target="https://msendpointmgr.com/2026/01/21/zero-trust-for-legacy-systems-bridging-the-gap-without-compromising-principles/" TargetMode="External"/><Relationship Id="rId35" Type="http://schemas.openxmlformats.org/officeDocument/2006/relationships/hyperlink" Target="https://gridironit.com/2025/07/top-challenges-in-zero-trust-architecture-implementation-and-how-to-overcome-them/" TargetMode="External"/><Relationship Id="rId36" Type="http://schemas.openxmlformats.org/officeDocument/2006/relationships/hyperlink" Target="https://cloudbrink.com/faq/what-are-the-cons-of-ztna/" TargetMode="External"/><Relationship Id="rId37" Type="http://schemas.openxmlformats.org/officeDocument/2006/relationships/hyperlink" Target="https://www.avatier.com/blog/zero-trust-and-legacy-systems/" TargetMode="External"/><Relationship Id="rId38" Type="http://schemas.openxmlformats.org/officeDocument/2006/relationships/hyperlink" Target="https://cyolo.io/blog/universal-ztna-guide-to-challenges-and-benefits" TargetMode="External"/><Relationship Id="rId39" Type="http://schemas.openxmlformats.org/officeDocument/2006/relationships/hyperlink" Target="https://zeronetworks.com/blog/what-is-zero-trust-networks-access-ztna" TargetMode="External"/><Relationship Id="rId40" Type="http://schemas.openxmlformats.org/officeDocument/2006/relationships/hyperlink" Target="https://techcommunity.microsoft.com/blog/microsoft-entra-blog/replace-your-legacy-vpn-with-an-identity-centric-ztna/4395973" TargetMode="External"/><Relationship Id="rId41" Type="http://schemas.openxmlformats.org/officeDocument/2006/relationships/hyperlink" Target="https://www.portnox.com/cybersecurity-101/access-control/identity-based-access-control/" TargetMode="External"/><Relationship Id="rId42" Type="http://schemas.openxmlformats.org/officeDocument/2006/relationships/hyperlink" Target="https://www.sailpoint.com/identity-library/zero-trust-architecture" TargetMode="External"/><Relationship Id="rId43" Type="http://schemas.openxmlformats.org/officeDocument/2006/relationships/hyperlink" Target="https://www.cyberark.com/resources/identity-security/securing-the-future-the-new-identity-security-paradigm-for-cyber-leaders" TargetMode="External"/><Relationship Id="rId44" Type="http://schemas.openxmlformats.org/officeDocument/2006/relationships/hyperlink" Target="https://www.upguard.com/blog/third-party-security" TargetMode="External"/><Relationship Id="rId45" Type="http://schemas.openxmlformats.org/officeDocument/2006/relationships/hyperlink" Target="https://technologymatch.com/blog/the-essential-it-vendor-selection-criteria-and-checklist" TargetMode="External"/><Relationship Id="rId46" Type="http://schemas.openxmlformats.org/officeDocument/2006/relationships/hyperlink" Target="https://www.essent.com/Blog/Blog/Understanding-Enterprise-RFP-Requirements-Security.htm" TargetMode="External"/></Relationships>
</file>

<file path=word/_rels/numbering.xml.rels><?xml version="1.0" encoding="UTF-8" standalone="yes"?><Relationships xmlns="http://schemas.openxmlformats.org/package/2006/relationships"><Relationship Id="rId1" Type="http://schemas.openxmlformats.org/officeDocument/2006/relationships/image" Target="media/image-svg-935a0e90401bdcb13cd26fc570e7d75ab423f70e.svg" TargetMode="Internal"/><Relationship Id="rId2" Type="http://schemas.openxmlformats.org/officeDocument/2006/relationships/image" Target="media/image-svg-935a0e90401bdcb13cd26fc570e7d75ab423f70e.png" TargetMode="Internal"/><Relationship Id="rId3" Type="http://schemas.openxmlformats.org/officeDocument/2006/relationships/image" Target="media/image-svg-935a0e90401bdcb13cd26fc570e7d75ab423f70e.svg" TargetMode="Internal"/><Relationship Id="rId4" Type="http://schemas.openxmlformats.org/officeDocument/2006/relationships/image" Target="media/image-svg-935a0e90401bdcb13cd26fc570e7d75ab423f70e.png" TargetMode="Internal"/><Relationship Id="rId5" Type="http://schemas.openxmlformats.org/officeDocument/2006/relationships/image" Target="media/image-svg-935a0e90401bdcb13cd26fc570e7d75ab423f70e.svg" TargetMode="Internal"/><Relationship Id="rId6" Type="http://schemas.openxmlformats.org/officeDocument/2006/relationships/image" Target="media/image-svg-935a0e90401bdcb13cd26fc570e7d75ab423f70e.png" TargetMode="Internal"/><Relationship Id="rId7" Type="http://schemas.openxmlformats.org/officeDocument/2006/relationships/image" Target="media/image-svg-935a0e90401bdcb13cd26fc570e7d75ab423f70e.svg" TargetMode="Internal"/><Relationship Id="rId8" Type="http://schemas.openxmlformats.org/officeDocument/2006/relationships/image" Target="media/image-svg-935a0e90401bdcb13cd26fc570e7d75ab423f70e.png" TargetMode="Internal"/><Relationship Id="rId9" Type="http://schemas.openxmlformats.org/officeDocument/2006/relationships/image" Target="media/image-svg-935a0e90401bdcb13cd26fc570e7d75ab423f70e.svg" TargetMode="Internal"/><Relationship Id="rId10" Type="http://schemas.openxmlformats.org/officeDocument/2006/relationships/image" Target="media/image-svg-935a0e90401bdcb13cd26fc570e7d75ab423f70e.png" TargetMode="Internal"/><Relationship Id="rId11" Type="http://schemas.openxmlformats.org/officeDocument/2006/relationships/image" Target="media/image-svg-935a0e90401bdcb13cd26fc570e7d75ab423f70e.svg" TargetMode="Internal"/><Relationship Id="rId12" Type="http://schemas.openxmlformats.org/officeDocument/2006/relationships/image" Target="media/image-svg-935a0e90401bdcb13cd26fc570e7d75ab423f70e.png" TargetMode="Internal"/><Relationship Id="rId13" Type="http://schemas.openxmlformats.org/officeDocument/2006/relationships/image" Target="media/image-svg-935a0e90401bdcb13cd26fc570e7d75ab423f70e.svg" TargetMode="Internal"/><Relationship Id="rId14" Type="http://schemas.openxmlformats.org/officeDocument/2006/relationships/image" Target="media/image-svg-935a0e90401bdcb13cd26fc570e7d75ab423f70e.png" TargetMode="Internal"/><Relationship Id="rId15" Type="http://schemas.openxmlformats.org/officeDocument/2006/relationships/image" Target="media/image-svg-935a0e90401bdcb13cd26fc570e7d75ab423f70e.svg" TargetMode="Internal"/><Relationship Id="rId16" Type="http://schemas.openxmlformats.org/officeDocument/2006/relationships/image" Target="media/image-svg-935a0e90401bdcb13cd26fc570e7d75ab423f70e.png" TargetMode="Internal"/><Relationship Id="rId17" Type="http://schemas.openxmlformats.org/officeDocument/2006/relationships/image" Target="media/image-svg-935a0e90401bdcb13cd26fc570e7d75ab423f70e.svg" TargetMode="Internal"/><Relationship Id="rId18" Type="http://schemas.openxmlformats.org/officeDocument/2006/relationships/image" Target="media/image-svg-935a0e90401bdcb13cd26fc570e7d75ab423f70e.png" TargetMode="Internal"/><Relationship Id="rId19" Type="http://schemas.openxmlformats.org/officeDocument/2006/relationships/image" Target="media/image-svg-935a0e90401bdcb13cd26fc570e7d75ab423f70e.svg" TargetMode="Internal"/><Relationship Id="rId20" Type="http://schemas.openxmlformats.org/officeDocument/2006/relationships/image" Target="media/image-svg-935a0e90401bdcb13cd26fc570e7d75ab423f70e.png" TargetMode="Internal"/><Relationship Id="rId21" Type="http://schemas.openxmlformats.org/officeDocument/2006/relationships/image" Target="media/image-svg-935a0e90401bdcb13cd26fc570e7d75ab423f70e.svg" TargetMode="Internal"/><Relationship Id="rId22" Type="http://schemas.openxmlformats.org/officeDocument/2006/relationships/image" Target="media/image-svg-935a0e90401bdcb13cd26fc570e7d75ab423f70e.png" TargetMode="Internal"/><Relationship Id="rId23" Type="http://schemas.openxmlformats.org/officeDocument/2006/relationships/image" Target="media/image-svg-935a0e90401bdcb13cd26fc570e7d75ab423f70e.svg" TargetMode="Internal"/><Relationship Id="rId24" Type="http://schemas.openxmlformats.org/officeDocument/2006/relationships/image" Target="media/image-svg-935a0e90401bdcb13cd26fc570e7d75ab423f70e.png" TargetMode="Internal"/><Relationship Id="rId25" Type="http://schemas.openxmlformats.org/officeDocument/2006/relationships/image" Target="media/image-svg-935a0e90401bdcb13cd26fc570e7d75ab423f70e.svg" TargetMode="Internal"/><Relationship Id="rId26" Type="http://schemas.openxmlformats.org/officeDocument/2006/relationships/image" Target="media/image-svg-935a0e90401bdcb13cd26fc570e7d75ab423f70e.png" TargetMode="Internal"/><Relationship Id="rId27" Type="http://schemas.openxmlformats.org/officeDocument/2006/relationships/image" Target="media/image-svg-935a0e90401bdcb13cd26fc570e7d75ab423f70e.svg" TargetMode="Internal"/><Relationship Id="rId28" Type="http://schemas.openxmlformats.org/officeDocument/2006/relationships/image" Target="media/image-svg-935a0e90401bdcb13cd26fc570e7d75ab423f70e.png" TargetMode="Internal"/><Relationship Id="rId29" Type="http://schemas.openxmlformats.org/officeDocument/2006/relationships/image" Target="media/image-svg-935a0e90401bdcb13cd26fc570e7d75ab423f70e.svg" TargetMode="Internal"/><Relationship Id="rId30" Type="http://schemas.openxmlformats.org/officeDocument/2006/relationships/image" Target="media/image-svg-935a0e90401bdcb13cd26fc570e7d75ab423f70e.png" TargetMode="Internal"/><Relationship Id="rId31" Type="http://schemas.openxmlformats.org/officeDocument/2006/relationships/image" Target="media/image-svg-935a0e90401bdcb13cd26fc570e7d75ab423f70e.svg" TargetMode="Internal"/><Relationship Id="rId32" Type="http://schemas.openxmlformats.org/officeDocument/2006/relationships/image" Target="media/image-svg-935a0e90401bdcb13cd26fc570e7d75ab423f70e.png" TargetMode="Internal"/><Relationship Id="rId33" Type="http://schemas.openxmlformats.org/officeDocument/2006/relationships/image" Target="media/image-svg-935a0e90401bdcb13cd26fc570e7d75ab423f70e.svg" TargetMode="Internal"/><Relationship Id="rId34" Type="http://schemas.openxmlformats.org/officeDocument/2006/relationships/image" Target="media/image-svg-935a0e90401bdcb13cd26fc570e7d75ab423f70e.png" TargetMode="Internal"/><Relationship Id="rId35" Type="http://schemas.openxmlformats.org/officeDocument/2006/relationships/image" Target="media/image-svg-935a0e90401bdcb13cd26fc570e7d75ab423f70e.svg" TargetMode="Internal"/><Relationship Id="rId36" Type="http://schemas.openxmlformats.org/officeDocument/2006/relationships/image" Target="media/image-svg-935a0e90401bdcb13cd26fc570e7d75ab423f70e.png" TargetMode="Internal"/><Relationship Id="rId37" Type="http://schemas.openxmlformats.org/officeDocument/2006/relationships/image" Target="media/image-svg-935a0e90401bdcb13cd26fc570e7d75ab423f70e.svg" TargetMode="Internal"/><Relationship Id="rId38" Type="http://schemas.openxmlformats.org/officeDocument/2006/relationships/image" Target="media/image-svg-935a0e90401bdcb13cd26fc570e7d75ab423f70e.png" TargetMode="Internal"/><Relationship Id="rId39" Type="http://schemas.openxmlformats.org/officeDocument/2006/relationships/image" Target="media/image-svg-935a0e90401bdcb13cd26fc570e7d75ab423f70e.svg" TargetMode="Internal"/><Relationship Id="rId40" Type="http://schemas.openxmlformats.org/officeDocument/2006/relationships/image" Target="media/image-svg-935a0e90401bdcb13cd26fc570e7d75ab423f70e.png" TargetMode="Internal"/><Relationship Id="rId41" Type="http://schemas.openxmlformats.org/officeDocument/2006/relationships/image" Target="media/image-svg-935a0e90401bdcb13cd26fc570e7d75ab423f70e.svg" TargetMode="Internal"/><Relationship Id="rId42" Type="http://schemas.openxmlformats.org/officeDocument/2006/relationships/image" Target="media/image-svg-935a0e90401bdcb13cd26fc570e7d75ab423f70e.png" TargetMode="Internal"/><Relationship Id="rId43" Type="http://schemas.openxmlformats.org/officeDocument/2006/relationships/image" Target="media/image-svg-935a0e90401bdcb13cd26fc570e7d75ab423f70e.svg" TargetMode="Internal"/><Relationship Id="rId44" Type="http://schemas.openxmlformats.org/officeDocument/2006/relationships/image" Target="media/image-svg-935a0e90401bdcb13cd26fc570e7d75ab423f70e.png" TargetMode="Internal"/><Relationship Id="rId45" Type="http://schemas.openxmlformats.org/officeDocument/2006/relationships/image" Target="media/image-svg-935a0e90401bdcb13cd26fc570e7d75ab423f70e.svg" TargetMode="Internal"/><Relationship Id="rId46" Type="http://schemas.openxmlformats.org/officeDocument/2006/relationships/image" Target="media/image-svg-935a0e90401bdcb13cd26fc570e7d75ab423f70e.png" TargetMode="Internal"/><Relationship Id="rId47" Type="http://schemas.openxmlformats.org/officeDocument/2006/relationships/image" Target="media/image-svg-935a0e90401bdcb13cd26fc570e7d75ab423f70e.svg" TargetMode="Internal"/><Relationship Id="rId48" Type="http://schemas.openxmlformats.org/officeDocument/2006/relationships/image" Target="media/image-svg-935a0e90401bdcb13cd26fc570e7d75ab423f70e.png" TargetMode="Internal"/><Relationship Id="rId49" Type="http://schemas.openxmlformats.org/officeDocument/2006/relationships/image" Target="media/image-svg-935a0e90401bdcb13cd26fc570e7d75ab423f70e.svg" TargetMode="Internal"/><Relationship Id="rId50" Type="http://schemas.openxmlformats.org/officeDocument/2006/relationships/image" Target="media/image-svg-935a0e90401bdcb13cd26fc570e7d75ab423f70e.png" TargetMode="Internal"/><Relationship Id="rId51" Type="http://schemas.openxmlformats.org/officeDocument/2006/relationships/image" Target="media/image-svg-935a0e90401bdcb13cd26fc570e7d75ab423f70e.svg" TargetMode="Internal"/><Relationship Id="rId52" Type="http://schemas.openxmlformats.org/officeDocument/2006/relationships/image" Target="media/image-svg-935a0e90401bdcb13cd26fc570e7d75ab423f70e.png" TargetMode="Internal"/><Relationship Id="rId53" Type="http://schemas.openxmlformats.org/officeDocument/2006/relationships/image" Target="media/image-svg-935a0e90401bdcb13cd26fc570e7d75ab423f70e.svg" TargetMode="Internal"/><Relationship Id="rId54" Type="http://schemas.openxmlformats.org/officeDocument/2006/relationships/image" Target="media/image-svg-935a0e90401bdcb13cd26fc570e7d75ab423f70e.png" TargetMode="Internal"/><Relationship Id="rId55" Type="http://schemas.openxmlformats.org/officeDocument/2006/relationships/image" Target="media/image-svg-935a0e90401bdcb13cd26fc570e7d75ab423f70e.svg" TargetMode="Internal"/><Relationship Id="rId56" Type="http://schemas.openxmlformats.org/officeDocument/2006/relationships/image" Target="media/image-svg-935a0e90401bdcb13cd26fc570e7d75ab423f70e.png" TargetMode="Internal"/><Relationship Id="rId57" Type="http://schemas.openxmlformats.org/officeDocument/2006/relationships/image" Target="media/image-svg-935a0e90401bdcb13cd26fc570e7d75ab423f70e.svg" TargetMode="Internal"/><Relationship Id="rId58" Type="http://schemas.openxmlformats.org/officeDocument/2006/relationships/image" Target="media/image-svg-935a0e90401bdcb13cd26fc570e7d75ab423f70e.png" TargetMode="Internal"/><Relationship Id="rId59" Type="http://schemas.openxmlformats.org/officeDocument/2006/relationships/image" Target="media/image-svg-935a0e90401bdcb13cd26fc570e7d75ab423f70e.svg" TargetMode="Internal"/><Relationship Id="rId60" Type="http://schemas.openxmlformats.org/officeDocument/2006/relationships/image" Target="media/image-svg-935a0e90401bdcb13cd26fc570e7d75ab423f70e.png" TargetMode="Internal"/><Relationship Id="rId61" Type="http://schemas.openxmlformats.org/officeDocument/2006/relationships/image" Target="media/image-svg-935a0e90401bdcb13cd26fc570e7d75ab423f70e.svg" TargetMode="Internal"/><Relationship Id="rId62" Type="http://schemas.openxmlformats.org/officeDocument/2006/relationships/image" Target="media/image-svg-935a0e90401bdcb13cd26fc570e7d75ab423f70e.png" TargetMode="Internal"/><Relationship Id="rId63" Type="http://schemas.openxmlformats.org/officeDocument/2006/relationships/image" Target="media/image-svg-935a0e90401bdcb13cd26fc570e7d75ab423f70e.svg" TargetMode="Internal"/><Relationship Id="rId64" Type="http://schemas.openxmlformats.org/officeDocument/2006/relationships/image" Target="media/image-svg-935a0e90401bdcb13cd26fc570e7d75ab423f70e.png" TargetMode="Internal"/><Relationship Id="rId65" Type="http://schemas.openxmlformats.org/officeDocument/2006/relationships/image" Target="media/image-svg-935a0e90401bdcb13cd26fc570e7d75ab423f70e.svg" TargetMode="Internal"/><Relationship Id="rId66" Type="http://schemas.openxmlformats.org/officeDocument/2006/relationships/image" Target="media/image-svg-935a0e90401bdcb13cd26fc570e7d75ab423f70e.png" TargetMode="Internal"/><Relationship Id="rId67" Type="http://schemas.openxmlformats.org/officeDocument/2006/relationships/image" Target="media/image-svg-935a0e90401bdcb13cd26fc570e7d75ab423f70e.svg" TargetMode="Internal"/><Relationship Id="rId68" Type="http://schemas.openxmlformats.org/officeDocument/2006/relationships/image" Target="media/image-svg-935a0e90401bdcb13cd26fc570e7d75ab423f70e.png" TargetMode="Internal"/><Relationship Id="rId69" Type="http://schemas.openxmlformats.org/officeDocument/2006/relationships/image" Target="media/image-svg-935a0e90401bdcb13cd26fc570e7d75ab423f70e.svg" TargetMode="Internal"/><Relationship Id="rId70" Type="http://schemas.openxmlformats.org/officeDocument/2006/relationships/image" Target="media/image-svg-935a0e90401bdcb13cd26fc570e7d75ab423f70e.png" TargetMode="Internal"/><Relationship Id="rId71" Type="http://schemas.openxmlformats.org/officeDocument/2006/relationships/image" Target="media/image-svg-935a0e90401bdcb13cd26fc570e7d75ab423f70e.svg" TargetMode="Internal"/><Relationship Id="rId72" Type="http://schemas.openxmlformats.org/officeDocument/2006/relationships/image" Target="media/image-svg-935a0e90401bdcb13cd26fc570e7d75ab423f70e.png" TargetMode="Internal"/><Relationship Id="rId73" Type="http://schemas.openxmlformats.org/officeDocument/2006/relationships/image" Target="media/image-svg-935a0e90401bdcb13cd26fc570e7d75ab423f70e.svg" TargetMode="Internal"/><Relationship Id="rId74" Type="http://schemas.openxmlformats.org/officeDocument/2006/relationships/image" Target="media/image-svg-935a0e90401bdcb13cd26fc570e7d75ab423f70e.png" TargetMode="Internal"/><Relationship Id="rId75" Type="http://schemas.openxmlformats.org/officeDocument/2006/relationships/image" Target="media/image-svg-935a0e90401bdcb13cd26fc570e7d75ab423f70e.svg" TargetMode="Internal"/><Relationship Id="rId76" Type="http://schemas.openxmlformats.org/officeDocument/2006/relationships/image" Target="media/image-svg-935a0e90401bdcb13cd26fc570e7d75ab423f70e.png" TargetMode="Internal"/><Relationship Id="rId77" Type="http://schemas.openxmlformats.org/officeDocument/2006/relationships/image" Target="media/image-svg-935a0e90401bdcb13cd26fc570e7d75ab423f70e.svg" TargetMode="Internal"/><Relationship Id="rId78" Type="http://schemas.openxmlformats.org/officeDocument/2006/relationships/image" Target="media/image-svg-935a0e90401bdcb13cd26fc570e7d75ab423f70e.png" TargetMode="Internal"/><Relationship Id="rId79" Type="http://schemas.openxmlformats.org/officeDocument/2006/relationships/image" Target="media/image-svg-935a0e90401bdcb13cd26fc570e7d75ab423f70e.svg" TargetMode="Internal"/><Relationship Id="rId80" Type="http://schemas.openxmlformats.org/officeDocument/2006/relationships/image" Target="media/image-svg-935a0e90401bdcb13cd26fc570e7d75ab423f70e.png" TargetMode="Internal"/><Relationship Id="rId81" Type="http://schemas.openxmlformats.org/officeDocument/2006/relationships/image" Target="media/image-svg-935a0e90401bdcb13cd26fc570e7d75ab423f70e.svg" TargetMode="Internal"/><Relationship Id="rId82" Type="http://schemas.openxmlformats.org/officeDocument/2006/relationships/image" Target="media/image-svg-935a0e90401bdcb13cd26fc570e7d75ab423f70e.png" TargetMode="Internal"/><Relationship Id="rId83" Type="http://schemas.openxmlformats.org/officeDocument/2006/relationships/image" Target="media/image-svg-935a0e90401bdcb13cd26fc570e7d75ab423f70e.svg" TargetMode="Internal"/><Relationship Id="rId84" Type="http://schemas.openxmlformats.org/officeDocument/2006/relationships/image" Target="media/image-svg-935a0e90401bdcb13cd26fc570e7d75ab423f70e.png" TargetMode="Internal"/><Relationship Id="rId85" Type="http://schemas.openxmlformats.org/officeDocument/2006/relationships/image" Target="media/image-svg-935a0e90401bdcb13cd26fc570e7d75ab423f70e.svg" TargetMode="Internal"/><Relationship Id="rId86" Type="http://schemas.openxmlformats.org/officeDocument/2006/relationships/image" Target="media/image-svg-935a0e90401bdcb13cd26fc570e7d75ab423f70e.png" TargetMode="Internal"/><Relationship Id="rId87" Type="http://schemas.openxmlformats.org/officeDocument/2006/relationships/image" Target="media/image-svg-935a0e90401bdcb13cd26fc570e7d75ab423f70e.svg" TargetMode="Internal"/><Relationship Id="rId88" Type="http://schemas.openxmlformats.org/officeDocument/2006/relationships/image" Target="media/image-svg-935a0e90401bdcb13cd26fc570e7d75ab423f70e.png" TargetMode="Internal"/><Relationship Id="rId89" Type="http://schemas.openxmlformats.org/officeDocument/2006/relationships/image" Target="media/image-svg-935a0e90401bdcb13cd26fc570e7d75ab423f70e.svg" TargetMode="Internal"/><Relationship Id="rId90" Type="http://schemas.openxmlformats.org/officeDocument/2006/relationships/image" Target="media/image-svg-935a0e90401bdcb13cd26fc570e7d75ab423f70e.png" TargetMode="Internal"/><Relationship Id="rId91" Type="http://schemas.openxmlformats.org/officeDocument/2006/relationships/image" Target="media/image-svg-935a0e90401bdcb13cd26fc570e7d75ab423f70e.svg" TargetMode="Internal"/><Relationship Id="rId92" Type="http://schemas.openxmlformats.org/officeDocument/2006/relationships/image" Target="media/image-svg-935a0e90401bdcb13cd26fc570e7d75ab423f70e.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2026-02-25T00:22:48.209Z</dcterms:created>
  <dcterms:modified xsi:type="dcterms:W3CDTF">2026-02-25T00:22:48.209Z</dcterms:modified>
</cp:coreProperties>
</file>