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0DD2" w14:textId="77777777" w:rsidR="00FA4360" w:rsidRDefault="00000000">
      <w:pPr>
        <w:jc w:val="center"/>
      </w:pPr>
      <w:r>
        <w:rPr>
          <w:b/>
          <w:bCs/>
          <w:sz w:val="32"/>
          <w:szCs w:val="32"/>
        </w:rPr>
        <w:t>Application- and Service-Centric Firewall Rule Delivery: Leveraging Application and Infrastructure Inventory to Define Intent-Driven Policy and Tiered Network Object Architecture</w:t>
      </w:r>
    </w:p>
    <w:p w14:paraId="682003DC" w14:textId="77777777" w:rsidR="00FA4360" w:rsidRDefault="00000000">
      <w:pPr>
        <w:spacing w:after="60"/>
        <w:jc w:val="center"/>
      </w:pPr>
      <w:r>
        <w:t>Michael J. Martin</w:t>
      </w:r>
    </w:p>
    <w:p w14:paraId="2F40EF35" w14:textId="77777777" w:rsidR="00FA4360" w:rsidRDefault="00000000">
      <w:pPr>
        <w:spacing w:after="60"/>
        <w:jc w:val="center"/>
      </w:pPr>
      <w:r>
        <w:t>Lead Director, Information Security</w:t>
      </w:r>
    </w:p>
    <w:p w14:paraId="69258763" w14:textId="77777777" w:rsidR="00FA4360" w:rsidRDefault="00000000">
      <w:pPr>
        <w:spacing w:after="60"/>
        <w:jc w:val="center"/>
      </w:pPr>
      <w:r>
        <w:t>Enterprise Information Security</w:t>
      </w:r>
    </w:p>
    <w:p w14:paraId="5FC7D793" w14:textId="77777777" w:rsidR="00FA4360" w:rsidRDefault="00000000">
      <w:pPr>
        <w:spacing w:after="60"/>
        <w:jc w:val="center"/>
      </w:pPr>
      <w:r>
        <w:rPr>
          <w:sz w:val="20"/>
          <w:szCs w:val="20"/>
        </w:rPr>
        <w:t>Version 1.0 — March 2026</w:t>
      </w:r>
    </w:p>
    <w:p w14:paraId="10A610DA" w14:textId="77777777" w:rsidR="00FA4360" w:rsidRDefault="00000000">
      <w:pPr>
        <w:spacing w:after="60"/>
        <w:jc w:val="center"/>
      </w:pPr>
      <w:r>
        <w:rPr>
          <w:sz w:val="20"/>
          <w:szCs w:val="20"/>
        </w:rPr>
        <w:t>Classification: Internal — Architecture Working Paper</w:t>
      </w:r>
    </w:p>
    <w:p w14:paraId="4DE124A1" w14:textId="77777777" w:rsidR="00FA4360" w:rsidRDefault="00000000">
      <w:pPr>
        <w:spacing w:after="60"/>
        <w:jc w:val="center"/>
      </w:pPr>
      <w:r>
        <w:rPr>
          <w:b/>
          <w:bCs/>
          <w:sz w:val="20"/>
          <w:szCs w:val="20"/>
        </w:rPr>
        <w:t xml:space="preserve">Keywords: </w:t>
      </w:r>
      <w:r>
        <w:rPr>
          <w:sz w:val="20"/>
          <w:szCs w:val="20"/>
        </w:rPr>
        <w:t>Application-Centric Firewall, Intent-Driven Policy, Network Object Hierarchy, Zero Trust Segmentation, Palo Alto Networks, Panorama, NIST 800-207</w:t>
      </w:r>
    </w:p>
    <w:p w14:paraId="51471F7C" w14:textId="77777777" w:rsidR="00FA4360" w:rsidRDefault="00000000">
      <w:pPr>
        <w:spacing w:before="240"/>
        <w:jc w:val="center"/>
      </w:pPr>
      <w:r>
        <w:rPr>
          <w:b/>
          <w:bCs/>
        </w:rPr>
        <w:t>Abstract</w:t>
      </w:r>
    </w:p>
    <w:p w14:paraId="308FC093" w14:textId="77777777" w:rsidR="00FA4360" w:rsidRDefault="00000000">
      <w:pPr>
        <w:ind w:left="360" w:right="360"/>
      </w:pPr>
      <w:r>
        <w:rPr>
          <w:sz w:val="20"/>
          <w:szCs w:val="20"/>
        </w:rPr>
        <w:t>Enterprise firewall operations remain anchored to IP-centric rule management despite decades of investment in application portfolio management, infrastructure inventory, and configuration management databases. This paper presents an architecture that bridges these domains by consuming application inventory and enterprise network asset data to produce a normalized Common Connectivity Dataset (CCD), which serves as the sole automation contract for firewall object and rule generation. The architecture defines a tiered network object hierarchy that supports three distinct traffic flow classes: Consumer-to-Application (end users and endpoints accessing enterprise applications), Application-to-Application (internal east-west service communication), and Application-to-External-Service (enterprise applications consuming SaaS, IaaS, and third-party services outside the enterprise boundary). Each flow class is governed by intent-driven policy expressed in application and service terms, compiled deterministically into vendor-specific enforcement artifacts. The paper grounds the design in Palo Alto Networks PAN-OS and Panorama but maintains vendor-neutral architectural principles applicable across enforcement platforms. By decoupling application identity from network topology and encoding networking invariants as compiler logic, this architecture eliminates rule sprawl, enforces ownership and lifecycle governance, and aligns firewall management with NIST SP 800-207 Zero Trust principles.</w:t>
      </w:r>
    </w:p>
    <w:p w14:paraId="15DB89CB" w14:textId="77777777" w:rsidR="00FA4360" w:rsidRDefault="00000000">
      <w:r>
        <w:br w:type="page"/>
      </w:r>
    </w:p>
    <w:p w14:paraId="2241E1AD" w14:textId="77777777" w:rsidR="00FA4360" w:rsidRDefault="00000000">
      <w:pPr>
        <w:pStyle w:val="Heading1"/>
      </w:pPr>
      <w:r>
        <w:rPr>
          <w:caps w:val="0"/>
        </w:rPr>
        <w:lastRenderedPageBreak/>
        <w:t>1. PROBLEM STATEMENT</w:t>
      </w:r>
    </w:p>
    <w:p w14:paraId="547B74C6" w14:textId="77777777" w:rsidR="00FA4360" w:rsidRDefault="00000000">
      <w:pPr>
        <w:pStyle w:val="Heading2"/>
      </w:pPr>
      <w:r>
        <w:t>1.1 The Legacy Firewall Operating Model</w:t>
      </w:r>
    </w:p>
    <w:p w14:paraId="1F3BC259" w14:textId="77777777" w:rsidR="00FA4360" w:rsidRDefault="00000000">
      <w:r>
        <w:t xml:space="preserve">Enterprise firewalls evolved around a model in which IP addresses serve as the fundamental unit of identity. Firewall rules are expressed as ordered tuples of network primitives: source IP address, ephemeral source port range (1024–65535), destination IP address, well-known destination port, protocol, and </w:t>
      </w:r>
      <w:proofErr w:type="spellStart"/>
      <w:r>
        <w:t>statefulness</w:t>
      </w:r>
      <w:proofErr w:type="spellEnd"/>
      <w:r>
        <w:t>. This model is deterministic and maps directly to TCP/IP packet mechanics — it tells the firewall exactly what bits to match and what action to take.</w:t>
      </w:r>
    </w:p>
    <w:p w14:paraId="529B91D2" w14:textId="77777777" w:rsidR="00FA4360" w:rsidRDefault="00000000">
      <w:r>
        <w:t>The problem is not that this model is wrong — it is necessarily correct at the enforcement layer. The problem is that it encodes network trivia rather than business intent. Over time, organizations that manage firewall policy at the IP level accumulate a set of compounding dysfunctions:</w:t>
      </w:r>
    </w:p>
    <w:p w14:paraId="3535F5B0" w14:textId="77777777" w:rsidR="00FA4360" w:rsidRDefault="00000000">
      <w:pPr>
        <w:pStyle w:val="ListParagraph"/>
        <w:numPr>
          <w:ilvl w:val="0"/>
          <w:numId w:val="2"/>
        </w:numPr>
        <w:spacing w:after="60"/>
      </w:pPr>
      <w:r>
        <w:rPr>
          <w:b/>
          <w:bCs/>
        </w:rPr>
        <w:t>Rule sprawl:</w:t>
      </w:r>
      <w:r>
        <w:t xml:space="preserve"> Each connectivity request generates new rules rather than reusing existing intent-based constructs. Enterprises routinely maintain tens of thousands of rules per firewall pair, many of which are redundant, overlapping, or shadowed.</w:t>
      </w:r>
    </w:p>
    <w:p w14:paraId="721F36F4" w14:textId="77777777" w:rsidR="00FA4360" w:rsidRDefault="00000000">
      <w:pPr>
        <w:pStyle w:val="ListParagraph"/>
        <w:numPr>
          <w:ilvl w:val="0"/>
          <w:numId w:val="2"/>
        </w:numPr>
        <w:spacing w:after="60"/>
      </w:pPr>
      <w:r>
        <w:rPr>
          <w:b/>
          <w:bCs/>
        </w:rPr>
        <w:t>Operational fragility:</w:t>
      </w:r>
      <w:r>
        <w:t xml:space="preserve"> When infrastructure migrates — a server is re-</w:t>
      </w:r>
      <w:proofErr w:type="spellStart"/>
      <w:r>
        <w:t>IP'd</w:t>
      </w:r>
      <w:proofErr w:type="spellEnd"/>
      <w:r>
        <w:t>, a subnet is renumbered, a workload moves to the cloud — every rule referencing the old address must be identified and updated. This creates a brittle coupling between firewall state and infrastructure topology.</w:t>
      </w:r>
    </w:p>
    <w:p w14:paraId="328C1C90" w14:textId="77777777" w:rsidR="00FA4360" w:rsidRDefault="00000000">
      <w:pPr>
        <w:pStyle w:val="ListParagraph"/>
        <w:numPr>
          <w:ilvl w:val="0"/>
          <w:numId w:val="2"/>
        </w:numPr>
        <w:spacing w:after="60"/>
      </w:pPr>
      <w:r>
        <w:rPr>
          <w:b/>
          <w:bCs/>
        </w:rPr>
        <w:t>Loss of intent:</w:t>
      </w:r>
      <w:r>
        <w:t xml:space="preserve"> After a rule is created, the record of why it exists often resides only in a ticketing system, disconnected from the rule itself. Within months, the business justification is effectively lost.</w:t>
      </w:r>
    </w:p>
    <w:p w14:paraId="443085C5" w14:textId="77777777" w:rsidR="00FA4360" w:rsidRDefault="00000000">
      <w:pPr>
        <w:pStyle w:val="ListParagraph"/>
        <w:numPr>
          <w:ilvl w:val="0"/>
          <w:numId w:val="2"/>
        </w:numPr>
        <w:spacing w:after="60"/>
      </w:pPr>
      <w:r>
        <w:rPr>
          <w:b/>
          <w:bCs/>
        </w:rPr>
        <w:t>Audit complexity:</w:t>
      </w:r>
      <w:r>
        <w:t xml:space="preserve"> Demonstrating least privilege to auditors requires manual archaeology — tracing each rule back to its originating request, verifying that the request is still valid, and confirming that the rule accurately implements the approved intent.</w:t>
      </w:r>
    </w:p>
    <w:p w14:paraId="1488BF05" w14:textId="77777777" w:rsidR="00FA4360" w:rsidRDefault="00000000">
      <w:pPr>
        <w:pStyle w:val="ListParagraph"/>
        <w:numPr>
          <w:ilvl w:val="0"/>
          <w:numId w:val="2"/>
        </w:numPr>
        <w:spacing w:after="60"/>
      </w:pPr>
      <w:r>
        <w:rPr>
          <w:b/>
          <w:bCs/>
        </w:rPr>
        <w:t>Topology coupling:</w:t>
      </w:r>
      <w:r>
        <w:t xml:space="preserve"> Rules encode the physical or logical topology at the time of creation. Infrastructure modernization efforts — data center migrations, cloud adoption, </w:t>
      </w:r>
      <w:proofErr w:type="spellStart"/>
      <w:r>
        <w:t>microsegmentation</w:t>
      </w:r>
      <w:proofErr w:type="spellEnd"/>
      <w:r>
        <w:t xml:space="preserve"> — are impeded by the cost of rewriting firewall policy.</w:t>
      </w:r>
    </w:p>
    <w:p w14:paraId="5D14DE3C" w14:textId="77777777" w:rsidR="00FA4360" w:rsidRDefault="00000000">
      <w:pPr>
        <w:pStyle w:val="Heading2"/>
      </w:pPr>
      <w:r>
        <w:t>1.2 Why CMDB-Driven Automation Often Fails</w:t>
      </w:r>
    </w:p>
    <w:p w14:paraId="049E7F37" w14:textId="77777777" w:rsidR="00FA4360" w:rsidRDefault="00000000">
      <w:r>
        <w:t>Many organizations attempt to solve the firewall management problem by automating directly from their Configuration Management Database (CMDB). The intuition is sound: the CMDB contains infrastructure records, firewalls protect infrastructure, therefore the CMDB should drive firewall automation. In practice, this approach consistently underdelivers.</w:t>
      </w:r>
    </w:p>
    <w:p w14:paraId="4F83052C" w14:textId="77777777" w:rsidR="00FA4360" w:rsidRDefault="00000000">
      <w:r>
        <w:t>The root cause is that CMDBs are component-centric, not application-centric. A CMDB tracks individual configuration items — servers, network interfaces, software installations — but it does not natively model the application as a first-class entity. A single enterprise application may map to dozens or hundreds of infrastructure components spread across multiple environments, each with different lifecycles, ownership models, and compliance obligations.</w:t>
      </w:r>
    </w:p>
    <w:p w14:paraId="706A388E" w14:textId="77777777" w:rsidR="00FA4360" w:rsidRDefault="00000000">
      <w:r>
        <w:t>Environment semantics compound the problem. One business unit labels environments as DEV, TEST, QA, PROD; another uses Development, Staging, Production; a third uses numerical codes. Without a normalization layer, automation that consumes CMDB data faithfully reproduces these inconsistencies in firewall policy.</w:t>
      </w:r>
    </w:p>
    <w:p w14:paraId="36089C0B" w14:textId="77777777" w:rsidR="00FA4360" w:rsidRDefault="00000000">
      <w:r>
        <w:lastRenderedPageBreak/>
        <w:t>The net result is that automating directly from the CMDB reproduces the legacy operating model at machine speed. It does not eliminate rule sprawl, enforce intent, or decouple policy from topology — it amplifies the existing complexity by generating rules faster than humans can review them.</w:t>
      </w:r>
    </w:p>
    <w:p w14:paraId="0357209A" w14:textId="77777777" w:rsidR="00FA4360" w:rsidRDefault="00000000">
      <w:pPr>
        <w:pStyle w:val="Heading2"/>
      </w:pPr>
      <w:r>
        <w:t>1.3 The Missing Abstraction Layer</w:t>
      </w:r>
    </w:p>
    <w:p w14:paraId="408A55D0" w14:textId="77777777" w:rsidR="00FA4360" w:rsidRDefault="00000000">
      <w:r>
        <w:t>Firewalls enforce trust relationships between applications and services, not between IP addresses. An IP address is an implementation detail — a transient binding between a network interface and a logical network. Applications are the correct security-relevant abstraction: they have owners, lifecycles, risk profiles, compliance obligations, and business justifications.</w:t>
      </w:r>
    </w:p>
    <w:p w14:paraId="160AEA4D" w14:textId="77777777" w:rsidR="00FA4360" w:rsidRDefault="00000000">
      <w:r>
        <w:t>The industry lacks a standardized intermediate dataset that normalizes application identity with network reality into a form that firewall automation can consume deterministically. This missing abstraction layer — what this paper defines as the Common Connectivity Dataset — is the architectural gap that perpetuates IP-centric firewall management. Without it, even sophisticated automation platforms are forced to operate at the wrong level of abstraction.</w:t>
      </w:r>
    </w:p>
    <w:p w14:paraId="3BCB485E" w14:textId="77777777" w:rsidR="00FA4360" w:rsidRDefault="00000000">
      <w:pPr>
        <w:pStyle w:val="Heading2"/>
      </w:pPr>
      <w:r>
        <w:t>1.4 Three Traffic Flow Classes Enterprises Must Govern</w:t>
      </w:r>
    </w:p>
    <w:p w14:paraId="00A40110" w14:textId="77777777" w:rsidR="00FA4360" w:rsidRDefault="00000000">
      <w:r>
        <w:t>Any complete firewall architecture must address three distinct traffic flow classes, each with unique identity resolution, risk characteristics, and policy governance requirements:</w:t>
      </w:r>
    </w:p>
    <w:p w14:paraId="2EC97E28" w14:textId="77777777" w:rsidR="00FA4360" w:rsidRDefault="00000000">
      <w:pPr>
        <w:pStyle w:val="ListParagraph"/>
        <w:numPr>
          <w:ilvl w:val="0"/>
          <w:numId w:val="2"/>
        </w:numPr>
        <w:spacing w:after="60"/>
      </w:pPr>
      <w:r>
        <w:rPr>
          <w:b/>
          <w:bCs/>
        </w:rPr>
        <w:t>Consumer-to-Application (C2A):</w:t>
      </w:r>
      <w:r>
        <w:t xml:space="preserve"> End users, workstations, and endpoint devices accessing enterprise-hosted applications. This flow class is characterized by many-to-few source-to-destination ratios, user identity correlation, and access from both trusted and untrusted network locations. Consumer identity is often expressed as subnet ranges or NAC-assigned segments rather than individual host addresses.</w:t>
      </w:r>
    </w:p>
    <w:p w14:paraId="02F998FB" w14:textId="77777777" w:rsidR="00FA4360" w:rsidRDefault="00000000">
      <w:pPr>
        <w:pStyle w:val="ListParagraph"/>
        <w:numPr>
          <w:ilvl w:val="0"/>
          <w:numId w:val="2"/>
        </w:numPr>
        <w:spacing w:after="60"/>
      </w:pPr>
      <w:r>
        <w:rPr>
          <w:b/>
          <w:bCs/>
        </w:rPr>
        <w:t>Application-to-Application (A2A):</w:t>
      </w:r>
      <w:r>
        <w:t xml:space="preserve"> Internal east-west traffic between application tiers and services. This is typically the highest-volume flow class, characterized by machine-to-machine communication, well-defined service contracts, and deterministic source-destination relationships. Environment isolation (PROD must not communicate with DEV) and compliance segmentation (PCI-scoped applications) are most critical here.</w:t>
      </w:r>
    </w:p>
    <w:p w14:paraId="3C6E88FF" w14:textId="77777777" w:rsidR="00FA4360" w:rsidRDefault="00000000">
      <w:pPr>
        <w:pStyle w:val="ListParagraph"/>
        <w:numPr>
          <w:ilvl w:val="0"/>
          <w:numId w:val="2"/>
        </w:numPr>
        <w:spacing w:after="60"/>
      </w:pPr>
      <w:r>
        <w:rPr>
          <w:b/>
          <w:bCs/>
        </w:rPr>
        <w:t>Application-to-External-Service (A2X):</w:t>
      </w:r>
      <w:r>
        <w:t xml:space="preserve"> Enterprise applications consuming services outside the enterprise boundary — SaaS platforms, IaaS provider APIs, third-party settlement services, CDN endpoints. This flow class is characterized by egress-only directionality, FQDN-based destinations, variable trust levels, and regulatory boundary crossings (PCI, SOX, data residency). Destination identity is managed by the external provider, not the enterprise.</w:t>
      </w:r>
    </w:p>
    <w:p w14:paraId="778A7C7C" w14:textId="77777777" w:rsidR="00FA4360" w:rsidRDefault="00000000">
      <w:r>
        <w:t>Each class requires distinct treatment in the object model, policy model, and governance framework, but all three must be governed by a unified architectural approach. The architecture presented in this paper addresses all three flow classes through a single tiered object hierarchy and deterministic policy compilation pipeline.</w:t>
      </w:r>
    </w:p>
    <w:p w14:paraId="16D6920B" w14:textId="77777777" w:rsidR="00FA4360" w:rsidRDefault="00000000">
      <w:pPr>
        <w:pStyle w:val="Heading1"/>
        <w:pageBreakBefore/>
      </w:pPr>
      <w:r>
        <w:lastRenderedPageBreak/>
        <w:t>2. ARCHITECTURAL PRINCIPLES</w:t>
      </w:r>
    </w:p>
    <w:p w14:paraId="40AD602D" w14:textId="77777777" w:rsidR="00FA4360" w:rsidRDefault="00000000">
      <w:r>
        <w:t>The following principles govern the architecture. They are not aspirational guidelines — they are engineering constraints that the system enforces mechanically.</w:t>
      </w:r>
    </w:p>
    <w:p w14:paraId="564F7051" w14:textId="77777777" w:rsidR="00FA4360" w:rsidRDefault="00000000">
      <w:pPr>
        <w:pStyle w:val="Heading2"/>
      </w:pPr>
      <w:r>
        <w:t>Principle 1: Application Identity Precedes Network Identity</w:t>
      </w:r>
    </w:p>
    <w:p w14:paraId="4094C8B0" w14:textId="77777777" w:rsidR="00FA4360" w:rsidRDefault="00000000">
      <w:r>
        <w:t>Applications are defined independently of where they run. An application exists in the Application Definition Layer before any server is provisioned or any IP address is assigned. Network identities — FQDNs, IP addresses — are claimed by applications through binding; they do not define the application. This principle ensures that policy remains stable when infrastructure changes.</w:t>
      </w:r>
    </w:p>
    <w:p w14:paraId="26E3EC0B" w14:textId="77777777" w:rsidR="00FA4360" w:rsidRDefault="00000000">
      <w:pPr>
        <w:pStyle w:val="Heading2"/>
      </w:pPr>
      <w:r>
        <w:t>Principle 2: Separation of Control Plane and Enforcement Plane</w:t>
      </w:r>
    </w:p>
    <w:p w14:paraId="10E32F40" w14:textId="77777777" w:rsidR="00FA4360" w:rsidRDefault="00000000">
      <w:r>
        <w:t>The control plane defines intent, ownership, and policy context. The enforcement plane — firewalls — applies that intent to traffic. Firewalls are never treated as the source of truth for policy. They are enforcement targets that receive compiled policy from the control plane. This separation ensures that policy governance, audit, and lifecycle management operate independently of any specific enforcement vendor or platform.</w:t>
      </w:r>
    </w:p>
    <w:p w14:paraId="76986823" w14:textId="77777777" w:rsidR="00FA4360" w:rsidRDefault="00000000">
      <w:pPr>
        <w:pStyle w:val="Heading2"/>
      </w:pPr>
      <w:r>
        <w:t>Principle 3: Humans Define Intent; Systems Derive Packet Mechanics</w:t>
      </w:r>
    </w:p>
    <w:p w14:paraId="4FE00844" w14:textId="77777777" w:rsidR="00FA4360" w:rsidRDefault="00000000">
      <w:r>
        <w:t xml:space="preserve">Users express what should be allowed in application and service terms: "Payments Service in PROD may access </w:t>
      </w:r>
      <w:proofErr w:type="spellStart"/>
      <w:r>
        <w:t>RxClaim</w:t>
      </w:r>
      <w:proofErr w:type="spellEnd"/>
      <w:r>
        <w:t xml:space="preserve"> Core over HTTPS." The system deterministically derives the traditional enforcement constructs — SRC_IP, SRC_PORT 1024-65535, DST_IP, DST_PORT, PROTO, STATEFUL — that firewalls require. Humans never specify ephemeral port ranges, resolve IP addresses, or construct zone mappings. The compiler handles all derivation.</w:t>
      </w:r>
    </w:p>
    <w:p w14:paraId="60A9F4CA" w14:textId="77777777" w:rsidR="00FA4360" w:rsidRDefault="00000000">
      <w:pPr>
        <w:pStyle w:val="Heading2"/>
      </w:pPr>
      <w:r>
        <w:t>Principle 4: Determinism and Idempotency</w:t>
      </w:r>
    </w:p>
    <w:p w14:paraId="7320CC49" w14:textId="77777777" w:rsidR="00FA4360" w:rsidRDefault="00000000">
      <w:r>
        <w:t>Given identical inputs — the same CCD state and the same policy declarations — the system must always produce identical firewall state. There is no randomness, no ordering dependency, and no implicit state. If the system runs twice against unchanged inputs, the output is bit-for-bit identical. Drift between desired state and actual enforcement state is detected and corrected, never masked or tolerated.</w:t>
      </w:r>
    </w:p>
    <w:p w14:paraId="4C4A03BB" w14:textId="77777777" w:rsidR="00FA4360" w:rsidRDefault="00000000">
      <w:pPr>
        <w:pStyle w:val="Heading2"/>
      </w:pPr>
      <w:r>
        <w:t>Principle 5: Stability of Rules, Volatility of Membership</w:t>
      </w:r>
    </w:p>
    <w:p w14:paraId="4E7DF679" w14:textId="77777777" w:rsidR="00FA4360" w:rsidRDefault="00000000">
      <w:r>
        <w:t xml:space="preserve">Firewall rules are long-lived and structurally stable. A rule that says "Payments Service may access </w:t>
      </w:r>
      <w:proofErr w:type="spellStart"/>
      <w:r>
        <w:t>RxClaim</w:t>
      </w:r>
      <w:proofErr w:type="spellEnd"/>
      <w:r>
        <w:t xml:space="preserve"> Core over HTTPS" does not change when a server is added, removed, or re-</w:t>
      </w:r>
      <w:proofErr w:type="spellStart"/>
      <w:r>
        <w:t>IP'd</w:t>
      </w:r>
      <w:proofErr w:type="spellEnd"/>
      <w:r>
        <w:t>. What changes is the membership of the address groups that the rule references. This decoupling of rule lifecycle from infrastructure churn is the key mechanism that eliminates rule sprawl and enables sustainable policy management at enterprise scale.</w:t>
      </w:r>
    </w:p>
    <w:p w14:paraId="51655C1E" w14:textId="77777777" w:rsidR="00FA4360" w:rsidRDefault="00000000">
      <w:pPr>
        <w:pStyle w:val="Heading2"/>
      </w:pPr>
      <w:r>
        <w:t>Principle 6: Tiered Object Hierarchy Reflects Trust Architecture</w:t>
      </w:r>
    </w:p>
    <w:p w14:paraId="388BD4C6" w14:textId="77777777" w:rsidR="00FA4360" w:rsidRDefault="00000000">
      <w:r>
        <w:t>Network objects are organized into tiers that map to the three traffic flow classes. Each tier carries its own identity resolution mechanisms, risk assessment criteria, and lifecycle governance rules. This tiered structure prevents the ad hoc object proliferation that characterizes legacy firewall environments and ensures that every object has a defined purpose, owner, and lifecycle.</w:t>
      </w:r>
    </w:p>
    <w:p w14:paraId="676E7CA7" w14:textId="77777777" w:rsidR="00FA4360" w:rsidRDefault="00000000">
      <w:pPr>
        <w:pStyle w:val="Heading1"/>
        <w:pageBreakBefore/>
      </w:pPr>
      <w:r>
        <w:lastRenderedPageBreak/>
        <w:t>3. DATA SOURCES AND TRUST MODEL</w:t>
      </w:r>
    </w:p>
    <w:p w14:paraId="14B112E0" w14:textId="77777777" w:rsidR="00FA4360" w:rsidRDefault="00000000">
      <w:pPr>
        <w:pStyle w:val="Heading2"/>
      </w:pPr>
      <w:r>
        <w:t>3.1 Application Definition Layer (ADL)</w:t>
      </w:r>
    </w:p>
    <w:p w14:paraId="682DC6AE" w14:textId="77777777" w:rsidR="00FA4360" w:rsidRDefault="00000000">
      <w:r>
        <w:t>The Application Definition Layer is the authoritative dataset for application identity, environment classification, ownership, risk tier, regulatory scope (PCI, SOX, HIPAA), and business context. It answers the fundamental questions: What applications exist in the enterprise? In which environments do they operate? Who owns them? What compliance obligations apply?</w:t>
      </w:r>
    </w:p>
    <w:p w14:paraId="3F2C00F7" w14:textId="77777777" w:rsidR="00FA4360" w:rsidRDefault="00000000">
      <w:r>
        <w:t>Critically, the ADL is not authoritative for network reality. It does not know — and should not attempt to track — current IP addresses, FQDNs, or hosting locations at the network level. Its authority is application identity and business context. Attempting to make the ADL authoritative for network state creates a brittle coupling that the architecture explicitly avoids.</w:t>
      </w:r>
    </w:p>
    <w:p w14:paraId="162DD1F5" w14:textId="77777777" w:rsidR="00FA4360" w:rsidRDefault="00000000">
      <w:pPr>
        <w:pStyle w:val="Heading2"/>
      </w:pPr>
      <w:r>
        <w:t>3.2 Enterprise Network Asset Dataset</w:t>
      </w:r>
    </w:p>
    <w:p w14:paraId="76DC6FC1" w14:textId="77777777" w:rsidR="00FA4360" w:rsidRDefault="00000000">
      <w:r>
        <w:t xml:space="preserve">The Enterprise Network Asset Dataset reflects observed or inventoried network-connected assets: servers, FQDNs, IP addresses, hosting environments, and sites. It is authoritative for what </w:t>
      </w:r>
      <w:proofErr w:type="gramStart"/>
      <w:r>
        <w:t>actually exists</w:t>
      </w:r>
      <w:proofErr w:type="gramEnd"/>
      <w:r>
        <w:t xml:space="preserve"> on the network — what is deployed, where it is connected, and what network identity it holds.</w:t>
      </w:r>
    </w:p>
    <w:p w14:paraId="01B83175" w14:textId="77777777" w:rsidR="00FA4360" w:rsidRDefault="00000000">
      <w:r>
        <w:t>This dataset is not authoritative for ownership, intent, or application context. It cannot answer why a server exists, which application it supports, or what compliance obligations it carries. Its authority is limited to network reality.</w:t>
      </w:r>
    </w:p>
    <w:p w14:paraId="124E102D" w14:textId="77777777" w:rsidR="00FA4360" w:rsidRDefault="00000000">
      <w:pPr>
        <w:pStyle w:val="Heading2"/>
      </w:pPr>
      <w:r>
        <w:t>3.3 Why Neither Dataset Is Sufficient Alone</w:t>
      </w:r>
    </w:p>
    <w:p w14:paraId="57CF4A71" w14:textId="77777777" w:rsidR="00FA4360" w:rsidRDefault="00000000">
      <w:r>
        <w:t>ADL without enterprise network data cannot populate firewall objects. It knows that Application APM0011395 exists in PROD, but it cannot provide the IP addresses or FQDNs needed to populate the address group. Enterprise data without ADL cannot define stable, meaningful policy — it can enumerate servers, but it cannot group them by application, enforce environment isolation, or assign ownership.</w:t>
      </w:r>
    </w:p>
    <w:p w14:paraId="4667B574" w14:textId="77777777" w:rsidR="00FA4360" w:rsidRDefault="00000000">
      <w:r>
        <w:t>The architecture explicitly requires both datasets, joined through strict binding invariants defined in the Common Connectivity Dataset. This dual-authority model prevents either dataset from exceeding its scope while ensuring that the combined output is both meaningful and actionable.</w:t>
      </w:r>
    </w:p>
    <w:p w14:paraId="13A90C45" w14:textId="77777777" w:rsidR="00FA4360" w:rsidRDefault="00000000">
      <w:pPr>
        <w:pStyle w:val="Heading2"/>
      </w:pPr>
      <w:r>
        <w:t>3.4 External Service Registry</w:t>
      </w:r>
    </w:p>
    <w:p w14:paraId="57486079" w14:textId="77777777" w:rsidR="00FA4360" w:rsidRDefault="00000000">
      <w:r>
        <w:t>For Application-to-External-Service flows, a third data source is required: an External Service Registry that catalogs approved SaaS platforms, IaaS provider endpoints, third-party APIs, and their associated FQDNs, IP ranges, trust levels, and regulatory classifications. This registry is maintained by security and architecture teams and serves as the authoritative source for external destination identity.</w:t>
      </w:r>
    </w:p>
    <w:p w14:paraId="0EA9DEA6" w14:textId="77777777" w:rsidR="00FA4360" w:rsidRDefault="00000000">
      <w:r>
        <w:t>The External Service Registry provides trust classification for each external service — Approved, Conditional, or Restricted — which drives the approval workflow and security control requirements for A2X policy. Without this registry, the architecture cannot govern egress traffic to external services with the same rigor applied to internal flows.</w:t>
      </w:r>
    </w:p>
    <w:p w14:paraId="25CF2DDE" w14:textId="77777777" w:rsidR="00FA4360" w:rsidRDefault="00000000">
      <w:pPr>
        <w:pStyle w:val="Heading1"/>
        <w:pageBreakBefore/>
      </w:pPr>
      <w:r>
        <w:lastRenderedPageBreak/>
        <w:t>4. THE COMMON CONNECTIVITY DATASET (CCD)</w:t>
      </w:r>
    </w:p>
    <w:p w14:paraId="181F73E5" w14:textId="77777777" w:rsidR="00FA4360" w:rsidRDefault="00000000">
      <w:pPr>
        <w:pStyle w:val="Heading2"/>
      </w:pPr>
      <w:r>
        <w:t>4.1 Purpose and Role</w:t>
      </w:r>
    </w:p>
    <w:p w14:paraId="09ADCE4B" w14:textId="77777777" w:rsidR="00FA4360" w:rsidRDefault="00000000">
      <w:r>
        <w:t>The Common Connectivity Dataset is the central architectural artifact produced by the control plane and consumed by firewall automation. It normalizes application identity and network reality into a single, consistent dataset. It enforces all architectural invariants — environment matching, identity binding, ambiguity resolution. It is the sole input to firewall object and rule generation. Nothing enters the firewall automation pipeline except through the CCD.</w:t>
      </w:r>
    </w:p>
    <w:p w14:paraId="6BCFCC44" w14:textId="77777777" w:rsidR="00FA4360" w:rsidRDefault="00000000">
      <w:r>
        <w:t>The CCD is not a database — it is a contract. It defines the exact interface between the intent-driven control plane and the enforcement-oriented automation pipeline. Any system that produces a valid CCD can drive firewall automation; any automation system that consumes a valid CCD can generate correct enforcement artifacts.</w:t>
      </w:r>
    </w:p>
    <w:p w14:paraId="1DDC2F50" w14:textId="77777777" w:rsidR="00FA4360" w:rsidRDefault="00000000">
      <w:pPr>
        <w:pStyle w:val="Heading2"/>
      </w:pPr>
      <w:r>
        <w:t>4.2 Canonical Identity Model</w:t>
      </w:r>
    </w:p>
    <w:p w14:paraId="230FC50A" w14:textId="77777777" w:rsidR="00FA4360" w:rsidRDefault="00000000">
      <w:r>
        <w:t xml:space="preserve">The fundamental unit of policy in this architecture is the </w:t>
      </w:r>
      <w:proofErr w:type="spellStart"/>
      <w:r>
        <w:t>ApplicationInstance</w:t>
      </w:r>
      <w:proofErr w:type="spellEnd"/>
      <w:r>
        <w:t xml:space="preserve"> — a specific application running in a specific environment. The canonical identity model is:</w:t>
      </w:r>
    </w:p>
    <w:p w14:paraId="2F06D438" w14:textId="77777777" w:rsidR="00FA4360" w:rsidRDefault="00000000">
      <w:pPr>
        <w:shd w:val="clear" w:color="auto" w:fill="F5F5F5"/>
        <w:spacing w:after="0" w:line="200" w:lineRule="exact"/>
        <w:ind w:left="360"/>
      </w:pPr>
      <w:proofErr w:type="spellStart"/>
      <w:r>
        <w:rPr>
          <w:rFonts w:ascii="Consolas" w:eastAsia="Consolas" w:hAnsi="Consolas" w:cs="Consolas"/>
          <w:sz w:val="17"/>
          <w:szCs w:val="17"/>
        </w:rPr>
        <w:t>ApplicationInstance</w:t>
      </w:r>
      <w:proofErr w:type="spellEnd"/>
      <w:r>
        <w:rPr>
          <w:rFonts w:ascii="Consolas" w:eastAsia="Consolas" w:hAnsi="Consolas" w:cs="Consolas"/>
          <w:sz w:val="17"/>
          <w:szCs w:val="17"/>
        </w:rPr>
        <w:t>:</w:t>
      </w:r>
    </w:p>
    <w:p w14:paraId="34083C0A"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application_id</w:t>
      </w:r>
      <w:proofErr w:type="spellEnd"/>
      <w:r>
        <w:rPr>
          <w:rFonts w:ascii="Consolas" w:eastAsia="Consolas" w:hAnsi="Consolas" w:cs="Consolas"/>
          <w:sz w:val="17"/>
          <w:szCs w:val="17"/>
        </w:rPr>
        <w:t xml:space="preserve">        (APM ID)</w:t>
      </w:r>
    </w:p>
    <w:p w14:paraId="3AF4215A"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application_acronym</w:t>
      </w:r>
      <w:proofErr w:type="spellEnd"/>
    </w:p>
    <w:p w14:paraId="42B04BBE"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application_name</w:t>
      </w:r>
      <w:proofErr w:type="spellEnd"/>
    </w:p>
    <w:p w14:paraId="00568DE5"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environment            (DEV, TEST, QA, PROD, DR)</w:t>
      </w:r>
    </w:p>
    <w:p w14:paraId="138E43D0"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network_identities</w:t>
      </w:r>
      <w:proofErr w:type="spellEnd"/>
      <w:r>
        <w:rPr>
          <w:rFonts w:ascii="Consolas" w:eastAsia="Consolas" w:hAnsi="Consolas" w:cs="Consolas"/>
          <w:sz w:val="17"/>
          <w:szCs w:val="17"/>
        </w:rPr>
        <w:t>:</w:t>
      </w:r>
    </w:p>
    <w:p w14:paraId="53CC5030"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fqdn</w:t>
      </w:r>
      <w:proofErr w:type="spellEnd"/>
      <w:r>
        <w:rPr>
          <w:rFonts w:ascii="Consolas" w:eastAsia="Consolas" w:hAnsi="Consolas" w:cs="Consolas"/>
          <w:sz w:val="17"/>
          <w:szCs w:val="17"/>
        </w:rPr>
        <w:t xml:space="preserve">               (preferred)</w:t>
      </w:r>
    </w:p>
    <w:p w14:paraId="602D3089"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ip_address</w:t>
      </w:r>
      <w:proofErr w:type="spellEnd"/>
      <w:r>
        <w:rPr>
          <w:rFonts w:ascii="Consolas" w:eastAsia="Consolas" w:hAnsi="Consolas" w:cs="Consolas"/>
          <w:sz w:val="17"/>
          <w:szCs w:val="17"/>
        </w:rPr>
        <w:t xml:space="preserve">          (fallback)</w:t>
      </w:r>
    </w:p>
    <w:p w14:paraId="40ABE7CA"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metadata:</w:t>
      </w:r>
    </w:p>
    <w:p w14:paraId="1DE7F911"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risk_tier</w:t>
      </w:r>
      <w:proofErr w:type="spellEnd"/>
    </w:p>
    <w:p w14:paraId="674ABBFE"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server_designation</w:t>
      </w:r>
      <w:proofErr w:type="spellEnd"/>
      <w:r>
        <w:rPr>
          <w:rFonts w:ascii="Consolas" w:eastAsia="Consolas" w:hAnsi="Consolas" w:cs="Consolas"/>
          <w:sz w:val="17"/>
          <w:szCs w:val="17"/>
        </w:rPr>
        <w:t xml:space="preserve">  (PCI / non-PCI / security tool)</w:t>
      </w:r>
    </w:p>
    <w:p w14:paraId="391AEFAB"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business_unit</w:t>
      </w:r>
      <w:proofErr w:type="spellEnd"/>
    </w:p>
    <w:p w14:paraId="59693847"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site                (optional)</w:t>
      </w:r>
    </w:p>
    <w:p w14:paraId="34A0EEBC" w14:textId="77777777" w:rsidR="00FA4360" w:rsidRDefault="00FA4360">
      <w:pPr>
        <w:spacing w:after="0"/>
      </w:pPr>
    </w:p>
    <w:p w14:paraId="1CF36E34" w14:textId="77777777" w:rsidR="00FA4360" w:rsidRDefault="00000000">
      <w:r>
        <w:t xml:space="preserve">Only </w:t>
      </w:r>
      <w:proofErr w:type="spellStart"/>
      <w:r>
        <w:t>application_id</w:t>
      </w:r>
      <w:proofErr w:type="spellEnd"/>
      <w:r>
        <w:t xml:space="preserve">, environment, and </w:t>
      </w:r>
      <w:proofErr w:type="spellStart"/>
      <w:r>
        <w:t>network_identities</w:t>
      </w:r>
      <w:proofErr w:type="spellEnd"/>
      <w:r>
        <w:t xml:space="preserve"> are used for group derivation — these are the fields that determine firewall object structure. Metadata fields (</w:t>
      </w:r>
      <w:proofErr w:type="spellStart"/>
      <w:r>
        <w:t>risk_tier</w:t>
      </w:r>
      <w:proofErr w:type="spellEnd"/>
      <w:r>
        <w:t xml:space="preserve">, </w:t>
      </w:r>
      <w:proofErr w:type="spellStart"/>
      <w:r>
        <w:t>server_designation</w:t>
      </w:r>
      <w:proofErr w:type="spellEnd"/>
      <w:r>
        <w:t xml:space="preserve">, </w:t>
      </w:r>
      <w:proofErr w:type="spellStart"/>
      <w:r>
        <w:t>business_unit</w:t>
      </w:r>
      <w:proofErr w:type="spellEnd"/>
      <w:r>
        <w:t>, site) drive policy logic, approval routing, validation rules, and audit reporting but do not affect object generation.</w:t>
      </w:r>
    </w:p>
    <w:p w14:paraId="41D77471" w14:textId="77777777" w:rsidR="00FA4360" w:rsidRDefault="00000000">
      <w:pPr>
        <w:pStyle w:val="Heading2"/>
      </w:pPr>
      <w:r>
        <w:t>4.3 Binding Invariants</w:t>
      </w:r>
    </w:p>
    <w:p w14:paraId="019AEBB2" w14:textId="77777777" w:rsidR="00FA4360" w:rsidRDefault="00000000">
      <w:r>
        <w:t>For a network identity to be bound to an application instance within the CCD, three invariants must hold:</w:t>
      </w:r>
    </w:p>
    <w:p w14:paraId="2F50BA92" w14:textId="77777777" w:rsidR="00FA4360" w:rsidRDefault="00000000">
      <w:pPr>
        <w:pStyle w:val="ListParagraph"/>
        <w:numPr>
          <w:ilvl w:val="0"/>
          <w:numId w:val="2"/>
        </w:numPr>
        <w:spacing w:after="60"/>
      </w:pPr>
      <w:r>
        <w:rPr>
          <w:b/>
          <w:bCs/>
        </w:rPr>
        <w:t>Application ID must match:</w:t>
      </w:r>
      <w:r>
        <w:t xml:space="preserve"> The network asset must be associated with the same APM ID in both the ADL and the Enterprise Network Asset Dataset.</w:t>
      </w:r>
    </w:p>
    <w:p w14:paraId="471241A4" w14:textId="77777777" w:rsidR="00FA4360" w:rsidRDefault="00000000">
      <w:pPr>
        <w:pStyle w:val="ListParagraph"/>
        <w:numPr>
          <w:ilvl w:val="0"/>
          <w:numId w:val="2"/>
        </w:numPr>
        <w:spacing w:after="60"/>
      </w:pPr>
      <w:r>
        <w:rPr>
          <w:b/>
          <w:bCs/>
        </w:rPr>
        <w:t>Environment must match:</w:t>
      </w:r>
      <w:r>
        <w:t xml:space="preserve"> After normalization to the canonical set (DEV, TEST, QA, PROD, DR), the environment classification must agree across both sources.</w:t>
      </w:r>
    </w:p>
    <w:p w14:paraId="226D0450" w14:textId="77777777" w:rsidR="00FA4360" w:rsidRDefault="00000000">
      <w:pPr>
        <w:pStyle w:val="ListParagraph"/>
        <w:numPr>
          <w:ilvl w:val="0"/>
          <w:numId w:val="2"/>
        </w:numPr>
        <w:spacing w:after="60"/>
      </w:pPr>
      <w:r>
        <w:rPr>
          <w:b/>
          <w:bCs/>
        </w:rPr>
        <w:t>Ambiguity must be resolved or rejected:</w:t>
      </w:r>
      <w:r>
        <w:t xml:space="preserve"> If a network identity maps to multiple applications or environments, the binding is excluded from automation and quarantined for manual review.</w:t>
      </w:r>
    </w:p>
    <w:p w14:paraId="4B4B370C" w14:textId="77777777" w:rsidR="00FA4360" w:rsidRDefault="00000000">
      <w:r>
        <w:t>Bindings that violate these invariants are never silently included in the CCD. They are quarantined, flagged, and reported. This strict enforcement prevents bad data from propagating into firewall policy.</w:t>
      </w:r>
    </w:p>
    <w:p w14:paraId="1F8B93DD" w14:textId="77777777" w:rsidR="00FA4360" w:rsidRDefault="00000000">
      <w:pPr>
        <w:pStyle w:val="Heading2"/>
      </w:pPr>
      <w:r>
        <w:lastRenderedPageBreak/>
        <w:t>4.4 Normalization Pipeline</w:t>
      </w:r>
    </w:p>
    <w:p w14:paraId="48B44A38" w14:textId="77777777" w:rsidR="00FA4360" w:rsidRDefault="00000000">
      <w:r>
        <w:t>Before use, all source data passes through a normalization pipeline that performs the following transformations:</w:t>
      </w:r>
    </w:p>
    <w:p w14:paraId="47902461" w14:textId="77777777" w:rsidR="00FA4360" w:rsidRDefault="00000000">
      <w:pPr>
        <w:pStyle w:val="ListParagraph"/>
        <w:numPr>
          <w:ilvl w:val="0"/>
          <w:numId w:val="2"/>
        </w:numPr>
        <w:spacing w:after="60"/>
      </w:pPr>
      <w:r>
        <w:t>Collapse component-level rows into application instances, grouping by APM ID and environment.</w:t>
      </w:r>
    </w:p>
    <w:p w14:paraId="7FD07580" w14:textId="77777777" w:rsidR="00FA4360" w:rsidRDefault="00000000">
      <w:pPr>
        <w:pStyle w:val="ListParagraph"/>
        <w:numPr>
          <w:ilvl w:val="0"/>
          <w:numId w:val="2"/>
        </w:numPr>
        <w:spacing w:after="60"/>
      </w:pPr>
      <w:r>
        <w:t>Normalize environments into the canonical set (DEV, TEST, QA, PROD, DR), mapping vendor-specific and organization-specific labels to standard values.</w:t>
      </w:r>
    </w:p>
    <w:p w14:paraId="7B38AEA6" w14:textId="77777777" w:rsidR="00FA4360" w:rsidRDefault="00000000">
      <w:pPr>
        <w:pStyle w:val="ListParagraph"/>
        <w:numPr>
          <w:ilvl w:val="0"/>
          <w:numId w:val="2"/>
        </w:numPr>
        <w:spacing w:after="60"/>
      </w:pPr>
      <w:r>
        <w:t>Extract and deduplicate FQDN and IP identities per application-environment pair, preferring FQDNs where DNS resolution is reliable.</w:t>
      </w:r>
    </w:p>
    <w:p w14:paraId="48911FF3" w14:textId="77777777" w:rsidR="00FA4360" w:rsidRDefault="00000000">
      <w:pPr>
        <w:pStyle w:val="ListParagraph"/>
        <w:numPr>
          <w:ilvl w:val="0"/>
          <w:numId w:val="2"/>
        </w:numPr>
        <w:spacing w:after="60"/>
      </w:pPr>
      <w:r>
        <w:t>Separate identity attributes (used for group derivation) from metadata attributes (used for policy logic and governance).</w:t>
      </w:r>
    </w:p>
    <w:p w14:paraId="02837AAF" w14:textId="77777777" w:rsidR="00FA4360" w:rsidRDefault="00000000">
      <w:pPr>
        <w:pStyle w:val="ListParagraph"/>
        <w:numPr>
          <w:ilvl w:val="0"/>
          <w:numId w:val="2"/>
        </w:numPr>
        <w:spacing w:after="60"/>
      </w:pPr>
      <w:r>
        <w:t>Reject or quarantine incomplete or ambiguous records, logging the reason for exclusion.</w:t>
      </w:r>
    </w:p>
    <w:p w14:paraId="0906310B" w14:textId="77777777" w:rsidR="00FA4360" w:rsidRDefault="00000000">
      <w:pPr>
        <w:pStyle w:val="Heading2"/>
      </w:pPr>
      <w:r>
        <w:t>4.5 CCD Lifecycle</w:t>
      </w:r>
    </w:p>
    <w:p w14:paraId="4D941F95" w14:textId="77777777" w:rsidR="00FA4360" w:rsidRDefault="00000000">
      <w:r>
        <w:t>The CCD is a living dataset that reflects the current state of application identity, network reality, and external service approvals. Three types of changes trigger CCD updates:</w:t>
      </w:r>
    </w:p>
    <w:p w14:paraId="468C6485" w14:textId="77777777" w:rsidR="00FA4360" w:rsidRDefault="00000000">
      <w:pPr>
        <w:pStyle w:val="ListParagraph"/>
        <w:numPr>
          <w:ilvl w:val="0"/>
          <w:numId w:val="2"/>
        </w:numPr>
        <w:spacing w:after="60"/>
      </w:pPr>
      <w:r>
        <w:rPr>
          <w:b/>
          <w:bCs/>
        </w:rPr>
        <w:t>ADL changes</w:t>
      </w:r>
      <w:r>
        <w:t xml:space="preserve"> redefine application intent — new applications, decommissioned applications, environment changes, ownership transfers, compliance reclassifications.</w:t>
      </w:r>
    </w:p>
    <w:p w14:paraId="12F9253A" w14:textId="77777777" w:rsidR="00FA4360" w:rsidRDefault="00000000">
      <w:pPr>
        <w:pStyle w:val="ListParagraph"/>
        <w:numPr>
          <w:ilvl w:val="0"/>
          <w:numId w:val="2"/>
        </w:numPr>
        <w:spacing w:after="60"/>
      </w:pPr>
      <w:r>
        <w:rPr>
          <w:b/>
          <w:bCs/>
        </w:rPr>
        <w:t>Enterprise network data changes</w:t>
      </w:r>
      <w:r>
        <w:t xml:space="preserve"> update network identities — new servers, decommissioned servers, re-IP events, FQDN changes, site migrations.</w:t>
      </w:r>
    </w:p>
    <w:p w14:paraId="7B15CC8D" w14:textId="77777777" w:rsidR="00FA4360" w:rsidRDefault="00000000">
      <w:pPr>
        <w:pStyle w:val="ListParagraph"/>
        <w:numPr>
          <w:ilvl w:val="0"/>
          <w:numId w:val="2"/>
        </w:numPr>
        <w:spacing w:after="60"/>
      </w:pPr>
      <w:r>
        <w:rPr>
          <w:b/>
          <w:bCs/>
        </w:rPr>
        <w:t>External Service Registry changes</w:t>
      </w:r>
      <w:r>
        <w:t xml:space="preserve"> update approved external destinations — new SaaS onboarding, provider IP range updates, trust reclassifications, contract terminations.</w:t>
      </w:r>
    </w:p>
    <w:p w14:paraId="0E553D0E" w14:textId="77777777" w:rsidR="00FA4360" w:rsidRDefault="00000000">
      <w:r>
        <w:t>On each refresh cycle, the CCD reconciles all three sources into a consistent view, applying binding invariants, normalization rules, and ambiguity resolution. The resulting dataset is the single source of truth for all downstream firewall automation.</w:t>
      </w:r>
    </w:p>
    <w:p w14:paraId="7713F110" w14:textId="77777777" w:rsidR="00FA4360" w:rsidRDefault="00000000">
      <w:pPr>
        <w:pStyle w:val="Heading1"/>
        <w:pageBreakBefore/>
      </w:pPr>
      <w:r>
        <w:lastRenderedPageBreak/>
        <w:t>5. TIERED NETWORK OBJECT HIERARCHY</w:t>
      </w:r>
    </w:p>
    <w:p w14:paraId="5313EEBE" w14:textId="77777777" w:rsidR="00FA4360" w:rsidRDefault="00000000">
      <w:pPr>
        <w:pStyle w:val="Heading2"/>
      </w:pPr>
      <w:r>
        <w:t>5.1 Design Rationale</w:t>
      </w:r>
    </w:p>
    <w:p w14:paraId="3EBAD9A6" w14:textId="77777777" w:rsidR="00FA4360" w:rsidRDefault="00000000">
      <w:r>
        <w:t>Traditional firewall environments create address objects and groups ad hoc, resulting in thousands of unstructured objects with no consistent naming, no ownership, and no lifecycle. A typical enterprise firewall may contain address objects named by the requesting engineer, by ticket number, by server hostname, or by arbitrary convention — often all within the same device group.</w:t>
      </w:r>
    </w:p>
    <w:p w14:paraId="213C7AFD" w14:textId="77777777" w:rsidR="00FA4360" w:rsidRDefault="00000000">
      <w:r>
        <w:t>The tiered model imposes architectural discipline by organizing objects into tiers aligned with the traffic flow classes. Each tier has its own naming convention, identity resolution source, lifecycle rules, and risk profile. This structure ensures that every object has a defined purpose, a traceable origin, and a governed lifecycle.</w:t>
      </w:r>
    </w:p>
    <w:p w14:paraId="284712E7" w14:textId="77777777" w:rsidR="00FA4360" w:rsidRDefault="00000000">
      <w:pPr>
        <w:pStyle w:val="Heading2"/>
      </w:pPr>
      <w:r>
        <w:t>5.2 Tier 1: Consumer Identity Objects (C2A)</w:t>
      </w:r>
    </w:p>
    <w:p w14:paraId="49ACFD56" w14:textId="77777777" w:rsidR="00FA4360" w:rsidRDefault="00000000">
      <w:r>
        <w:t>Tier 1 objects represent consumer endpoints — workstations, mobile devices, VPN concentrators, user subnets, and remote access gateways. These objects serve as sources in Consumer-to-Application policy rules.</w:t>
      </w:r>
    </w:p>
    <w:p w14:paraId="0C7FA8C8" w14:textId="77777777" w:rsidR="00FA4360" w:rsidRDefault="00000000">
      <w:pPr>
        <w:spacing w:after="60"/>
      </w:pPr>
      <w:r>
        <w:rPr>
          <w:b/>
          <w:bCs/>
        </w:rPr>
        <w:t>Characteristics:</w:t>
      </w:r>
    </w:p>
    <w:p w14:paraId="187AC0A6" w14:textId="77777777" w:rsidR="00FA4360" w:rsidRDefault="00000000">
      <w:pPr>
        <w:pStyle w:val="ListParagraph"/>
        <w:numPr>
          <w:ilvl w:val="0"/>
          <w:numId w:val="2"/>
        </w:numPr>
        <w:spacing w:after="60"/>
      </w:pPr>
      <w:r>
        <w:t>Identity is often expressed as subnet ranges, DHCP scopes, or NAC-assigned segments rather than individual hosts.</w:t>
      </w:r>
    </w:p>
    <w:p w14:paraId="383D586D" w14:textId="77777777" w:rsidR="00FA4360" w:rsidRDefault="00000000">
      <w:pPr>
        <w:pStyle w:val="ListParagraph"/>
        <w:numPr>
          <w:ilvl w:val="0"/>
          <w:numId w:val="2"/>
        </w:numPr>
        <w:spacing w:after="60"/>
      </w:pPr>
      <w:r>
        <w:t>Correlation to user identity occurs through NAC, 802.1X, or VPN authentication — not through the firewall object itself.</w:t>
      </w:r>
    </w:p>
    <w:p w14:paraId="24762950" w14:textId="77777777" w:rsidR="00FA4360" w:rsidRDefault="00000000">
      <w:pPr>
        <w:pStyle w:val="ListParagraph"/>
        <w:numPr>
          <w:ilvl w:val="0"/>
          <w:numId w:val="2"/>
        </w:numPr>
        <w:spacing w:after="60"/>
      </w:pPr>
      <w:r>
        <w:t>Membership volatility is high, tied to DHCP lease cycles, device roaming, and remote access patterns.</w:t>
      </w:r>
    </w:p>
    <w:p w14:paraId="641BA220" w14:textId="77777777" w:rsidR="00FA4360" w:rsidRDefault="00000000">
      <w:pPr>
        <w:pStyle w:val="ListParagraph"/>
        <w:numPr>
          <w:ilvl w:val="0"/>
          <w:numId w:val="2"/>
        </w:numPr>
        <w:spacing w:after="60"/>
      </w:pPr>
      <w:r>
        <w:t>Per-object specificity is lower (subnets rather than hosts), but aggregate volume can be significant across sites.</w:t>
      </w:r>
    </w:p>
    <w:p w14:paraId="13278B15" w14:textId="77777777" w:rsidR="00FA4360" w:rsidRDefault="00000000">
      <w:pPr>
        <w:spacing w:after="60"/>
      </w:pPr>
      <w:r>
        <w:rPr>
          <w:b/>
          <w:bCs/>
        </w:rPr>
        <w:t>Naming convention:</w:t>
      </w:r>
    </w:p>
    <w:p w14:paraId="6F0F55DB" w14:textId="77777777" w:rsidR="00FA4360" w:rsidRDefault="00000000">
      <w:pPr>
        <w:shd w:val="clear" w:color="auto" w:fill="F5F5F5"/>
        <w:spacing w:after="0" w:line="200" w:lineRule="exact"/>
        <w:ind w:left="360"/>
      </w:pPr>
      <w:proofErr w:type="spellStart"/>
      <w:r>
        <w:rPr>
          <w:rFonts w:ascii="Consolas" w:eastAsia="Consolas" w:hAnsi="Consolas" w:cs="Consolas"/>
          <w:sz w:val="17"/>
          <w:szCs w:val="17"/>
        </w:rPr>
        <w:t>grp_consumer</w:t>
      </w:r>
      <w:proofErr w:type="spellEnd"/>
      <w:r>
        <w:rPr>
          <w:rFonts w:ascii="Consolas" w:eastAsia="Consolas" w:hAnsi="Consolas" w:cs="Consolas"/>
          <w:sz w:val="17"/>
          <w:szCs w:val="17"/>
        </w:rPr>
        <w:t>_&lt;SEGMENT_TYPE&gt;_&lt;LOCATION&gt;</w:t>
      </w:r>
    </w:p>
    <w:p w14:paraId="3A5D995C" w14:textId="77777777" w:rsidR="00FA4360" w:rsidRDefault="00FA4360">
      <w:pPr>
        <w:shd w:val="clear" w:color="auto" w:fill="F5F5F5"/>
        <w:spacing w:after="0" w:line="200" w:lineRule="exact"/>
        <w:ind w:left="360"/>
      </w:pPr>
    </w:p>
    <w:p w14:paraId="33D1405B" w14:textId="77777777" w:rsidR="00FA4360" w:rsidRDefault="00000000">
      <w:pPr>
        <w:shd w:val="clear" w:color="auto" w:fill="F5F5F5"/>
        <w:spacing w:after="0" w:line="200" w:lineRule="exact"/>
        <w:ind w:left="360"/>
      </w:pPr>
      <w:r>
        <w:rPr>
          <w:rFonts w:ascii="Consolas" w:eastAsia="Consolas" w:hAnsi="Consolas" w:cs="Consolas"/>
          <w:sz w:val="17"/>
          <w:szCs w:val="17"/>
        </w:rPr>
        <w:t>Examples:</w:t>
      </w:r>
    </w:p>
    <w:p w14:paraId="7D9EA60B"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grp_consumer_corporate_wired_dc1</w:t>
      </w:r>
    </w:p>
    <w:p w14:paraId="4A54DCAC"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grp_consumer_vpn_remote</w:t>
      </w:r>
      <w:proofErr w:type="spellEnd"/>
    </w:p>
    <w:p w14:paraId="34A282E2"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grp_consumer_guest_wifi_hq</w:t>
      </w:r>
      <w:proofErr w:type="spellEnd"/>
    </w:p>
    <w:p w14:paraId="5983EE1E" w14:textId="77777777" w:rsidR="00FA4360" w:rsidRDefault="00FA4360">
      <w:pPr>
        <w:spacing w:after="0"/>
      </w:pPr>
    </w:p>
    <w:p w14:paraId="3552E2D2" w14:textId="77777777" w:rsidR="00FA4360" w:rsidRDefault="00000000">
      <w:pPr>
        <w:pStyle w:val="Heading2"/>
      </w:pPr>
      <w:r>
        <w:t>5.3 Tier 2: Application Instance Objects (A2A)</w:t>
      </w:r>
    </w:p>
    <w:p w14:paraId="47D457AC" w14:textId="77777777" w:rsidR="00FA4360" w:rsidRDefault="00000000">
      <w:r>
        <w:t>Tier 2 objects represent application instances — the core of the architecture. Each application instance maps to exactly one static address group, derived deterministically from the CCD:</w:t>
      </w:r>
    </w:p>
    <w:p w14:paraId="383442F8" w14:textId="77777777" w:rsidR="00FA4360" w:rsidRDefault="00000000">
      <w:pPr>
        <w:shd w:val="clear" w:color="auto" w:fill="F5F5F5"/>
        <w:spacing w:after="0" w:line="200" w:lineRule="exact"/>
        <w:ind w:left="360"/>
      </w:pPr>
      <w:proofErr w:type="spellStart"/>
      <w:r>
        <w:rPr>
          <w:rFonts w:ascii="Consolas" w:eastAsia="Consolas" w:hAnsi="Consolas" w:cs="Consolas"/>
          <w:sz w:val="17"/>
          <w:szCs w:val="17"/>
        </w:rPr>
        <w:t>grp_app</w:t>
      </w:r>
      <w:proofErr w:type="spellEnd"/>
      <w:r>
        <w:rPr>
          <w:rFonts w:ascii="Consolas" w:eastAsia="Consolas" w:hAnsi="Consolas" w:cs="Consolas"/>
          <w:sz w:val="17"/>
          <w:szCs w:val="17"/>
        </w:rPr>
        <w:t>_&lt;APM_ID&gt;_&lt;ENV&gt;</w:t>
      </w:r>
    </w:p>
    <w:p w14:paraId="47F9E3A2" w14:textId="77777777" w:rsidR="00FA4360" w:rsidRDefault="00FA4360">
      <w:pPr>
        <w:shd w:val="clear" w:color="auto" w:fill="F5F5F5"/>
        <w:spacing w:after="0" w:line="200" w:lineRule="exact"/>
        <w:ind w:left="360"/>
      </w:pPr>
    </w:p>
    <w:p w14:paraId="589E98E3" w14:textId="77777777" w:rsidR="00FA4360" w:rsidRDefault="00000000">
      <w:pPr>
        <w:shd w:val="clear" w:color="auto" w:fill="F5F5F5"/>
        <w:spacing w:after="0" w:line="200" w:lineRule="exact"/>
        <w:ind w:left="360"/>
      </w:pPr>
      <w:r>
        <w:rPr>
          <w:rFonts w:ascii="Consolas" w:eastAsia="Consolas" w:hAnsi="Consolas" w:cs="Consolas"/>
          <w:sz w:val="17"/>
          <w:szCs w:val="17"/>
        </w:rPr>
        <w:t>Example: grp_app_APM0011395_PROD</w:t>
      </w:r>
    </w:p>
    <w:p w14:paraId="575C30E7" w14:textId="77777777" w:rsidR="00FA4360" w:rsidRDefault="00FA4360">
      <w:pPr>
        <w:spacing w:after="0"/>
      </w:pPr>
    </w:p>
    <w:p w14:paraId="06CCF21A" w14:textId="77777777" w:rsidR="00FA4360" w:rsidRDefault="00000000">
      <w:r>
        <w:t>Membership is populated from the CCD. Address objects within these groups are FQDN-preferred, IP-fallback. Groups are created once and reused across all policies referencing that application instance. When infrastructure changes — servers added, removed, or re-</w:t>
      </w:r>
      <w:proofErr w:type="spellStart"/>
      <w:r>
        <w:t>IP'd</w:t>
      </w:r>
      <w:proofErr w:type="spellEnd"/>
      <w:r>
        <w:t xml:space="preserve"> — the group membership is updated, but the rules referencing the group remain unchanged.</w:t>
      </w:r>
    </w:p>
    <w:p w14:paraId="7F707D4C" w14:textId="77777777" w:rsidR="00FA4360" w:rsidRDefault="00000000">
      <w:r>
        <w:lastRenderedPageBreak/>
        <w:t>Shared Service Groups handle cases where multiple applications resolve to the same backend infrastructure — Active Directory, DNS, NTP, core processing engines. These are modeled as curated groups with stable membership:</w:t>
      </w:r>
    </w:p>
    <w:p w14:paraId="1983D31C" w14:textId="77777777" w:rsidR="00FA4360" w:rsidRDefault="00000000">
      <w:pPr>
        <w:shd w:val="clear" w:color="auto" w:fill="F5F5F5"/>
        <w:spacing w:after="0" w:line="200" w:lineRule="exact"/>
        <w:ind w:left="360"/>
      </w:pPr>
      <w:proofErr w:type="spellStart"/>
      <w:r>
        <w:rPr>
          <w:rFonts w:ascii="Consolas" w:eastAsia="Consolas" w:hAnsi="Consolas" w:cs="Consolas"/>
          <w:sz w:val="17"/>
          <w:szCs w:val="17"/>
        </w:rPr>
        <w:t>grp_shared</w:t>
      </w:r>
      <w:proofErr w:type="spellEnd"/>
      <w:r>
        <w:rPr>
          <w:rFonts w:ascii="Consolas" w:eastAsia="Consolas" w:hAnsi="Consolas" w:cs="Consolas"/>
          <w:sz w:val="17"/>
          <w:szCs w:val="17"/>
        </w:rPr>
        <w:t>_&lt;SERVICE_NAME&gt;</w:t>
      </w:r>
    </w:p>
    <w:p w14:paraId="71468E71" w14:textId="77777777" w:rsidR="00FA4360" w:rsidRDefault="00FA4360">
      <w:pPr>
        <w:shd w:val="clear" w:color="auto" w:fill="F5F5F5"/>
        <w:spacing w:after="0" w:line="200" w:lineRule="exact"/>
        <w:ind w:left="360"/>
      </w:pPr>
    </w:p>
    <w:p w14:paraId="3AD38AE0" w14:textId="77777777" w:rsidR="00FA4360" w:rsidRDefault="00000000">
      <w:pPr>
        <w:shd w:val="clear" w:color="auto" w:fill="F5F5F5"/>
        <w:spacing w:after="0" w:line="200" w:lineRule="exact"/>
        <w:ind w:left="360"/>
      </w:pPr>
      <w:r>
        <w:rPr>
          <w:rFonts w:ascii="Consolas" w:eastAsia="Consolas" w:hAnsi="Consolas" w:cs="Consolas"/>
          <w:sz w:val="17"/>
          <w:szCs w:val="17"/>
        </w:rPr>
        <w:t>Examples:</w:t>
      </w:r>
    </w:p>
    <w:p w14:paraId="608376BC"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grp_shared_activedirectory</w:t>
      </w:r>
      <w:proofErr w:type="spellEnd"/>
    </w:p>
    <w:p w14:paraId="2E6EEF74"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grp_shared_dns</w:t>
      </w:r>
      <w:proofErr w:type="spellEnd"/>
    </w:p>
    <w:p w14:paraId="70E4F0DB"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grp_shared_rxclaim_core</w:t>
      </w:r>
      <w:proofErr w:type="spellEnd"/>
    </w:p>
    <w:p w14:paraId="19F8F8D9" w14:textId="77777777" w:rsidR="00FA4360" w:rsidRDefault="00FA4360">
      <w:pPr>
        <w:spacing w:after="0"/>
      </w:pPr>
    </w:p>
    <w:p w14:paraId="7F6F56E6" w14:textId="77777777" w:rsidR="00FA4360" w:rsidRDefault="00000000">
      <w:pPr>
        <w:pStyle w:val="Heading2"/>
      </w:pPr>
      <w:r>
        <w:t>5.4 Tier 3: External Service Objects (A2X)</w:t>
      </w:r>
    </w:p>
    <w:p w14:paraId="6D65ACFD" w14:textId="77777777" w:rsidR="00FA4360" w:rsidRDefault="00000000">
      <w:r>
        <w:t>Tier 3 objects represent services outside the enterprise boundary. These are categorized by service type and populated from the External Service Registry:</w:t>
      </w:r>
    </w:p>
    <w:p w14:paraId="70AA546D" w14:textId="77777777" w:rsidR="00FA4360" w:rsidRDefault="00000000">
      <w:pPr>
        <w:spacing w:after="60"/>
      </w:pPr>
      <w:r>
        <w:rPr>
          <w:b/>
          <w:bCs/>
        </w:rPr>
        <w:t>SaaS Platform Groups:</w:t>
      </w:r>
    </w:p>
    <w:p w14:paraId="5175D6CD" w14:textId="77777777" w:rsidR="00FA4360" w:rsidRDefault="00000000">
      <w:pPr>
        <w:shd w:val="clear" w:color="auto" w:fill="F5F5F5"/>
        <w:spacing w:after="0" w:line="200" w:lineRule="exact"/>
        <w:ind w:left="360"/>
      </w:pPr>
      <w:proofErr w:type="spellStart"/>
      <w:r>
        <w:rPr>
          <w:rFonts w:ascii="Consolas" w:eastAsia="Consolas" w:hAnsi="Consolas" w:cs="Consolas"/>
          <w:sz w:val="17"/>
          <w:szCs w:val="17"/>
        </w:rPr>
        <w:t>grp_ext_saas</w:t>
      </w:r>
      <w:proofErr w:type="spellEnd"/>
      <w:r>
        <w:rPr>
          <w:rFonts w:ascii="Consolas" w:eastAsia="Consolas" w:hAnsi="Consolas" w:cs="Consolas"/>
          <w:sz w:val="17"/>
          <w:szCs w:val="17"/>
        </w:rPr>
        <w:t>_&lt;PROVIDER&gt;</w:t>
      </w:r>
    </w:p>
    <w:p w14:paraId="30BE6465"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Examples: </w:t>
      </w:r>
      <w:proofErr w:type="spellStart"/>
      <w:r>
        <w:rPr>
          <w:rFonts w:ascii="Consolas" w:eastAsia="Consolas" w:hAnsi="Consolas" w:cs="Consolas"/>
          <w:sz w:val="17"/>
          <w:szCs w:val="17"/>
        </w:rPr>
        <w:t>grp_ext_saas_salesforce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grp_ext_saas_servicenow</w:t>
      </w:r>
      <w:proofErr w:type="spellEnd"/>
    </w:p>
    <w:p w14:paraId="131E3C14" w14:textId="77777777" w:rsidR="00FA4360" w:rsidRDefault="00FA4360">
      <w:pPr>
        <w:spacing w:after="0"/>
      </w:pPr>
    </w:p>
    <w:p w14:paraId="09F38663" w14:textId="77777777" w:rsidR="00FA4360" w:rsidRDefault="00000000">
      <w:pPr>
        <w:spacing w:after="60"/>
      </w:pPr>
      <w:r>
        <w:rPr>
          <w:b/>
          <w:bCs/>
        </w:rPr>
        <w:t>IaaS/Cloud Provider Groups:</w:t>
      </w:r>
    </w:p>
    <w:p w14:paraId="5E774381" w14:textId="77777777" w:rsidR="00FA4360" w:rsidRDefault="00000000">
      <w:pPr>
        <w:shd w:val="clear" w:color="auto" w:fill="F5F5F5"/>
        <w:spacing w:after="0" w:line="200" w:lineRule="exact"/>
        <w:ind w:left="360"/>
      </w:pPr>
      <w:proofErr w:type="spellStart"/>
      <w:r>
        <w:rPr>
          <w:rFonts w:ascii="Consolas" w:eastAsia="Consolas" w:hAnsi="Consolas" w:cs="Consolas"/>
          <w:sz w:val="17"/>
          <w:szCs w:val="17"/>
        </w:rPr>
        <w:t>grp_ext_iaas</w:t>
      </w:r>
      <w:proofErr w:type="spellEnd"/>
      <w:r>
        <w:rPr>
          <w:rFonts w:ascii="Consolas" w:eastAsia="Consolas" w:hAnsi="Consolas" w:cs="Consolas"/>
          <w:sz w:val="17"/>
          <w:szCs w:val="17"/>
        </w:rPr>
        <w:t>_&lt;PROVIDER&gt;_&lt;SERVICE&gt;</w:t>
      </w:r>
    </w:p>
    <w:p w14:paraId="206586E7"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Examples: grp_ext_iaas_aws_s3, </w:t>
      </w:r>
      <w:proofErr w:type="spellStart"/>
      <w:r>
        <w:rPr>
          <w:rFonts w:ascii="Consolas" w:eastAsia="Consolas" w:hAnsi="Consolas" w:cs="Consolas"/>
          <w:sz w:val="17"/>
          <w:szCs w:val="17"/>
        </w:rPr>
        <w:t>grp_ext_iaas_azure_sql</w:t>
      </w:r>
      <w:proofErr w:type="spellEnd"/>
    </w:p>
    <w:p w14:paraId="71F519FE" w14:textId="77777777" w:rsidR="00FA4360" w:rsidRDefault="00FA4360">
      <w:pPr>
        <w:spacing w:after="0"/>
      </w:pPr>
    </w:p>
    <w:p w14:paraId="62F30973" w14:textId="77777777" w:rsidR="00FA4360" w:rsidRDefault="00000000">
      <w:pPr>
        <w:spacing w:after="60"/>
      </w:pPr>
      <w:r>
        <w:rPr>
          <w:b/>
          <w:bCs/>
        </w:rPr>
        <w:t>Third-Party API/Service Groups:</w:t>
      </w:r>
    </w:p>
    <w:p w14:paraId="20BE7B70" w14:textId="77777777" w:rsidR="00FA4360" w:rsidRDefault="00000000">
      <w:pPr>
        <w:shd w:val="clear" w:color="auto" w:fill="F5F5F5"/>
        <w:spacing w:after="0" w:line="200" w:lineRule="exact"/>
        <w:ind w:left="360"/>
      </w:pPr>
      <w:proofErr w:type="spellStart"/>
      <w:r>
        <w:rPr>
          <w:rFonts w:ascii="Consolas" w:eastAsia="Consolas" w:hAnsi="Consolas" w:cs="Consolas"/>
          <w:sz w:val="17"/>
          <w:szCs w:val="17"/>
        </w:rPr>
        <w:t>grp_ext_vendor</w:t>
      </w:r>
      <w:proofErr w:type="spellEnd"/>
      <w:r>
        <w:rPr>
          <w:rFonts w:ascii="Consolas" w:eastAsia="Consolas" w:hAnsi="Consolas" w:cs="Consolas"/>
          <w:sz w:val="17"/>
          <w:szCs w:val="17"/>
        </w:rPr>
        <w:t>_&lt;VENDOR&gt;_&lt;SERVICE&gt;</w:t>
      </w:r>
    </w:p>
    <w:p w14:paraId="4692386D"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Examples: </w:t>
      </w:r>
      <w:proofErr w:type="spellStart"/>
      <w:r>
        <w:rPr>
          <w:rFonts w:ascii="Consolas" w:eastAsia="Consolas" w:hAnsi="Consolas" w:cs="Consolas"/>
          <w:sz w:val="17"/>
          <w:szCs w:val="17"/>
        </w:rPr>
        <w:t>grp_ext_vendor_visa_settlement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grp_ext_vendor_experian_credit</w:t>
      </w:r>
      <w:proofErr w:type="spellEnd"/>
    </w:p>
    <w:p w14:paraId="728B8509" w14:textId="77777777" w:rsidR="00FA4360" w:rsidRDefault="00FA4360">
      <w:pPr>
        <w:spacing w:after="0"/>
      </w:pPr>
    </w:p>
    <w:p w14:paraId="6D7BA97F" w14:textId="77777777" w:rsidR="00FA4360" w:rsidRDefault="00000000">
      <w:r>
        <w:t>External objects are primarily FQDN-based. Where cloud providers publish IP ranges (AWS, Azure, GCP), those are maintained as External Dynamic Lists (EDLs) that update automatically. Dynamic Address Groups (DAGs) with tag-based membership can complement static groups for environments with high infrastructure volatility. Trust classification — Approved, Conditional, or Restricted — is inherited from the External Service Registry and governs the approval workflow.</w:t>
      </w:r>
    </w:p>
    <w:p w14:paraId="3C225776" w14:textId="77777777" w:rsidR="00FA4360" w:rsidRDefault="00000000">
      <w:pPr>
        <w:pStyle w:val="Heading2"/>
      </w:pPr>
      <w:r>
        <w:t>5.5 Object Hierarchy Summary</w:t>
      </w:r>
    </w:p>
    <w:p w14:paraId="0C821A1E" w14:textId="77777777" w:rsidR="00FA4360" w:rsidRDefault="00000000">
      <w:pPr>
        <w:spacing w:before="120" w:after="80"/>
        <w:jc w:val="center"/>
      </w:pPr>
      <w:r>
        <w:rPr>
          <w:i/>
          <w:iCs/>
          <w:sz w:val="20"/>
          <w:szCs w:val="20"/>
        </w:rPr>
        <w:t>Table 1. Tiered Network Object Hierarchy</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611"/>
        <w:gridCol w:w="2650"/>
        <w:gridCol w:w="962"/>
        <w:gridCol w:w="881"/>
        <w:gridCol w:w="2813"/>
      </w:tblGrid>
      <w:tr w:rsidR="00FA4360" w14:paraId="5FEC579D" w14:textId="77777777">
        <w:tblPrEx>
          <w:tblCellMar>
            <w:top w:w="0" w:type="dxa"/>
            <w:bottom w:w="0" w:type="dxa"/>
          </w:tblCellMar>
        </w:tblPrEx>
        <w:tc>
          <w:tcPr>
            <w:tcW w:w="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7630B8FA" w14:textId="77777777" w:rsidR="00FA4360" w:rsidRDefault="00000000">
            <w:pPr>
              <w:spacing w:after="0"/>
            </w:pPr>
            <w:r>
              <w:rPr>
                <w:b/>
                <w:bCs/>
                <w:sz w:val="19"/>
                <w:szCs w:val="19"/>
              </w:rPr>
              <w:t>Tier</w:t>
            </w:r>
          </w:p>
        </w:tc>
        <w:tc>
          <w:tcPr>
            <w:tcW w:w="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63544FB" w14:textId="77777777" w:rsidR="00FA4360" w:rsidRDefault="00000000">
            <w:pPr>
              <w:spacing w:after="0"/>
            </w:pPr>
            <w:r>
              <w:rPr>
                <w:b/>
                <w:bCs/>
                <w:sz w:val="19"/>
                <w:szCs w:val="19"/>
              </w:rPr>
              <w:t>Scope</w:t>
            </w:r>
          </w:p>
        </w:tc>
        <w:tc>
          <w:tcPr>
            <w:tcW w:w="19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4A43C43" w14:textId="77777777" w:rsidR="00FA4360" w:rsidRDefault="00000000">
            <w:pPr>
              <w:spacing w:after="0"/>
            </w:pPr>
            <w:r>
              <w:rPr>
                <w:b/>
                <w:bCs/>
                <w:sz w:val="19"/>
                <w:szCs w:val="19"/>
              </w:rPr>
              <w:t>Naming Convention</w:t>
            </w:r>
          </w:p>
        </w:tc>
        <w:tc>
          <w:tcPr>
            <w:tcW w:w="15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2BA8791C" w14:textId="77777777" w:rsidR="00FA4360" w:rsidRDefault="00000000">
            <w:pPr>
              <w:spacing w:after="0"/>
            </w:pPr>
            <w:r>
              <w:rPr>
                <w:b/>
                <w:bCs/>
                <w:sz w:val="19"/>
                <w:szCs w:val="19"/>
              </w:rPr>
              <w:t>Identity Source</w:t>
            </w:r>
          </w:p>
        </w:tc>
        <w:tc>
          <w:tcPr>
            <w:tcW w:w="1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793AE56F" w14:textId="77777777" w:rsidR="00FA4360" w:rsidRDefault="00000000">
            <w:pPr>
              <w:spacing w:after="0"/>
            </w:pPr>
            <w:r>
              <w:rPr>
                <w:b/>
                <w:bCs/>
                <w:sz w:val="19"/>
                <w:szCs w:val="19"/>
              </w:rPr>
              <w:t>Volatility</w:t>
            </w:r>
          </w:p>
        </w:tc>
        <w:tc>
          <w:tcPr>
            <w:tcW w:w="25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6380D15A" w14:textId="77777777" w:rsidR="00FA4360" w:rsidRDefault="00000000">
            <w:pPr>
              <w:spacing w:after="0"/>
            </w:pPr>
            <w:r>
              <w:rPr>
                <w:b/>
                <w:bCs/>
                <w:sz w:val="19"/>
                <w:szCs w:val="19"/>
              </w:rPr>
              <w:t>Example</w:t>
            </w:r>
          </w:p>
        </w:tc>
      </w:tr>
      <w:tr w:rsidR="00FA4360" w14:paraId="6B17C5C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EA0DC9" w14:textId="77777777" w:rsidR="00FA4360" w:rsidRDefault="00000000">
            <w:pPr>
              <w:spacing w:after="0"/>
            </w:pPr>
            <w:r>
              <w:rPr>
                <w:sz w:val="19"/>
                <w:szCs w:val="19"/>
              </w:rPr>
              <w:t>Tier 1 — Consumer</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1F9324" w14:textId="77777777" w:rsidR="00FA4360" w:rsidRDefault="00000000">
            <w:pPr>
              <w:spacing w:after="0"/>
            </w:pPr>
            <w:r>
              <w:rPr>
                <w:sz w:val="19"/>
                <w:szCs w:val="19"/>
              </w:rPr>
              <w:t>C2A flows</w:t>
            </w:r>
          </w:p>
        </w:tc>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5C8B9E" w14:textId="77777777" w:rsidR="00FA4360" w:rsidRDefault="00000000">
            <w:pPr>
              <w:spacing w:after="0"/>
            </w:pPr>
            <w:proofErr w:type="spellStart"/>
            <w:r>
              <w:rPr>
                <w:sz w:val="19"/>
                <w:szCs w:val="19"/>
              </w:rPr>
              <w:t>grp_consumer</w:t>
            </w:r>
            <w:proofErr w:type="spellEnd"/>
            <w:r>
              <w:rPr>
                <w:sz w:val="19"/>
                <w:szCs w:val="19"/>
              </w:rPr>
              <w:t>_&lt;TYPE&gt;_&lt;LOC&gt;</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65076F" w14:textId="77777777" w:rsidR="00FA4360" w:rsidRDefault="00000000">
            <w:pPr>
              <w:spacing w:after="0"/>
            </w:pPr>
            <w:r>
              <w:rPr>
                <w:sz w:val="19"/>
                <w:szCs w:val="19"/>
              </w:rPr>
              <w:t>NAC / DHCP / VPN</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DB21C4" w14:textId="77777777" w:rsidR="00FA4360" w:rsidRDefault="00000000">
            <w:pPr>
              <w:spacing w:after="0"/>
            </w:pPr>
            <w:r>
              <w:rPr>
                <w:sz w:val="19"/>
                <w:szCs w:val="19"/>
              </w:rPr>
              <w:t>High</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AB1A2C" w14:textId="77777777" w:rsidR="00FA4360" w:rsidRDefault="00000000">
            <w:pPr>
              <w:spacing w:after="0"/>
            </w:pPr>
            <w:r>
              <w:rPr>
                <w:sz w:val="19"/>
                <w:szCs w:val="19"/>
              </w:rPr>
              <w:t>grp_consumer_corporate_wired_dc1</w:t>
            </w:r>
          </w:p>
        </w:tc>
      </w:tr>
      <w:tr w:rsidR="00FA4360" w14:paraId="6B8C5F7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0B3B30" w14:textId="77777777" w:rsidR="00FA4360" w:rsidRDefault="00000000">
            <w:pPr>
              <w:spacing w:after="0"/>
            </w:pPr>
            <w:r>
              <w:rPr>
                <w:sz w:val="19"/>
                <w:szCs w:val="19"/>
              </w:rPr>
              <w:t>Tier 2 — Application</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EA5675" w14:textId="77777777" w:rsidR="00FA4360" w:rsidRDefault="00000000">
            <w:pPr>
              <w:spacing w:after="0"/>
            </w:pPr>
            <w:r>
              <w:rPr>
                <w:sz w:val="19"/>
                <w:szCs w:val="19"/>
              </w:rPr>
              <w:t>A2A flows</w:t>
            </w:r>
          </w:p>
        </w:tc>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03C549" w14:textId="77777777" w:rsidR="00FA4360" w:rsidRDefault="00000000">
            <w:pPr>
              <w:spacing w:after="0"/>
            </w:pPr>
            <w:proofErr w:type="spellStart"/>
            <w:r>
              <w:rPr>
                <w:sz w:val="19"/>
                <w:szCs w:val="19"/>
              </w:rPr>
              <w:t>grp_app</w:t>
            </w:r>
            <w:proofErr w:type="spellEnd"/>
            <w:r>
              <w:rPr>
                <w:sz w:val="19"/>
                <w:szCs w:val="19"/>
              </w:rPr>
              <w:t>_&lt;APM_ID&gt;_&lt;ENV&gt;</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B441E2" w14:textId="77777777" w:rsidR="00FA4360" w:rsidRDefault="00000000">
            <w:pPr>
              <w:spacing w:after="0"/>
            </w:pPr>
            <w:r>
              <w:rPr>
                <w:sz w:val="19"/>
                <w:szCs w:val="19"/>
              </w:rPr>
              <w:t>CCD (ADL + Enterprise)</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505611" w14:textId="77777777" w:rsidR="00FA4360" w:rsidRDefault="00000000">
            <w:pPr>
              <w:spacing w:after="0"/>
            </w:pPr>
            <w:r>
              <w:rPr>
                <w:sz w:val="19"/>
                <w:szCs w:val="19"/>
              </w:rPr>
              <w:t>Moderate</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029148" w14:textId="77777777" w:rsidR="00FA4360" w:rsidRDefault="00000000">
            <w:pPr>
              <w:spacing w:after="0"/>
            </w:pPr>
            <w:r>
              <w:rPr>
                <w:sz w:val="19"/>
                <w:szCs w:val="19"/>
              </w:rPr>
              <w:t>grp_app_APM0011395_PROD</w:t>
            </w:r>
          </w:p>
        </w:tc>
      </w:tr>
      <w:tr w:rsidR="00FA4360" w14:paraId="26F9A2D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36DF5A" w14:textId="77777777" w:rsidR="00FA4360" w:rsidRDefault="00000000">
            <w:pPr>
              <w:spacing w:after="0"/>
            </w:pPr>
            <w:r>
              <w:rPr>
                <w:sz w:val="19"/>
                <w:szCs w:val="19"/>
              </w:rPr>
              <w:t>Tier 2 — Shared Svc</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233D0F" w14:textId="77777777" w:rsidR="00FA4360" w:rsidRDefault="00000000">
            <w:pPr>
              <w:spacing w:after="0"/>
            </w:pPr>
            <w:r>
              <w:rPr>
                <w:sz w:val="19"/>
                <w:szCs w:val="19"/>
              </w:rPr>
              <w:t>A2A flows</w:t>
            </w:r>
          </w:p>
        </w:tc>
        <w:tc>
          <w:tcPr>
            <w:tcW w:w="1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EA5F96" w14:textId="77777777" w:rsidR="00FA4360" w:rsidRDefault="00000000">
            <w:pPr>
              <w:spacing w:after="0"/>
            </w:pPr>
            <w:proofErr w:type="spellStart"/>
            <w:r>
              <w:rPr>
                <w:sz w:val="19"/>
                <w:szCs w:val="19"/>
              </w:rPr>
              <w:t>grp_shared</w:t>
            </w:r>
            <w:proofErr w:type="spellEnd"/>
            <w:r>
              <w:rPr>
                <w:sz w:val="19"/>
                <w:szCs w:val="19"/>
              </w:rPr>
              <w:t>_&lt;SERVICE&gt;</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61E711" w14:textId="77777777" w:rsidR="00FA4360" w:rsidRDefault="00000000">
            <w:pPr>
              <w:spacing w:after="0"/>
            </w:pPr>
            <w:r>
              <w:rPr>
                <w:sz w:val="19"/>
                <w:szCs w:val="19"/>
              </w:rPr>
              <w:t>CCD (curated)</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EA4E64" w14:textId="77777777" w:rsidR="00FA4360" w:rsidRDefault="00000000">
            <w:pPr>
              <w:spacing w:after="0"/>
            </w:pPr>
            <w:r>
              <w:rPr>
                <w:sz w:val="19"/>
                <w:szCs w:val="19"/>
              </w:rPr>
              <w:t>Low</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CE3CA6" w14:textId="77777777" w:rsidR="00FA4360" w:rsidRDefault="00000000">
            <w:pPr>
              <w:spacing w:after="0"/>
            </w:pPr>
            <w:proofErr w:type="spellStart"/>
            <w:r>
              <w:rPr>
                <w:sz w:val="19"/>
                <w:szCs w:val="19"/>
              </w:rPr>
              <w:t>grp_shared_activedirectory</w:t>
            </w:r>
            <w:proofErr w:type="spellEnd"/>
          </w:p>
        </w:tc>
      </w:tr>
      <w:tr w:rsidR="00FA4360" w14:paraId="52371F80" w14:textId="77777777">
        <w:tblPrEx>
          <w:tblCellMar>
            <w:top w:w="0" w:type="dxa"/>
            <w:bottom w:w="0" w:type="dxa"/>
          </w:tblCellMar>
        </w:tblPrEx>
        <w:tc>
          <w:tcPr>
            <w:tcW w:w="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1E8F9BB" w14:textId="77777777" w:rsidR="00FA4360" w:rsidRDefault="00000000">
            <w:pPr>
              <w:spacing w:after="0"/>
            </w:pPr>
            <w:r>
              <w:rPr>
                <w:sz w:val="19"/>
                <w:szCs w:val="19"/>
              </w:rPr>
              <w:lastRenderedPageBreak/>
              <w:t>Tier 3 — External</w:t>
            </w:r>
          </w:p>
        </w:tc>
        <w:tc>
          <w:tcPr>
            <w:tcW w:w="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1C15CCA" w14:textId="77777777" w:rsidR="00FA4360" w:rsidRDefault="00000000">
            <w:pPr>
              <w:spacing w:after="0"/>
            </w:pPr>
            <w:r>
              <w:rPr>
                <w:sz w:val="19"/>
                <w:szCs w:val="19"/>
              </w:rPr>
              <w:t>A2X flows</w:t>
            </w:r>
          </w:p>
        </w:tc>
        <w:tc>
          <w:tcPr>
            <w:tcW w:w="19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21193C4" w14:textId="77777777" w:rsidR="00FA4360" w:rsidRDefault="00000000">
            <w:pPr>
              <w:spacing w:after="0"/>
            </w:pPr>
            <w:proofErr w:type="spellStart"/>
            <w:r>
              <w:rPr>
                <w:sz w:val="19"/>
                <w:szCs w:val="19"/>
              </w:rPr>
              <w:t>grp_ext</w:t>
            </w:r>
            <w:proofErr w:type="spellEnd"/>
            <w:r>
              <w:rPr>
                <w:sz w:val="19"/>
                <w:szCs w:val="19"/>
              </w:rPr>
              <w:t>_&lt;TYPE&gt;_&lt;PROVIDER&gt;</w:t>
            </w:r>
          </w:p>
        </w:tc>
        <w:tc>
          <w:tcPr>
            <w:tcW w:w="15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75E8CB7" w14:textId="77777777" w:rsidR="00FA4360" w:rsidRDefault="00000000">
            <w:pPr>
              <w:spacing w:after="0"/>
            </w:pPr>
            <w:r>
              <w:rPr>
                <w:sz w:val="19"/>
                <w:szCs w:val="19"/>
              </w:rPr>
              <w:t>External Svc Registry</w:t>
            </w:r>
          </w:p>
        </w:tc>
        <w:tc>
          <w:tcPr>
            <w:tcW w:w="1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148F909" w14:textId="77777777" w:rsidR="00FA4360" w:rsidRDefault="00000000">
            <w:pPr>
              <w:spacing w:after="0"/>
            </w:pPr>
            <w:r>
              <w:rPr>
                <w:sz w:val="19"/>
                <w:szCs w:val="19"/>
              </w:rPr>
              <w:t>Variable</w:t>
            </w:r>
          </w:p>
        </w:tc>
        <w:tc>
          <w:tcPr>
            <w:tcW w:w="25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7869CB9" w14:textId="77777777" w:rsidR="00FA4360" w:rsidRDefault="00000000">
            <w:pPr>
              <w:spacing w:after="0"/>
            </w:pPr>
            <w:proofErr w:type="spellStart"/>
            <w:r>
              <w:rPr>
                <w:sz w:val="19"/>
                <w:szCs w:val="19"/>
              </w:rPr>
              <w:t>grp_ext_saas_salesforce</w:t>
            </w:r>
            <w:proofErr w:type="spellEnd"/>
          </w:p>
        </w:tc>
      </w:tr>
    </w:tbl>
    <w:p w14:paraId="27C0577B" w14:textId="77777777" w:rsidR="00FA4360" w:rsidRDefault="00000000">
      <w:pPr>
        <w:pStyle w:val="Heading1"/>
        <w:pageBreakBefore/>
      </w:pPr>
      <w:r>
        <w:lastRenderedPageBreak/>
        <w:t>6. POLICY MODEL BY TRAFFIC FLOW CLASS</w:t>
      </w:r>
    </w:p>
    <w:p w14:paraId="18E8C554" w14:textId="77777777" w:rsidR="00FA4360" w:rsidRDefault="00000000">
      <w:pPr>
        <w:pStyle w:val="Heading2"/>
      </w:pPr>
      <w:r>
        <w:t>6.1 Consumer-to-Application (C2A) Policy</w:t>
      </w:r>
    </w:p>
    <w:p w14:paraId="34E6F179" w14:textId="77777777" w:rsidR="00FA4360" w:rsidRDefault="00000000">
      <w:r>
        <w:t>Consumer-to-Application policy governs end-user access to enterprise applications. Policy intent is expressed in natural terms:</w:t>
      </w:r>
    </w:p>
    <w:p w14:paraId="1ACA6D26" w14:textId="77777777" w:rsidR="00FA4360" w:rsidRDefault="00000000">
      <w:r>
        <w:t>"&lt;Consumer Segment&gt; may access &lt;Application Instance&gt; via &lt;Service&gt;"</w:t>
      </w:r>
    </w:p>
    <w:p w14:paraId="62CA1B80" w14:textId="77777777" w:rsidR="00FA4360" w:rsidRDefault="00000000">
      <w:pPr>
        <w:spacing w:after="60"/>
      </w:pPr>
      <w:r>
        <w:rPr>
          <w:b/>
          <w:bCs/>
        </w:rPr>
        <w:t>Policy structure:</w:t>
      </w:r>
    </w:p>
    <w:p w14:paraId="7E8DEF63" w14:textId="77777777" w:rsidR="00FA4360" w:rsidRDefault="00000000">
      <w:pPr>
        <w:pStyle w:val="ListParagraph"/>
        <w:numPr>
          <w:ilvl w:val="0"/>
          <w:numId w:val="2"/>
        </w:numPr>
        <w:spacing w:after="60"/>
      </w:pPr>
      <w:r>
        <w:rPr>
          <w:b/>
          <w:bCs/>
        </w:rPr>
        <w:t>Source:</w:t>
      </w:r>
      <w:r>
        <w:t xml:space="preserve"> Tier 1 consumer group (e.g., grp_consumer_corporate_wired_dc1)</w:t>
      </w:r>
    </w:p>
    <w:p w14:paraId="2625ACC4" w14:textId="77777777" w:rsidR="00FA4360" w:rsidRDefault="00000000">
      <w:pPr>
        <w:pStyle w:val="ListParagraph"/>
        <w:numPr>
          <w:ilvl w:val="0"/>
          <w:numId w:val="2"/>
        </w:numPr>
        <w:spacing w:after="60"/>
      </w:pPr>
      <w:r>
        <w:rPr>
          <w:b/>
          <w:bCs/>
        </w:rPr>
        <w:t>Destination:</w:t>
      </w:r>
      <w:r>
        <w:t xml:space="preserve"> Tier 2 application group (e.g., grp_app_APM0011395_PROD)</w:t>
      </w:r>
    </w:p>
    <w:p w14:paraId="0E61A22A" w14:textId="77777777" w:rsidR="00FA4360" w:rsidRDefault="00000000">
      <w:pPr>
        <w:pStyle w:val="ListParagraph"/>
        <w:numPr>
          <w:ilvl w:val="0"/>
          <w:numId w:val="2"/>
        </w:numPr>
        <w:spacing w:after="60"/>
      </w:pPr>
      <w:r>
        <w:rPr>
          <w:b/>
          <w:bCs/>
        </w:rPr>
        <w:t>Service:</w:t>
      </w:r>
      <w:r>
        <w:t xml:space="preserve"> Abstracted service object (HTTPS, SSH, RDP, custom application port)</w:t>
      </w:r>
    </w:p>
    <w:p w14:paraId="5296D942" w14:textId="77777777" w:rsidR="00FA4360" w:rsidRDefault="00000000">
      <w:pPr>
        <w:pStyle w:val="ListParagraph"/>
        <w:numPr>
          <w:ilvl w:val="0"/>
          <w:numId w:val="2"/>
        </w:numPr>
        <w:spacing w:after="60"/>
      </w:pPr>
      <w:r>
        <w:rPr>
          <w:b/>
          <w:bCs/>
        </w:rPr>
        <w:t>Direction:</w:t>
      </w:r>
      <w:r>
        <w:t xml:space="preserve"> Ingress to application zone from user zone</w:t>
      </w:r>
    </w:p>
    <w:p w14:paraId="00199511" w14:textId="77777777" w:rsidR="00FA4360" w:rsidRDefault="00000000">
      <w:pPr>
        <w:spacing w:after="60"/>
      </w:pPr>
      <w:r>
        <w:rPr>
          <w:b/>
          <w:bCs/>
        </w:rPr>
        <w:t>Risk characteristics:</w:t>
      </w:r>
    </w:p>
    <w:p w14:paraId="707869B7" w14:textId="77777777" w:rsidR="00FA4360" w:rsidRDefault="00000000">
      <w:pPr>
        <w:pStyle w:val="ListParagraph"/>
        <w:numPr>
          <w:ilvl w:val="0"/>
          <w:numId w:val="2"/>
        </w:numPr>
        <w:spacing w:after="60"/>
      </w:pPr>
      <w:r>
        <w:t>User authentication provides identity context not available in A2A or A2X flows.</w:t>
      </w:r>
    </w:p>
    <w:p w14:paraId="567C88B1" w14:textId="77777777" w:rsidR="00FA4360" w:rsidRDefault="00000000">
      <w:pPr>
        <w:pStyle w:val="ListParagraph"/>
        <w:numPr>
          <w:ilvl w:val="0"/>
          <w:numId w:val="2"/>
        </w:numPr>
        <w:spacing w:after="60"/>
      </w:pPr>
      <w:r>
        <w:t>Policy may be conditioned on NAC posture, device compliance, or VPN status.</w:t>
      </w:r>
    </w:p>
    <w:p w14:paraId="0294D57B" w14:textId="77777777" w:rsidR="00FA4360" w:rsidRDefault="00000000">
      <w:pPr>
        <w:pStyle w:val="ListParagraph"/>
        <w:numPr>
          <w:ilvl w:val="0"/>
          <w:numId w:val="2"/>
        </w:numPr>
        <w:spacing w:after="60"/>
      </w:pPr>
      <w:r>
        <w:t>Rules are typically broader (subnet-to-application) but fewer in number than A2A rules.</w:t>
      </w:r>
    </w:p>
    <w:p w14:paraId="22CE87BB" w14:textId="77777777" w:rsidR="00FA4360" w:rsidRDefault="00000000">
      <w:r>
        <w:t xml:space="preserve">Example rule intent: "Corporate wired users at DC1 may access the </w:t>
      </w:r>
      <w:proofErr w:type="spellStart"/>
      <w:r>
        <w:t>RxClaim</w:t>
      </w:r>
      <w:proofErr w:type="spellEnd"/>
      <w:r>
        <w:t xml:space="preserve"> application in PROD over HTTPS."</w:t>
      </w:r>
    </w:p>
    <w:p w14:paraId="6839E5AD" w14:textId="77777777" w:rsidR="00FA4360" w:rsidRDefault="00000000">
      <w:r>
        <w:t>Compiled enforcement:</w:t>
      </w:r>
    </w:p>
    <w:p w14:paraId="102D1F67" w14:textId="77777777" w:rsidR="00FA4360" w:rsidRDefault="00000000">
      <w:pPr>
        <w:shd w:val="clear" w:color="auto" w:fill="F5F5F5"/>
        <w:spacing w:after="0" w:line="200" w:lineRule="exact"/>
        <w:ind w:left="360"/>
      </w:pPr>
      <w:r>
        <w:rPr>
          <w:rFonts w:ascii="Consolas" w:eastAsia="Consolas" w:hAnsi="Consolas" w:cs="Consolas"/>
          <w:sz w:val="17"/>
          <w:szCs w:val="17"/>
        </w:rPr>
        <w:t>ALLOW STATEFUL TCP</w:t>
      </w:r>
    </w:p>
    <w:p w14:paraId="2E1A6811"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SRC_ADDR = grp_consumer_corporate_wired_dc1</w:t>
      </w:r>
    </w:p>
    <w:p w14:paraId="4617301D"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SRC_PORT = 1024-65535</w:t>
      </w:r>
    </w:p>
    <w:p w14:paraId="029D9D82"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DST_ADDR = grp_app_APM0011395_PROD</w:t>
      </w:r>
    </w:p>
    <w:p w14:paraId="73B036F3"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DST_PORT = 443</w:t>
      </w:r>
    </w:p>
    <w:p w14:paraId="4A39075C"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LOG      = Yes</w:t>
      </w:r>
    </w:p>
    <w:p w14:paraId="08DC2160" w14:textId="77777777" w:rsidR="00FA4360" w:rsidRDefault="00FA4360">
      <w:pPr>
        <w:spacing w:after="0"/>
      </w:pPr>
    </w:p>
    <w:p w14:paraId="7FF92841" w14:textId="77777777" w:rsidR="00FA4360" w:rsidRDefault="00000000">
      <w:pPr>
        <w:pStyle w:val="Heading2"/>
      </w:pPr>
      <w:r>
        <w:t>6.2 Application-to-Application (A2A) Policy</w:t>
      </w:r>
    </w:p>
    <w:p w14:paraId="148A314A" w14:textId="77777777" w:rsidR="00FA4360" w:rsidRDefault="00000000">
      <w:r>
        <w:t>Application-to-Application policy governs east-west traffic between application tiers and services. This is the highest-volume flow class in most enterprises. Policy intent is expressed as:</w:t>
      </w:r>
    </w:p>
    <w:p w14:paraId="1491981C" w14:textId="77777777" w:rsidR="00FA4360" w:rsidRDefault="00000000">
      <w:r>
        <w:t>"&lt;Source Application&gt; (&lt;Env&gt;) may communicate with &lt;Destination Application/Service&gt; via &lt;Service&gt;"</w:t>
      </w:r>
    </w:p>
    <w:p w14:paraId="308534CD" w14:textId="77777777" w:rsidR="00FA4360" w:rsidRDefault="00000000">
      <w:pPr>
        <w:spacing w:after="60"/>
      </w:pPr>
      <w:r>
        <w:rPr>
          <w:b/>
          <w:bCs/>
        </w:rPr>
        <w:t>Policy structure:</w:t>
      </w:r>
    </w:p>
    <w:p w14:paraId="01477305" w14:textId="77777777" w:rsidR="00FA4360" w:rsidRDefault="00000000">
      <w:pPr>
        <w:pStyle w:val="ListParagraph"/>
        <w:numPr>
          <w:ilvl w:val="0"/>
          <w:numId w:val="2"/>
        </w:numPr>
        <w:spacing w:after="60"/>
      </w:pPr>
      <w:r>
        <w:rPr>
          <w:b/>
          <w:bCs/>
        </w:rPr>
        <w:t>Source:</w:t>
      </w:r>
      <w:r>
        <w:t xml:space="preserve"> Tier 2 application group or shared service group</w:t>
      </w:r>
    </w:p>
    <w:p w14:paraId="2D14326D" w14:textId="77777777" w:rsidR="00FA4360" w:rsidRDefault="00000000">
      <w:pPr>
        <w:pStyle w:val="ListParagraph"/>
        <w:numPr>
          <w:ilvl w:val="0"/>
          <w:numId w:val="2"/>
        </w:numPr>
        <w:spacing w:after="60"/>
      </w:pPr>
      <w:r>
        <w:rPr>
          <w:b/>
          <w:bCs/>
        </w:rPr>
        <w:t>Destination:</w:t>
      </w:r>
      <w:r>
        <w:t xml:space="preserve"> Tier 2 application group or shared service group</w:t>
      </w:r>
    </w:p>
    <w:p w14:paraId="7ADF4E7F" w14:textId="77777777" w:rsidR="00FA4360" w:rsidRDefault="00000000">
      <w:pPr>
        <w:pStyle w:val="ListParagraph"/>
        <w:numPr>
          <w:ilvl w:val="0"/>
          <w:numId w:val="2"/>
        </w:numPr>
        <w:spacing w:after="60"/>
      </w:pPr>
      <w:r>
        <w:rPr>
          <w:b/>
          <w:bCs/>
        </w:rPr>
        <w:t>Service:</w:t>
      </w:r>
      <w:r>
        <w:t xml:space="preserve"> Abstracted service object</w:t>
      </w:r>
    </w:p>
    <w:p w14:paraId="63D34DBE" w14:textId="77777777" w:rsidR="00FA4360" w:rsidRDefault="00000000">
      <w:pPr>
        <w:pStyle w:val="ListParagraph"/>
        <w:numPr>
          <w:ilvl w:val="0"/>
          <w:numId w:val="2"/>
        </w:numPr>
        <w:spacing w:after="60"/>
      </w:pPr>
      <w:r>
        <w:rPr>
          <w:b/>
          <w:bCs/>
        </w:rPr>
        <w:t>Direction:</w:t>
      </w:r>
      <w:r>
        <w:t xml:space="preserve"> Determined by client/server roles in the service contract</w:t>
      </w:r>
    </w:p>
    <w:p w14:paraId="3C5A4DF6" w14:textId="77777777" w:rsidR="00FA4360" w:rsidRDefault="00000000">
      <w:pPr>
        <w:spacing w:after="60"/>
      </w:pPr>
      <w:r>
        <w:rPr>
          <w:b/>
          <w:bCs/>
        </w:rPr>
        <w:t>Risk characteristics:</w:t>
      </w:r>
    </w:p>
    <w:p w14:paraId="6F6DAB55" w14:textId="77777777" w:rsidR="00FA4360" w:rsidRDefault="00000000">
      <w:pPr>
        <w:pStyle w:val="ListParagraph"/>
        <w:numPr>
          <w:ilvl w:val="0"/>
          <w:numId w:val="2"/>
        </w:numPr>
        <w:spacing w:after="60"/>
      </w:pPr>
      <w:r>
        <w:t>Machine-to-machine communication with no user identity context.</w:t>
      </w:r>
    </w:p>
    <w:p w14:paraId="5D52DB55" w14:textId="77777777" w:rsidR="00FA4360" w:rsidRDefault="00000000">
      <w:pPr>
        <w:pStyle w:val="ListParagraph"/>
        <w:numPr>
          <w:ilvl w:val="0"/>
          <w:numId w:val="2"/>
        </w:numPr>
        <w:spacing w:after="60"/>
      </w:pPr>
      <w:r>
        <w:t>Highest rule density — often 80% or more of total firewall rules.</w:t>
      </w:r>
    </w:p>
    <w:p w14:paraId="4EB524AB" w14:textId="77777777" w:rsidR="00FA4360" w:rsidRDefault="00000000">
      <w:pPr>
        <w:pStyle w:val="ListParagraph"/>
        <w:numPr>
          <w:ilvl w:val="0"/>
          <w:numId w:val="2"/>
        </w:numPr>
        <w:spacing w:after="60"/>
      </w:pPr>
      <w:r>
        <w:t>Environment isolation is critical: PROD must not communicate with DEV.</w:t>
      </w:r>
    </w:p>
    <w:p w14:paraId="164C9754" w14:textId="77777777" w:rsidR="00FA4360" w:rsidRDefault="00000000">
      <w:pPr>
        <w:pStyle w:val="ListParagraph"/>
        <w:numPr>
          <w:ilvl w:val="0"/>
          <w:numId w:val="2"/>
        </w:numPr>
        <w:spacing w:after="60"/>
      </w:pPr>
      <w:r>
        <w:t>Compliance boundaries (PCI segmentation) are most frequently violated in this flow class.</w:t>
      </w:r>
    </w:p>
    <w:p w14:paraId="135637E0" w14:textId="77777777" w:rsidR="00FA4360" w:rsidRDefault="00000000">
      <w:r>
        <w:lastRenderedPageBreak/>
        <w:t>The policy compiler applies networking invariants automatically: client role implies ephemeral source ports (1024–65535), server role implies well-known destination ports, and stateful inspection governs return traffic.</w:t>
      </w:r>
    </w:p>
    <w:p w14:paraId="6DAA555A" w14:textId="77777777" w:rsidR="00FA4360" w:rsidRDefault="00000000">
      <w:r>
        <w:t xml:space="preserve">Example: "Payments Service (PROD) communicates with </w:t>
      </w:r>
      <w:proofErr w:type="spellStart"/>
      <w:r>
        <w:t>RxClaim</w:t>
      </w:r>
      <w:proofErr w:type="spellEnd"/>
      <w:r>
        <w:t xml:space="preserve"> Core over HTTPS."</w:t>
      </w:r>
    </w:p>
    <w:p w14:paraId="3A995AC0" w14:textId="77777777" w:rsidR="00FA4360" w:rsidRDefault="00000000">
      <w:pPr>
        <w:shd w:val="clear" w:color="auto" w:fill="F5F5F5"/>
        <w:spacing w:after="0" w:line="200" w:lineRule="exact"/>
        <w:ind w:left="360"/>
      </w:pPr>
      <w:r>
        <w:rPr>
          <w:rFonts w:ascii="Consolas" w:eastAsia="Consolas" w:hAnsi="Consolas" w:cs="Consolas"/>
          <w:sz w:val="17"/>
          <w:szCs w:val="17"/>
        </w:rPr>
        <w:t>ALLOW STATEFUL TCP</w:t>
      </w:r>
    </w:p>
    <w:p w14:paraId="283B57BC"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SRC_ADDR = grp_app_APM0044721_PROD</w:t>
      </w:r>
    </w:p>
    <w:p w14:paraId="07A194ED"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SRC_PORT = 1024-65535</w:t>
      </w:r>
    </w:p>
    <w:p w14:paraId="5CDB0277"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DST_ADDR = </w:t>
      </w:r>
      <w:proofErr w:type="spellStart"/>
      <w:r>
        <w:rPr>
          <w:rFonts w:ascii="Consolas" w:eastAsia="Consolas" w:hAnsi="Consolas" w:cs="Consolas"/>
          <w:sz w:val="17"/>
          <w:szCs w:val="17"/>
        </w:rPr>
        <w:t>grp_shared_rxclaim_core</w:t>
      </w:r>
      <w:proofErr w:type="spellEnd"/>
    </w:p>
    <w:p w14:paraId="58FA7C2D"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DST_PORT = 443</w:t>
      </w:r>
    </w:p>
    <w:p w14:paraId="1C7AA83C"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LOG      = Yes</w:t>
      </w:r>
    </w:p>
    <w:p w14:paraId="2894D021" w14:textId="77777777" w:rsidR="00FA4360" w:rsidRDefault="00FA4360">
      <w:pPr>
        <w:spacing w:after="0"/>
      </w:pPr>
    </w:p>
    <w:p w14:paraId="70013CA8" w14:textId="77777777" w:rsidR="00FA4360" w:rsidRDefault="00000000">
      <w:pPr>
        <w:pStyle w:val="Heading2"/>
      </w:pPr>
      <w:r>
        <w:t>6.3 Application-to-External-Service (A2X) Policy</w:t>
      </w:r>
    </w:p>
    <w:p w14:paraId="7A80DB7C" w14:textId="77777777" w:rsidR="00FA4360" w:rsidRDefault="00000000">
      <w:r>
        <w:t>Application-to-External-Service policy governs enterprise applications consuming services outside the enterprise boundary. Policy intent is expressed as:</w:t>
      </w:r>
    </w:p>
    <w:p w14:paraId="3C7117F6" w14:textId="77777777" w:rsidR="00FA4360" w:rsidRDefault="00000000">
      <w:r>
        <w:t>"&lt;Source Application&gt; (&lt;Env&gt;) may access &lt;External Service&gt; via &lt;Service&gt;"</w:t>
      </w:r>
    </w:p>
    <w:p w14:paraId="59B11234" w14:textId="77777777" w:rsidR="00FA4360" w:rsidRDefault="00000000">
      <w:pPr>
        <w:spacing w:after="60"/>
      </w:pPr>
      <w:r>
        <w:rPr>
          <w:b/>
          <w:bCs/>
        </w:rPr>
        <w:t>Policy structure:</w:t>
      </w:r>
    </w:p>
    <w:p w14:paraId="79144CEC" w14:textId="77777777" w:rsidR="00FA4360" w:rsidRDefault="00000000">
      <w:pPr>
        <w:pStyle w:val="ListParagraph"/>
        <w:numPr>
          <w:ilvl w:val="0"/>
          <w:numId w:val="2"/>
        </w:numPr>
        <w:spacing w:after="60"/>
      </w:pPr>
      <w:r>
        <w:rPr>
          <w:b/>
          <w:bCs/>
        </w:rPr>
        <w:t>Source:</w:t>
      </w:r>
      <w:r>
        <w:t xml:space="preserve"> Tier 2 application group</w:t>
      </w:r>
    </w:p>
    <w:p w14:paraId="1AD7F97D" w14:textId="77777777" w:rsidR="00FA4360" w:rsidRDefault="00000000">
      <w:pPr>
        <w:pStyle w:val="ListParagraph"/>
        <w:numPr>
          <w:ilvl w:val="0"/>
          <w:numId w:val="2"/>
        </w:numPr>
        <w:spacing w:after="60"/>
      </w:pPr>
      <w:r>
        <w:rPr>
          <w:b/>
          <w:bCs/>
        </w:rPr>
        <w:t>Destination:</w:t>
      </w:r>
      <w:r>
        <w:t xml:space="preserve"> Tier 3 external service group</w:t>
      </w:r>
    </w:p>
    <w:p w14:paraId="6A8AFEB5" w14:textId="77777777" w:rsidR="00FA4360" w:rsidRDefault="00000000">
      <w:pPr>
        <w:pStyle w:val="ListParagraph"/>
        <w:numPr>
          <w:ilvl w:val="0"/>
          <w:numId w:val="2"/>
        </w:numPr>
        <w:spacing w:after="60"/>
      </w:pPr>
      <w:r>
        <w:rPr>
          <w:b/>
          <w:bCs/>
        </w:rPr>
        <w:t>Service:</w:t>
      </w:r>
      <w:r>
        <w:t xml:space="preserve"> </w:t>
      </w:r>
      <w:proofErr w:type="gramStart"/>
      <w:r>
        <w:t>Typically</w:t>
      </w:r>
      <w:proofErr w:type="gramEnd"/>
      <w:r>
        <w:t xml:space="preserve"> HTTPS (</w:t>
      </w:r>
      <w:proofErr w:type="spellStart"/>
      <w:r>
        <w:t>tcp</w:t>
      </w:r>
      <w:proofErr w:type="spellEnd"/>
      <w:r>
        <w:t>/443)</w:t>
      </w:r>
    </w:p>
    <w:p w14:paraId="715A5ED6" w14:textId="77777777" w:rsidR="00FA4360" w:rsidRDefault="00000000">
      <w:pPr>
        <w:pStyle w:val="ListParagraph"/>
        <w:numPr>
          <w:ilvl w:val="0"/>
          <w:numId w:val="2"/>
        </w:numPr>
        <w:spacing w:after="60"/>
      </w:pPr>
      <w:r>
        <w:rPr>
          <w:b/>
          <w:bCs/>
        </w:rPr>
        <w:t>Direction:</w:t>
      </w:r>
      <w:r>
        <w:t xml:space="preserve"> Egress from application zone to external/untrust zone</w:t>
      </w:r>
    </w:p>
    <w:p w14:paraId="32F525F6" w14:textId="77777777" w:rsidR="00FA4360" w:rsidRDefault="00000000">
      <w:pPr>
        <w:spacing w:after="60"/>
      </w:pPr>
      <w:r>
        <w:rPr>
          <w:b/>
          <w:bCs/>
        </w:rPr>
        <w:t>Risk characteristics:</w:t>
      </w:r>
    </w:p>
    <w:p w14:paraId="01BE2FB4" w14:textId="77777777" w:rsidR="00FA4360" w:rsidRDefault="00000000">
      <w:pPr>
        <w:pStyle w:val="ListParagraph"/>
        <w:numPr>
          <w:ilvl w:val="0"/>
          <w:numId w:val="2"/>
        </w:numPr>
        <w:spacing w:after="60"/>
      </w:pPr>
      <w:r>
        <w:t>Crosses the enterprise perimeter — regulatory implications for PCI data, SOX audit trails, and data residency.</w:t>
      </w:r>
    </w:p>
    <w:p w14:paraId="7838BDFD" w14:textId="77777777" w:rsidR="00FA4360" w:rsidRDefault="00000000">
      <w:pPr>
        <w:pStyle w:val="ListParagraph"/>
        <w:numPr>
          <w:ilvl w:val="0"/>
          <w:numId w:val="2"/>
        </w:numPr>
        <w:spacing w:after="60"/>
      </w:pPr>
      <w:r>
        <w:t>Destination identity is FQDN-dependent and managed by the external provider.</w:t>
      </w:r>
    </w:p>
    <w:p w14:paraId="33DD9C8F" w14:textId="77777777" w:rsidR="00FA4360" w:rsidRDefault="00000000">
      <w:pPr>
        <w:pStyle w:val="ListParagraph"/>
        <w:numPr>
          <w:ilvl w:val="0"/>
          <w:numId w:val="2"/>
        </w:numPr>
        <w:spacing w:after="60"/>
      </w:pPr>
      <w:r>
        <w:t>Higher scrutiny required: mandatory business justification, time-bounded access preferred.</w:t>
      </w:r>
    </w:p>
    <w:p w14:paraId="57CBD7EA" w14:textId="77777777" w:rsidR="00FA4360" w:rsidRDefault="00000000">
      <w:r>
        <w:t>The External Service Registry provides trust classification that drives approval workflow:</w:t>
      </w:r>
    </w:p>
    <w:p w14:paraId="42270E2A" w14:textId="77777777" w:rsidR="00FA4360" w:rsidRDefault="00000000">
      <w:pPr>
        <w:pStyle w:val="ListParagraph"/>
        <w:numPr>
          <w:ilvl w:val="0"/>
          <w:numId w:val="2"/>
        </w:numPr>
        <w:spacing w:after="60"/>
      </w:pPr>
      <w:r>
        <w:rPr>
          <w:b/>
          <w:bCs/>
        </w:rPr>
        <w:t>Approved:</w:t>
      </w:r>
      <w:r>
        <w:t xml:space="preserve"> </w:t>
      </w:r>
      <w:proofErr w:type="gramStart"/>
      <w:r>
        <w:t>Auto-eligible</w:t>
      </w:r>
      <w:proofErr w:type="gramEnd"/>
      <w:r>
        <w:t xml:space="preserve"> for standard approval workflow.</w:t>
      </w:r>
    </w:p>
    <w:p w14:paraId="6F573925" w14:textId="77777777" w:rsidR="00FA4360" w:rsidRDefault="00000000">
      <w:pPr>
        <w:pStyle w:val="ListParagraph"/>
        <w:numPr>
          <w:ilvl w:val="0"/>
          <w:numId w:val="2"/>
        </w:numPr>
        <w:spacing w:after="60"/>
      </w:pPr>
      <w:r>
        <w:rPr>
          <w:b/>
          <w:bCs/>
        </w:rPr>
        <w:t>Conditional:</w:t>
      </w:r>
      <w:r>
        <w:t xml:space="preserve"> Requires additional security controls (TLS inspection, DLP).</w:t>
      </w:r>
    </w:p>
    <w:p w14:paraId="0038431F" w14:textId="77777777" w:rsidR="00FA4360" w:rsidRDefault="00000000">
      <w:pPr>
        <w:pStyle w:val="ListParagraph"/>
        <w:numPr>
          <w:ilvl w:val="0"/>
          <w:numId w:val="2"/>
        </w:numPr>
        <w:spacing w:after="60"/>
      </w:pPr>
      <w:r>
        <w:rPr>
          <w:b/>
          <w:bCs/>
        </w:rPr>
        <w:t>Restricted:</w:t>
      </w:r>
      <w:r>
        <w:t xml:space="preserve"> Requires explicit security architecture review.</w:t>
      </w:r>
    </w:p>
    <w:p w14:paraId="0973A759" w14:textId="77777777" w:rsidR="00FA4360" w:rsidRDefault="00000000">
      <w:r>
        <w:t>Example: "Payments Service (PROD) may access Visa Settlement API over HTTPS."</w:t>
      </w:r>
    </w:p>
    <w:p w14:paraId="34E7C5D2" w14:textId="77777777" w:rsidR="00FA4360" w:rsidRDefault="00000000">
      <w:pPr>
        <w:shd w:val="clear" w:color="auto" w:fill="F5F5F5"/>
        <w:spacing w:after="0" w:line="200" w:lineRule="exact"/>
        <w:ind w:left="360"/>
      </w:pPr>
      <w:r>
        <w:rPr>
          <w:rFonts w:ascii="Consolas" w:eastAsia="Consolas" w:hAnsi="Consolas" w:cs="Consolas"/>
          <w:sz w:val="17"/>
          <w:szCs w:val="17"/>
        </w:rPr>
        <w:t>ALLOW STATEFUL TCP</w:t>
      </w:r>
    </w:p>
    <w:p w14:paraId="3A9CCBE4"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SRC_ADDR  = grp_app_APM0044721_PROD</w:t>
      </w:r>
    </w:p>
    <w:p w14:paraId="2C46C6C7"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SRC_PORT  = 1024-65535</w:t>
      </w:r>
    </w:p>
    <w:p w14:paraId="32449377"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DST_ADDR  = </w:t>
      </w:r>
      <w:proofErr w:type="spellStart"/>
      <w:r>
        <w:rPr>
          <w:rFonts w:ascii="Consolas" w:eastAsia="Consolas" w:hAnsi="Consolas" w:cs="Consolas"/>
          <w:sz w:val="17"/>
          <w:szCs w:val="17"/>
        </w:rPr>
        <w:t>grp_ext_vendor_visa_settlement</w:t>
      </w:r>
      <w:proofErr w:type="spellEnd"/>
    </w:p>
    <w:p w14:paraId="0BDA0789"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DST_PORT  = 443</w:t>
      </w:r>
    </w:p>
    <w:p w14:paraId="465FDB4D"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LOG       = Yes</w:t>
      </w:r>
    </w:p>
    <w:p w14:paraId="666CEC37"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SCHEDULE  = expires 2026-12-31</w:t>
      </w:r>
    </w:p>
    <w:p w14:paraId="7BAEF29D" w14:textId="77777777" w:rsidR="00FA4360" w:rsidRDefault="00FA4360">
      <w:pPr>
        <w:spacing w:after="0"/>
      </w:pPr>
    </w:p>
    <w:p w14:paraId="019E5BD0" w14:textId="77777777" w:rsidR="00FA4360" w:rsidRDefault="00000000">
      <w:pPr>
        <w:pStyle w:val="Heading2"/>
      </w:pPr>
      <w:r>
        <w:t>6.4 Policy Compilation: From Intent to Enforcement</w:t>
      </w:r>
    </w:p>
    <w:p w14:paraId="3334E7E5" w14:textId="77777777" w:rsidR="00FA4360" w:rsidRDefault="00000000">
      <w:r>
        <w:t>The policy compiler translates canonical policy into concrete enforcement artifacts. For all three flow classes, the compiler applies invariant networking rules:</w:t>
      </w:r>
    </w:p>
    <w:p w14:paraId="0FB111EA" w14:textId="77777777" w:rsidR="00FA4360" w:rsidRDefault="00000000">
      <w:pPr>
        <w:pStyle w:val="ListParagraph"/>
        <w:numPr>
          <w:ilvl w:val="0"/>
          <w:numId w:val="2"/>
        </w:numPr>
        <w:spacing w:after="60"/>
      </w:pPr>
      <w:r>
        <w:lastRenderedPageBreak/>
        <w:t>Client roles imply ephemeral source ports (1024–65535).</w:t>
      </w:r>
    </w:p>
    <w:p w14:paraId="1708F532" w14:textId="77777777" w:rsidR="00FA4360" w:rsidRDefault="00000000">
      <w:pPr>
        <w:pStyle w:val="ListParagraph"/>
        <w:numPr>
          <w:ilvl w:val="0"/>
          <w:numId w:val="2"/>
        </w:numPr>
        <w:spacing w:after="60"/>
      </w:pPr>
      <w:r>
        <w:t>Services imply known destination ports from the service object catalog.</w:t>
      </w:r>
    </w:p>
    <w:p w14:paraId="4DB33D51" w14:textId="77777777" w:rsidR="00FA4360" w:rsidRDefault="00000000">
      <w:pPr>
        <w:pStyle w:val="ListParagraph"/>
        <w:numPr>
          <w:ilvl w:val="0"/>
          <w:numId w:val="2"/>
        </w:numPr>
        <w:spacing w:after="60"/>
      </w:pPr>
      <w:r>
        <w:t>Directionality determines zone mapping (ingress vs. egress).</w:t>
      </w:r>
    </w:p>
    <w:p w14:paraId="70442CD2" w14:textId="77777777" w:rsidR="00FA4360" w:rsidRDefault="00000000">
      <w:pPr>
        <w:pStyle w:val="ListParagraph"/>
        <w:numPr>
          <w:ilvl w:val="0"/>
          <w:numId w:val="2"/>
        </w:numPr>
        <w:spacing w:after="60"/>
      </w:pPr>
      <w:r>
        <w:t>Stateful enforcement is assumed by default — return traffic is permitted implicitly.</w:t>
      </w:r>
    </w:p>
    <w:p w14:paraId="0278551A" w14:textId="77777777" w:rsidR="00FA4360" w:rsidRDefault="00000000">
      <w:r>
        <w:t>The generated enforcement rule preserves the traditional enterprise construct:</w:t>
      </w:r>
    </w:p>
    <w:p w14:paraId="5D656DA2" w14:textId="77777777" w:rsidR="00FA4360" w:rsidRDefault="00000000">
      <w:pPr>
        <w:shd w:val="clear" w:color="auto" w:fill="F5F5F5"/>
        <w:spacing w:after="0" w:line="200" w:lineRule="exact"/>
        <w:ind w:left="360"/>
      </w:pPr>
      <w:r>
        <w:rPr>
          <w:rFonts w:ascii="Consolas" w:eastAsia="Consolas" w:hAnsi="Consolas" w:cs="Consolas"/>
          <w:sz w:val="17"/>
          <w:szCs w:val="17"/>
        </w:rPr>
        <w:t>ALLOW STATEFUL &lt;PROTOCOL&gt;</w:t>
      </w:r>
    </w:p>
    <w:p w14:paraId="172BB99F"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SRC_ADDR = &lt;resolved source group&gt;</w:t>
      </w:r>
    </w:p>
    <w:p w14:paraId="037CC41C"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SRC_PORT = 1024-65535</w:t>
      </w:r>
    </w:p>
    <w:p w14:paraId="647C1440"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DST_ADDR = &lt;resolved destination group&gt;</w:t>
      </w:r>
    </w:p>
    <w:p w14:paraId="0721D04B"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DST_PORT = &lt;service port&gt;</w:t>
      </w:r>
    </w:p>
    <w:p w14:paraId="37407615" w14:textId="77777777" w:rsidR="00FA4360" w:rsidRDefault="00FA4360">
      <w:pPr>
        <w:spacing w:after="0"/>
      </w:pPr>
    </w:p>
    <w:p w14:paraId="3EFEDD3E" w14:textId="77777777" w:rsidR="00FA4360" w:rsidRDefault="00000000">
      <w:r>
        <w:t>This output is bit-for-bit compatible with how enterprises think about firewall rules today. The critical difference is that humans never specify ephemeral ports, resolve IP addresses, or construct zone mappings. The compiler handles all derivation deterministically from the intent declaration and the CCD.</w:t>
      </w:r>
    </w:p>
    <w:p w14:paraId="527A76A7" w14:textId="77777777" w:rsidR="00FA4360" w:rsidRDefault="00000000">
      <w:pPr>
        <w:pStyle w:val="Heading1"/>
        <w:pageBreakBefore/>
      </w:pPr>
      <w:r>
        <w:lastRenderedPageBreak/>
        <w:t>7. PALO ALTO NETWORKS IMPLEMENTATION ALIGNMENT</w:t>
      </w:r>
    </w:p>
    <w:p w14:paraId="3F26CA6C" w14:textId="77777777" w:rsidR="00FA4360" w:rsidRDefault="00000000">
      <w:pPr>
        <w:pStyle w:val="Heading2"/>
      </w:pPr>
      <w:r>
        <w:t>7.1 Panorama as Orchestration Target</w:t>
      </w:r>
    </w:p>
    <w:p w14:paraId="4E305E56" w14:textId="77777777" w:rsidR="00FA4360" w:rsidRDefault="00000000">
      <w:r>
        <w:t>All object and policy management is performed through Panorama, the centralized management platform for Palo Alto Networks firewalls. Device groups align with environment or tenant boundaries, providing natural segmentation of policy scope. Candidate configurations are used for all changes — commits are orchestrated and controlled by the automation pipeline, never applied directly.</w:t>
      </w:r>
    </w:p>
    <w:p w14:paraId="309FDF90" w14:textId="77777777" w:rsidR="00FA4360" w:rsidRDefault="00000000">
      <w:pPr>
        <w:pStyle w:val="Heading2"/>
      </w:pPr>
      <w:r>
        <w:t>7.2 Address Objects</w:t>
      </w:r>
    </w:p>
    <w:p w14:paraId="00505462" w14:textId="77777777" w:rsidR="00FA4360" w:rsidRDefault="00000000">
      <w:r>
        <w:t>The architecture creates one address object per unique FQDN or IP address. FQDN objects are preferred when DNS resolution is reliable and consistent across all enforcement points. IP address objects serve as fallback for assets without reliable DNS. Objects are reusable across applications and tiers — a single address object may appear in multiple address groups.</w:t>
      </w:r>
    </w:p>
    <w:p w14:paraId="24C1E881" w14:textId="77777777" w:rsidR="00FA4360" w:rsidRDefault="00000000">
      <w:pPr>
        <w:pStyle w:val="Heading2"/>
      </w:pPr>
      <w:r>
        <w:t>7.3 Static and Dynamic Address Groups</w:t>
      </w:r>
    </w:p>
    <w:p w14:paraId="3E01597B" w14:textId="77777777" w:rsidR="00FA4360" w:rsidRDefault="00000000">
      <w:r>
        <w:t>Primary application groups (</w:t>
      </w:r>
      <w:proofErr w:type="spellStart"/>
      <w:r>
        <w:t>grp_app</w:t>
      </w:r>
      <w:proofErr w:type="spellEnd"/>
      <w:r>
        <w:t>_&lt;APM_ID&gt;_&lt;ENV&gt;) are implemented as static address groups with membership managed by the CCD automation pipeline. This provides deterministic, auditable group composition.</w:t>
      </w:r>
    </w:p>
    <w:p w14:paraId="54D2A9E3" w14:textId="77777777" w:rsidR="00FA4360" w:rsidRDefault="00000000">
      <w:r>
        <w:t>External service groups may leverage External Dynamic Lists (EDLs) for cloud provider IP ranges that change frequently — AWS, Azure, and GCP all publish machine-readable IP range lists that can be consumed as EDLs. Dynamic Address Groups (DAGs) with tag-based membership can complement static groups for environments with high infrastructure volatility, such as Kubernetes clusters and auto-scaling groups.</w:t>
      </w:r>
    </w:p>
    <w:p w14:paraId="30CC3A04" w14:textId="77777777" w:rsidR="00FA4360" w:rsidRDefault="00000000">
      <w:pPr>
        <w:pStyle w:val="Heading2"/>
      </w:pPr>
      <w:r>
        <w:t>7.4 Service Objects</w:t>
      </w:r>
    </w:p>
    <w:p w14:paraId="25DA690C" w14:textId="77777777" w:rsidR="00FA4360" w:rsidRDefault="00000000">
      <w:r>
        <w:t>Services are abstracted into reusable service objects to avoid port sprawl. Standard services (HTTPS, SSH, DNS) use predefined PAN-OS service objects. Custom services are created for non-standard application ports and named descriptively to preserve intent. Service groups aggregate related services for applications that communicate over multiple protocols.</w:t>
      </w:r>
    </w:p>
    <w:p w14:paraId="46FCB0AC" w14:textId="77777777" w:rsidR="00FA4360" w:rsidRDefault="00000000">
      <w:pPr>
        <w:pStyle w:val="Heading2"/>
      </w:pPr>
      <w:r>
        <w:t>7.5 Security Rules</w:t>
      </w:r>
    </w:p>
    <w:p w14:paraId="6712A2FA" w14:textId="77777777" w:rsidR="00FA4360" w:rsidRDefault="00000000">
      <w:r>
        <w:t xml:space="preserve">Rules reference application groups and service objects — never individual IP addresses or raw port numbers. Rules are organized by flow class within the Panorama </w:t>
      </w:r>
      <w:proofErr w:type="spellStart"/>
      <w:r>
        <w:t>rulebase</w:t>
      </w:r>
      <w:proofErr w:type="spellEnd"/>
      <w:r>
        <w:t>:</w:t>
      </w:r>
    </w:p>
    <w:p w14:paraId="5103519F" w14:textId="77777777" w:rsidR="00FA4360" w:rsidRDefault="00000000">
      <w:pPr>
        <w:pStyle w:val="ListParagraph"/>
        <w:numPr>
          <w:ilvl w:val="0"/>
          <w:numId w:val="2"/>
        </w:numPr>
        <w:spacing w:after="60"/>
      </w:pPr>
      <w:r>
        <w:t xml:space="preserve">C2A rules in a dedicated </w:t>
      </w:r>
      <w:proofErr w:type="spellStart"/>
      <w:r>
        <w:t>rulebase</w:t>
      </w:r>
      <w:proofErr w:type="spellEnd"/>
      <w:r>
        <w:t xml:space="preserve"> section for consumer access policy.</w:t>
      </w:r>
    </w:p>
    <w:p w14:paraId="075F23D2" w14:textId="77777777" w:rsidR="00FA4360" w:rsidRDefault="00000000">
      <w:pPr>
        <w:pStyle w:val="ListParagraph"/>
        <w:numPr>
          <w:ilvl w:val="0"/>
          <w:numId w:val="2"/>
        </w:numPr>
        <w:spacing w:after="60"/>
      </w:pPr>
      <w:r>
        <w:t>A2A rules organized by environment and compliance scope (PCI, non-PCI, shared services).</w:t>
      </w:r>
    </w:p>
    <w:p w14:paraId="67EDE7B5" w14:textId="77777777" w:rsidR="00FA4360" w:rsidRDefault="00000000">
      <w:pPr>
        <w:pStyle w:val="ListParagraph"/>
        <w:numPr>
          <w:ilvl w:val="0"/>
          <w:numId w:val="2"/>
        </w:numPr>
        <w:spacing w:after="60"/>
      </w:pPr>
      <w:r>
        <w:t>A2X rules in a dedicated egress section with mandatory logging and schedule enforcement.</w:t>
      </w:r>
    </w:p>
    <w:p w14:paraId="2CDF0257" w14:textId="77777777" w:rsidR="00FA4360" w:rsidRDefault="00000000">
      <w:r>
        <w:t>Rule naming convention includes the flow class, source application, destination application or service, and service type for auditability. Example: C2A_CorpWired_RxClaim_HTTPS, A2A_Payments_RxClaimCore_HTTPS, A2X_Payments_VisaSettlement_HTTPS.</w:t>
      </w:r>
    </w:p>
    <w:p w14:paraId="0269998D" w14:textId="77777777" w:rsidR="00FA4360" w:rsidRDefault="00000000">
      <w:pPr>
        <w:pStyle w:val="Heading2"/>
      </w:pPr>
      <w:r>
        <w:t>7.6 Zone Architecture</w:t>
      </w:r>
    </w:p>
    <w:p w14:paraId="283476D0" w14:textId="77777777" w:rsidR="00FA4360" w:rsidRDefault="00000000">
      <w:r>
        <w:t>Zones map to trust boundaries and are aligned with the traffic flow classes:</w:t>
      </w:r>
    </w:p>
    <w:p w14:paraId="7FBED311" w14:textId="77777777" w:rsidR="00FA4360" w:rsidRDefault="00000000">
      <w:pPr>
        <w:pStyle w:val="ListParagraph"/>
        <w:numPr>
          <w:ilvl w:val="0"/>
          <w:numId w:val="2"/>
        </w:numPr>
        <w:spacing w:after="60"/>
      </w:pPr>
      <w:r>
        <w:rPr>
          <w:b/>
          <w:bCs/>
        </w:rPr>
        <w:lastRenderedPageBreak/>
        <w:t>User zones:</w:t>
      </w:r>
      <w:r>
        <w:t xml:space="preserve"> Corporate wired, VPN, guest — source zones for C2A flows.</w:t>
      </w:r>
    </w:p>
    <w:p w14:paraId="56B42B49" w14:textId="77777777" w:rsidR="00FA4360" w:rsidRDefault="00000000">
      <w:pPr>
        <w:pStyle w:val="ListParagraph"/>
        <w:numPr>
          <w:ilvl w:val="0"/>
          <w:numId w:val="2"/>
        </w:numPr>
        <w:spacing w:after="60"/>
      </w:pPr>
      <w:r>
        <w:rPr>
          <w:b/>
          <w:bCs/>
        </w:rPr>
        <w:t>Application zones:</w:t>
      </w:r>
      <w:r>
        <w:t xml:space="preserve"> Organized by environment (PROD, non-PROD) and compliance tier (PCI, non-PCI) — both source and destination for A2A flows.</w:t>
      </w:r>
    </w:p>
    <w:p w14:paraId="58ED6FF3" w14:textId="77777777" w:rsidR="00FA4360" w:rsidRDefault="00000000">
      <w:pPr>
        <w:pStyle w:val="ListParagraph"/>
        <w:numPr>
          <w:ilvl w:val="0"/>
          <w:numId w:val="2"/>
        </w:numPr>
        <w:spacing w:after="60"/>
      </w:pPr>
      <w:r>
        <w:rPr>
          <w:b/>
          <w:bCs/>
        </w:rPr>
        <w:t>Shared service zones:</w:t>
      </w:r>
      <w:r>
        <w:t xml:space="preserve"> Dedicated zones for enterprise shared services (Active Directory, DNS, NTP).</w:t>
      </w:r>
    </w:p>
    <w:p w14:paraId="27ECB4B7" w14:textId="77777777" w:rsidR="00FA4360" w:rsidRDefault="00000000">
      <w:pPr>
        <w:pStyle w:val="ListParagraph"/>
        <w:numPr>
          <w:ilvl w:val="0"/>
          <w:numId w:val="2"/>
        </w:numPr>
        <w:spacing w:after="60"/>
      </w:pPr>
      <w:r>
        <w:rPr>
          <w:b/>
          <w:bCs/>
        </w:rPr>
        <w:t>External/untrust zones:</w:t>
      </w:r>
      <w:r>
        <w:t xml:space="preserve"> Destination zones for A2X flows — Internet egress, partner connections.</w:t>
      </w:r>
    </w:p>
    <w:p w14:paraId="3EDD987D" w14:textId="77777777" w:rsidR="00FA4360" w:rsidRDefault="00000000">
      <w:r>
        <w:t>Zone-based policy enforces the traffic flow classes architecturally. Traffic between zones that does not match a defined flow class is denied by default.</w:t>
      </w:r>
    </w:p>
    <w:p w14:paraId="562FBC3D" w14:textId="77777777" w:rsidR="00FA4360" w:rsidRDefault="00000000">
      <w:pPr>
        <w:pStyle w:val="Heading1"/>
        <w:pageBreakBefore/>
      </w:pPr>
      <w:r>
        <w:lastRenderedPageBreak/>
        <w:t>8. GOVERNANCE, LIFECYCLE, AND AUDIT</w:t>
      </w:r>
    </w:p>
    <w:p w14:paraId="00555F48" w14:textId="77777777" w:rsidR="00FA4360" w:rsidRDefault="00000000">
      <w:pPr>
        <w:pStyle w:val="Heading2"/>
      </w:pPr>
      <w:r>
        <w:t>8.1 Request and Approval Workflow</w:t>
      </w:r>
    </w:p>
    <w:p w14:paraId="66350EF1" w14:textId="77777777" w:rsidR="00FA4360" w:rsidRDefault="00000000">
      <w:r>
        <w:t>Users request connectivity using application intent rather than IP addresses. A requestor specifies: source application, destination application or external service, environment, service, and business justification. The system resolves the corresponding groups, validates environment compatibility, evaluates risk based on flow class and compliance scope, routes the request through the appropriate approval chain, and generates Panorama configuration upon approval.</w:t>
      </w:r>
    </w:p>
    <w:p w14:paraId="1C8B1FD3" w14:textId="77777777" w:rsidR="00FA4360" w:rsidRDefault="00000000">
      <w:r>
        <w:t>Low-risk requests — such as A2A flows between non-PCI applications within the same environment — are eligible for auto-approval. High-risk requests — such as A2X flows to restricted external services or any flow involving PCI-scoped applications — require explicit security architecture review.</w:t>
      </w:r>
    </w:p>
    <w:p w14:paraId="2050B593" w14:textId="77777777" w:rsidR="00FA4360" w:rsidRDefault="00000000">
      <w:r>
        <w:t>The request lifecycle follows a deterministic state machine:</w:t>
      </w:r>
    </w:p>
    <w:p w14:paraId="53528CA9" w14:textId="77777777" w:rsidR="00FA4360" w:rsidRDefault="00000000">
      <w:pPr>
        <w:shd w:val="clear" w:color="auto" w:fill="F5F5F5"/>
        <w:spacing w:after="0" w:line="200" w:lineRule="exact"/>
        <w:ind w:left="360"/>
      </w:pPr>
      <w:r>
        <w:rPr>
          <w:rFonts w:ascii="Consolas" w:eastAsia="Consolas" w:hAnsi="Consolas" w:cs="Consolas"/>
          <w:sz w:val="17"/>
          <w:szCs w:val="17"/>
        </w:rPr>
        <w:t>[REQUESTED] --&gt; [VALIDATED] --&gt; [APPROVED] --&gt; [COMPILED] --&gt; [ENFORCED] --&gt; [ACTIVE]</w:t>
      </w:r>
    </w:p>
    <w:p w14:paraId="20EB1B71"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               |                                              |</w:t>
      </w:r>
    </w:p>
    <w:p w14:paraId="7688950A" w14:textId="77777777" w:rsidR="00FA4360" w:rsidRDefault="00000000">
      <w:pPr>
        <w:shd w:val="clear" w:color="auto" w:fill="F5F5F5"/>
        <w:spacing w:after="0" w:line="200" w:lineRule="exact"/>
        <w:ind w:left="360"/>
      </w:pPr>
      <w:r>
        <w:rPr>
          <w:rFonts w:ascii="Consolas" w:eastAsia="Consolas" w:hAnsi="Consolas" w:cs="Consolas"/>
          <w:sz w:val="17"/>
          <w:szCs w:val="17"/>
        </w:rPr>
        <w:t xml:space="preserve">     v               </w:t>
      </w:r>
      <w:proofErr w:type="spellStart"/>
      <w:r>
        <w:rPr>
          <w:rFonts w:ascii="Consolas" w:eastAsia="Consolas" w:hAnsi="Consolas" w:cs="Consolas"/>
          <w:sz w:val="17"/>
          <w:szCs w:val="17"/>
        </w:rPr>
        <w:t>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w:t>
      </w:r>
      <w:proofErr w:type="spellEnd"/>
    </w:p>
    <w:p w14:paraId="70CA9C69" w14:textId="77777777" w:rsidR="00FA4360" w:rsidRDefault="00000000">
      <w:pPr>
        <w:shd w:val="clear" w:color="auto" w:fill="F5F5F5"/>
        <w:spacing w:after="0" w:line="200" w:lineRule="exact"/>
        <w:ind w:left="360"/>
      </w:pPr>
      <w:r>
        <w:rPr>
          <w:rFonts w:ascii="Consolas" w:eastAsia="Consolas" w:hAnsi="Consolas" w:cs="Consolas"/>
          <w:sz w:val="17"/>
          <w:szCs w:val="17"/>
        </w:rPr>
        <w:t>[REJECTED]     [ESCALATED]                                    [EXPIRED] --&gt; [REMOVED]</w:t>
      </w:r>
    </w:p>
    <w:p w14:paraId="27DF6B0C" w14:textId="77777777" w:rsidR="00FA4360" w:rsidRDefault="00FA4360">
      <w:pPr>
        <w:spacing w:after="0"/>
      </w:pPr>
    </w:p>
    <w:p w14:paraId="411A6B6C" w14:textId="77777777" w:rsidR="00FA4360" w:rsidRDefault="00000000">
      <w:pPr>
        <w:pStyle w:val="Heading2"/>
      </w:pPr>
      <w:r>
        <w:t>8.2 Drift Detection and Reconciliation</w:t>
      </w:r>
    </w:p>
    <w:p w14:paraId="2D97F3B0" w14:textId="77777777" w:rsidR="00FA4360" w:rsidRDefault="00000000">
      <w:r>
        <w:t>Live firewall state is periodically compared against the CCD-derived desired state. This drift detection operates at multiple levels: address object membership is compared against CCD-resolved identities, address group composition is compared against CCD-derived groupings, and security rules are compared against compiled policy.</w:t>
      </w:r>
    </w:p>
    <w:p w14:paraId="396C7E88" w14:textId="77777777" w:rsidR="00FA4360" w:rsidRDefault="00000000">
      <w:r>
        <w:t>Unauthorized manual changes — rules added directly to the firewall, group membership modified outside the automation pipeline — are detected, flagged, and optionally auto-remediated. The firewall never becomes a silent policy authority that accumulates undocumented changes.</w:t>
      </w:r>
    </w:p>
    <w:p w14:paraId="123EE7D9" w14:textId="77777777" w:rsidR="00FA4360" w:rsidRDefault="00000000">
      <w:pPr>
        <w:pStyle w:val="Heading2"/>
      </w:pPr>
      <w:r>
        <w:t>8.3 Expiration and Automated Cleanup</w:t>
      </w:r>
    </w:p>
    <w:p w14:paraId="12512B67" w14:textId="77777777" w:rsidR="00FA4360" w:rsidRDefault="00000000">
      <w:r>
        <w:t>Time-bound access is strongly encouraged for all flow classes and mandatory for A2X flows. Each policy declaration carries an expiration date. Upon expiration: the canonical policy transitions to the EXPIRED state, derived rules are removed from all enforcement points, associated address objects that are no longer referenced by any active policy are cleaned up, and audit evidence is preserved indefinitely.</w:t>
      </w:r>
    </w:p>
    <w:p w14:paraId="4EFAD167" w14:textId="77777777" w:rsidR="00FA4360" w:rsidRDefault="00000000">
      <w:r>
        <w:t>This automated lifecycle management prevents the accumulation of stale rules that characterizes legacy firewall environments. Rules do not persist indefinitely by default — they must be actively renewed or they expire.</w:t>
      </w:r>
    </w:p>
    <w:p w14:paraId="07404519" w14:textId="77777777" w:rsidR="00FA4360" w:rsidRDefault="00000000">
      <w:pPr>
        <w:pStyle w:val="Heading2"/>
      </w:pPr>
      <w:r>
        <w:t>8.4 Audit and Compliance</w:t>
      </w:r>
    </w:p>
    <w:p w14:paraId="47A77A0B" w14:textId="77777777" w:rsidR="00FA4360" w:rsidRDefault="00000000">
      <w:r>
        <w:t>Every object and rule in the architecture traces back to a complete audit chain: who requested it, why it exists (business justification), what application it serves, when it was approved, when it expires, what it changed (before and after state), and where it is enforced (which firewall devices).</w:t>
      </w:r>
    </w:p>
    <w:p w14:paraId="7F01C70B" w14:textId="77777777" w:rsidR="00FA4360" w:rsidRDefault="00000000">
      <w:r>
        <w:lastRenderedPageBreak/>
        <w:t>This eliminates the manual archaeology that plagues traditional firewall audits. PCI segmentation requirements are enforced through metadata-driven guardrails — the CCD prevents PCI-scoped applications from being placed in groups with non-PCI applications. SOX audit trail requirements are satisfied by the immutable state history maintained by the control plane. HIPAA access controls are enforced through risk-tier-driven approval workflows.</w:t>
      </w:r>
    </w:p>
    <w:p w14:paraId="023DE30B" w14:textId="77777777" w:rsidR="00FA4360" w:rsidRDefault="00000000">
      <w:pPr>
        <w:pStyle w:val="Heading1"/>
        <w:pageBreakBefore/>
      </w:pPr>
      <w:r>
        <w:lastRenderedPageBreak/>
        <w:t>9. NIST SP 800-207 ZERO TRUST ALIGNMENT</w:t>
      </w:r>
    </w:p>
    <w:p w14:paraId="1B3BBBCB" w14:textId="77777777" w:rsidR="00FA4360" w:rsidRDefault="00000000">
      <w:r>
        <w:t>The architecture aligns directly with the NIST SP 800-207 Zero Trust Architecture framework. The following table maps NIST 800-207 logical components to their counterparts in this architecture:</w:t>
      </w:r>
    </w:p>
    <w:p w14:paraId="5DA02753" w14:textId="77777777" w:rsidR="00FA4360" w:rsidRDefault="00000000">
      <w:pPr>
        <w:spacing w:before="120" w:after="80"/>
        <w:jc w:val="center"/>
      </w:pPr>
      <w:r>
        <w:rPr>
          <w:i/>
          <w:iCs/>
          <w:sz w:val="20"/>
          <w:szCs w:val="20"/>
        </w:rPr>
        <w:t>Table 2. NIST SP 800-207 Component Mapping</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28"/>
      </w:tblGrid>
      <w:tr w:rsidR="00FA4360" w14:paraId="29B2FB13" w14:textId="77777777">
        <w:tblPrEx>
          <w:tblCellMar>
            <w:top w:w="0" w:type="dxa"/>
            <w:bottom w:w="0" w:type="dxa"/>
          </w:tblCellMar>
        </w:tblPrEx>
        <w:tc>
          <w:tcPr>
            <w:tcW w:w="2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64117E0E" w14:textId="77777777" w:rsidR="00FA4360" w:rsidRDefault="00000000">
            <w:pPr>
              <w:spacing w:after="0"/>
            </w:pPr>
            <w:r>
              <w:rPr>
                <w:b/>
                <w:bCs/>
                <w:sz w:val="19"/>
                <w:szCs w:val="19"/>
              </w:rPr>
              <w:t>NIST 800-207 Component</w:t>
            </w:r>
          </w:p>
        </w:tc>
        <w:tc>
          <w:tcPr>
            <w:tcW w:w="61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E1DD64D" w14:textId="77777777" w:rsidR="00FA4360" w:rsidRDefault="00000000">
            <w:pPr>
              <w:spacing w:after="0"/>
            </w:pPr>
            <w:r>
              <w:rPr>
                <w:b/>
                <w:bCs/>
                <w:sz w:val="19"/>
                <w:szCs w:val="19"/>
              </w:rPr>
              <w:t>Architecture Mapping</w:t>
            </w:r>
          </w:p>
        </w:tc>
      </w:tr>
      <w:tr w:rsidR="00FA4360" w14:paraId="0E696BD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56DD18" w14:textId="77777777" w:rsidR="00FA4360" w:rsidRDefault="00000000">
            <w:pPr>
              <w:spacing w:after="0"/>
            </w:pPr>
            <w:r>
              <w:rPr>
                <w:sz w:val="19"/>
                <w:szCs w:val="19"/>
              </w:rPr>
              <w:t>Policy Engine (PE)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6CCFB6" w14:textId="77777777" w:rsidR="00FA4360" w:rsidRDefault="00000000">
            <w:pPr>
              <w:spacing w:after="0"/>
            </w:pPr>
            <w:r>
              <w:rPr>
                <w:sz w:val="19"/>
                <w:szCs w:val="19"/>
              </w:rPr>
              <w:t>CCD control plane combined with the validation and risk engine. Evaluates intent against policy, risk, and compliance constraints before approving access.</w:t>
            </w:r>
          </w:p>
        </w:tc>
      </w:tr>
      <w:tr w:rsidR="00FA4360" w14:paraId="09F245C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5AA7BC" w14:textId="77777777" w:rsidR="00FA4360" w:rsidRDefault="00000000">
            <w:pPr>
              <w:spacing w:after="0"/>
            </w:pPr>
            <w:r>
              <w:rPr>
                <w:sz w:val="19"/>
                <w:szCs w:val="19"/>
              </w:rPr>
              <w:t>Policy Administrator (PA)</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E1E3F1" w14:textId="77777777" w:rsidR="00FA4360" w:rsidRDefault="00000000">
            <w:pPr>
              <w:spacing w:after="0"/>
            </w:pPr>
            <w:r>
              <w:rPr>
                <w:sz w:val="19"/>
                <w:szCs w:val="19"/>
              </w:rPr>
              <w:t>Policy compiler and enforcement orchestrator. Translates approved intent into vendor-specific enforcement artifacts and manages session lifecycle including expiration.</w:t>
            </w:r>
          </w:p>
        </w:tc>
      </w:tr>
      <w:tr w:rsidR="00FA4360" w14:paraId="1F01B5A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6BCA19" w14:textId="77777777" w:rsidR="00FA4360" w:rsidRDefault="00000000">
            <w:pPr>
              <w:spacing w:after="0"/>
            </w:pPr>
            <w:r>
              <w:rPr>
                <w:sz w:val="19"/>
                <w:szCs w:val="19"/>
              </w:rPr>
              <w:t>Policy Enforcement Point (PEP)</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34DCA6" w14:textId="77777777" w:rsidR="00FA4360" w:rsidRDefault="00000000">
            <w:pPr>
              <w:spacing w:after="0"/>
            </w:pPr>
            <w:r>
              <w:rPr>
                <w:sz w:val="19"/>
                <w:szCs w:val="19"/>
              </w:rPr>
              <w:t>Palo Alto firewalls and Panorama-managed devices. Enforce compiled rules at traffic boundaries defined by the zone architecture.</w:t>
            </w:r>
          </w:p>
        </w:tc>
      </w:tr>
      <w:tr w:rsidR="00FA4360" w14:paraId="6EC31013"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A2B07F" w14:textId="77777777" w:rsidR="00FA4360" w:rsidRDefault="00000000">
            <w:pPr>
              <w:spacing w:after="0"/>
            </w:pPr>
            <w:r>
              <w:rPr>
                <w:sz w:val="19"/>
                <w:szCs w:val="19"/>
              </w:rPr>
              <w:t>Continuous Diagnostics and Mitigation (CDM)</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59B009" w14:textId="77777777" w:rsidR="00FA4360" w:rsidRDefault="00000000">
            <w:pPr>
              <w:spacing w:after="0"/>
            </w:pPr>
            <w:r>
              <w:rPr>
                <w:sz w:val="19"/>
                <w:szCs w:val="19"/>
              </w:rPr>
              <w:t>Drift detection and reconciliation engine. Continuously validates that enforcement state matches policy intent and remediates unauthorized changes.</w:t>
            </w:r>
          </w:p>
        </w:tc>
      </w:tr>
      <w:tr w:rsidR="00FA4360" w14:paraId="6DC737A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4C9BB1" w14:textId="77777777" w:rsidR="00FA4360" w:rsidRDefault="00000000">
            <w:pPr>
              <w:spacing w:after="0"/>
            </w:pPr>
            <w:r>
              <w:rPr>
                <w:sz w:val="19"/>
                <w:szCs w:val="19"/>
              </w:rPr>
              <w:t>Threat Intelligence</w:t>
            </w:r>
          </w:p>
        </w:tc>
        <w:tc>
          <w:tcPr>
            <w:tcW w:w="61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FDB9A2" w14:textId="77777777" w:rsidR="00FA4360" w:rsidRDefault="00000000">
            <w:pPr>
              <w:spacing w:after="0"/>
            </w:pPr>
            <w:r>
              <w:rPr>
                <w:sz w:val="19"/>
                <w:szCs w:val="19"/>
              </w:rPr>
              <w:t>External Service Registry trust classifications combined with risk scoring engine incorporating historical incident data and threat feeds.</w:t>
            </w:r>
          </w:p>
        </w:tc>
      </w:tr>
      <w:tr w:rsidR="00FA4360" w14:paraId="78606E9E" w14:textId="77777777">
        <w:tblPrEx>
          <w:tblCellMar>
            <w:top w:w="0" w:type="dxa"/>
            <w:bottom w:w="0" w:type="dxa"/>
          </w:tblCellMar>
        </w:tblPrEx>
        <w:tc>
          <w:tcPr>
            <w:tcW w:w="2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EAE8CD6" w14:textId="77777777" w:rsidR="00FA4360" w:rsidRDefault="00000000">
            <w:pPr>
              <w:spacing w:after="0"/>
            </w:pPr>
            <w:r>
              <w:rPr>
                <w:sz w:val="19"/>
                <w:szCs w:val="19"/>
              </w:rPr>
              <w:t>Data Access Policy</w:t>
            </w:r>
          </w:p>
        </w:tc>
        <w:tc>
          <w:tcPr>
            <w:tcW w:w="61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95DA3C4" w14:textId="77777777" w:rsidR="00FA4360" w:rsidRDefault="00000000">
            <w:pPr>
              <w:spacing w:after="0"/>
            </w:pPr>
            <w:r>
              <w:rPr>
                <w:sz w:val="19"/>
                <w:szCs w:val="19"/>
              </w:rPr>
              <w:t>CCD-derived policies expressed per flow class (C2A, A2A, A2X), per application, per environment, with full lifecycle governance.</w:t>
            </w:r>
          </w:p>
        </w:tc>
      </w:tr>
    </w:tbl>
    <w:p w14:paraId="26808A21" w14:textId="77777777" w:rsidR="00FA4360" w:rsidRDefault="00FA4360">
      <w:pPr>
        <w:spacing w:after="0"/>
      </w:pPr>
    </w:p>
    <w:p w14:paraId="2C3FC8AA" w14:textId="77777777" w:rsidR="00FA4360" w:rsidRDefault="00000000">
      <w:r>
        <w:t>Beyond component mapping, the architecture satisfies key NIST 800-207 tenets:</w:t>
      </w:r>
    </w:p>
    <w:p w14:paraId="2601EFD6" w14:textId="77777777" w:rsidR="00FA4360" w:rsidRDefault="00000000">
      <w:pPr>
        <w:pStyle w:val="ListParagraph"/>
        <w:numPr>
          <w:ilvl w:val="0"/>
          <w:numId w:val="2"/>
        </w:numPr>
        <w:spacing w:after="60"/>
      </w:pPr>
      <w:r>
        <w:rPr>
          <w:b/>
          <w:bCs/>
        </w:rPr>
        <w:t>All data sources and computing services are considered resources.</w:t>
      </w:r>
      <w:r>
        <w:t xml:space="preserve"> The architecture treats every application instance, shared service, and external service as a named, governed resource with explicit identity and policy.</w:t>
      </w:r>
    </w:p>
    <w:p w14:paraId="335AA28F" w14:textId="77777777" w:rsidR="00FA4360" w:rsidRDefault="00000000">
      <w:pPr>
        <w:pStyle w:val="ListParagraph"/>
        <w:numPr>
          <w:ilvl w:val="0"/>
          <w:numId w:val="2"/>
        </w:numPr>
        <w:spacing w:after="60"/>
      </w:pPr>
      <w:r>
        <w:rPr>
          <w:b/>
          <w:bCs/>
        </w:rPr>
        <w:t>All communication is secured regardless of network location.</w:t>
      </w:r>
      <w:r>
        <w:t xml:space="preserve"> Policy is defined by application identity and intent, not by network location. Moving an application to a different subnet, data center, or cloud provider does not change its policy — only its group membership updates.</w:t>
      </w:r>
    </w:p>
    <w:p w14:paraId="371B1C2B" w14:textId="77777777" w:rsidR="00FA4360" w:rsidRDefault="00000000">
      <w:pPr>
        <w:pStyle w:val="ListParagraph"/>
        <w:numPr>
          <w:ilvl w:val="0"/>
          <w:numId w:val="2"/>
        </w:numPr>
        <w:spacing w:after="60"/>
      </w:pPr>
      <w:r>
        <w:rPr>
          <w:b/>
          <w:bCs/>
        </w:rPr>
        <w:t>Access to individual enterprise resources is granted on a per-session basis.</w:t>
      </w:r>
      <w:r>
        <w:t xml:space="preserve"> Time-bounded access, mandatory expiration, and per-flow-class policy ensure that access is not granted in perpetuity.</w:t>
      </w:r>
    </w:p>
    <w:p w14:paraId="26147DC2" w14:textId="77777777" w:rsidR="00FA4360" w:rsidRDefault="00000000">
      <w:pPr>
        <w:pStyle w:val="ListParagraph"/>
        <w:numPr>
          <w:ilvl w:val="0"/>
          <w:numId w:val="2"/>
        </w:numPr>
        <w:spacing w:after="60"/>
      </w:pPr>
      <w:r>
        <w:rPr>
          <w:b/>
          <w:bCs/>
        </w:rPr>
        <w:t>Access to resources is determined by dynamic policy.</w:t>
      </w:r>
      <w:r>
        <w:t xml:space="preserve"> The CCD refreshes continuously, incorporating changes from ADL, enterprise network data, and the External Service Registry. Policy adapts to changing application state and risk posture.</w:t>
      </w:r>
    </w:p>
    <w:p w14:paraId="7B2930AC" w14:textId="77777777" w:rsidR="00FA4360" w:rsidRDefault="00000000">
      <w:pPr>
        <w:pStyle w:val="ListParagraph"/>
        <w:numPr>
          <w:ilvl w:val="0"/>
          <w:numId w:val="2"/>
        </w:numPr>
        <w:spacing w:after="60"/>
      </w:pPr>
      <w:r>
        <w:rPr>
          <w:b/>
          <w:bCs/>
        </w:rPr>
        <w:t>The enterprise monitors and measures the integrity and security posture of all owned and associated assets.</w:t>
      </w:r>
      <w:r>
        <w:t xml:space="preserve"> Drift detection, reconciliation, and continuous state comparison ensure that enforcement </w:t>
      </w:r>
      <w:proofErr w:type="gramStart"/>
      <w:r>
        <w:t>matches intent at all times</w:t>
      </w:r>
      <w:proofErr w:type="gramEnd"/>
      <w:r>
        <w:t>.</w:t>
      </w:r>
    </w:p>
    <w:p w14:paraId="763D3556" w14:textId="77777777" w:rsidR="00FA4360" w:rsidRDefault="00000000">
      <w:pPr>
        <w:pStyle w:val="ListParagraph"/>
        <w:numPr>
          <w:ilvl w:val="0"/>
          <w:numId w:val="2"/>
        </w:numPr>
        <w:spacing w:after="60"/>
      </w:pPr>
      <w:r>
        <w:rPr>
          <w:b/>
          <w:bCs/>
        </w:rPr>
        <w:t>All resource authentication and authorization are dynamic and strictly enforced before access is allowed.</w:t>
      </w:r>
      <w:r>
        <w:t xml:space="preserve"> The validation pipeline enforces binding invariants, environment compatibility, compliance constraints, and risk-based approval before any policy reaches the enforcement plane.</w:t>
      </w:r>
    </w:p>
    <w:p w14:paraId="25341204" w14:textId="77777777" w:rsidR="00FA4360" w:rsidRDefault="00000000">
      <w:pPr>
        <w:pStyle w:val="Heading1"/>
        <w:pageBreakBefore/>
      </w:pPr>
      <w:r>
        <w:lastRenderedPageBreak/>
        <w:t>10. ARCHITECTURAL BENEFITS</w:t>
      </w:r>
    </w:p>
    <w:p w14:paraId="59A3DAF9" w14:textId="77777777" w:rsidR="00FA4360" w:rsidRDefault="00000000">
      <w:r>
        <w:t>The architecture delivers measurable benefits across multiple stakeholder groups:</w:t>
      </w:r>
    </w:p>
    <w:p w14:paraId="7E147325" w14:textId="77777777" w:rsidR="00FA4360" w:rsidRDefault="00000000">
      <w:pPr>
        <w:pStyle w:val="Heading2"/>
      </w:pPr>
      <w:r>
        <w:t>Security Operations</w:t>
      </w:r>
    </w:p>
    <w:p w14:paraId="719259D6" w14:textId="77777777" w:rsidR="00FA4360" w:rsidRDefault="00000000">
      <w:pPr>
        <w:pStyle w:val="ListParagraph"/>
        <w:numPr>
          <w:ilvl w:val="0"/>
          <w:numId w:val="2"/>
        </w:numPr>
        <w:spacing w:after="60"/>
      </w:pPr>
      <w:r>
        <w:t>Eliminates manual IP address handling — network identities are resolved automatically from the CCD.</w:t>
      </w:r>
    </w:p>
    <w:p w14:paraId="168D4947" w14:textId="77777777" w:rsidR="00FA4360" w:rsidRDefault="00000000">
      <w:pPr>
        <w:pStyle w:val="ListParagraph"/>
        <w:numPr>
          <w:ilvl w:val="0"/>
          <w:numId w:val="2"/>
        </w:numPr>
        <w:spacing w:after="60"/>
      </w:pPr>
      <w:r>
        <w:t>Reduces rule sprawl by reusing stable application groups across policies rather than creating per-request rules.</w:t>
      </w:r>
    </w:p>
    <w:p w14:paraId="4540D6E0" w14:textId="77777777" w:rsidR="00FA4360" w:rsidRDefault="00000000">
      <w:pPr>
        <w:pStyle w:val="ListParagraph"/>
        <w:numPr>
          <w:ilvl w:val="0"/>
          <w:numId w:val="2"/>
        </w:numPr>
        <w:spacing w:after="60"/>
      </w:pPr>
      <w:r>
        <w:t>Enforces least privilege deterministically through policy compilation rather than relying on human judgment.</w:t>
      </w:r>
    </w:p>
    <w:p w14:paraId="63801E0C" w14:textId="77777777" w:rsidR="00FA4360" w:rsidRDefault="00000000">
      <w:pPr>
        <w:pStyle w:val="ListParagraph"/>
        <w:numPr>
          <w:ilvl w:val="0"/>
          <w:numId w:val="2"/>
        </w:numPr>
        <w:spacing w:after="60"/>
      </w:pPr>
      <w:r>
        <w:t>Automates drift detection and remediation, preventing unauthorized firewall changes from persisting.</w:t>
      </w:r>
    </w:p>
    <w:p w14:paraId="450DA7EC" w14:textId="77777777" w:rsidR="00FA4360" w:rsidRDefault="00000000">
      <w:pPr>
        <w:pStyle w:val="Heading2"/>
      </w:pPr>
      <w:r>
        <w:t>Application Teams</w:t>
      </w:r>
    </w:p>
    <w:p w14:paraId="37EFE259" w14:textId="77777777" w:rsidR="00FA4360" w:rsidRDefault="00000000">
      <w:pPr>
        <w:pStyle w:val="ListParagraph"/>
        <w:numPr>
          <w:ilvl w:val="0"/>
          <w:numId w:val="2"/>
        </w:numPr>
        <w:spacing w:after="60"/>
      </w:pPr>
      <w:r>
        <w:t xml:space="preserve">Self-service connectivity requests using application terms they understand — no </w:t>
      </w:r>
      <w:proofErr w:type="gramStart"/>
      <w:r>
        <w:t>need to know</w:t>
      </w:r>
      <w:proofErr w:type="gramEnd"/>
      <w:r>
        <w:t xml:space="preserve"> IP addresses, subnets, or firewall syntax.</w:t>
      </w:r>
    </w:p>
    <w:p w14:paraId="08CB5377" w14:textId="77777777" w:rsidR="00FA4360" w:rsidRDefault="00000000">
      <w:pPr>
        <w:pStyle w:val="ListParagraph"/>
        <w:numPr>
          <w:ilvl w:val="0"/>
          <w:numId w:val="2"/>
        </w:numPr>
        <w:spacing w:after="60"/>
      </w:pPr>
      <w:r>
        <w:t>Faster request fulfillment through automated validation and risk-based auto-approval for low-risk flows.</w:t>
      </w:r>
    </w:p>
    <w:p w14:paraId="7B4DBB9E" w14:textId="77777777" w:rsidR="00FA4360" w:rsidRDefault="00000000">
      <w:pPr>
        <w:pStyle w:val="ListParagraph"/>
        <w:numPr>
          <w:ilvl w:val="0"/>
          <w:numId w:val="2"/>
        </w:numPr>
        <w:spacing w:after="60"/>
      </w:pPr>
      <w:r>
        <w:t>Clear ownership model — every policy traces back to an application owner.</w:t>
      </w:r>
    </w:p>
    <w:p w14:paraId="70238FDC" w14:textId="77777777" w:rsidR="00FA4360" w:rsidRDefault="00000000">
      <w:pPr>
        <w:pStyle w:val="Heading2"/>
      </w:pPr>
      <w:r>
        <w:t>Audit and Compliance</w:t>
      </w:r>
    </w:p>
    <w:p w14:paraId="1F52E7AE" w14:textId="77777777" w:rsidR="00FA4360" w:rsidRDefault="00000000">
      <w:pPr>
        <w:pStyle w:val="ListParagraph"/>
        <w:numPr>
          <w:ilvl w:val="0"/>
          <w:numId w:val="2"/>
        </w:numPr>
        <w:spacing w:after="60"/>
      </w:pPr>
      <w:r>
        <w:t>Full traceability from every firewall rule to its business justification, approval chain, and expiration date.</w:t>
      </w:r>
    </w:p>
    <w:p w14:paraId="4A8EC252" w14:textId="77777777" w:rsidR="00FA4360" w:rsidRDefault="00000000">
      <w:pPr>
        <w:pStyle w:val="ListParagraph"/>
        <w:numPr>
          <w:ilvl w:val="0"/>
          <w:numId w:val="2"/>
        </w:numPr>
        <w:spacing w:after="60"/>
      </w:pPr>
      <w:r>
        <w:t>Automated evidence generation for PCI, SOX, and HIPAA audits.</w:t>
      </w:r>
    </w:p>
    <w:p w14:paraId="61C1A1E6" w14:textId="77777777" w:rsidR="00FA4360" w:rsidRDefault="00000000">
      <w:pPr>
        <w:pStyle w:val="ListParagraph"/>
        <w:numPr>
          <w:ilvl w:val="0"/>
          <w:numId w:val="2"/>
        </w:numPr>
        <w:spacing w:after="60"/>
      </w:pPr>
      <w:r>
        <w:t>Segmentation requirements enforced consistently through metadata-driven guardrails, not manual review.</w:t>
      </w:r>
    </w:p>
    <w:p w14:paraId="5C6CD3CA" w14:textId="77777777" w:rsidR="00FA4360" w:rsidRDefault="00000000">
      <w:pPr>
        <w:pStyle w:val="Heading2"/>
      </w:pPr>
      <w:r>
        <w:t>Architecture and Engineering</w:t>
      </w:r>
    </w:p>
    <w:p w14:paraId="5605C10D" w14:textId="77777777" w:rsidR="00FA4360" w:rsidRDefault="00000000">
      <w:pPr>
        <w:pStyle w:val="ListParagraph"/>
        <w:numPr>
          <w:ilvl w:val="0"/>
          <w:numId w:val="2"/>
        </w:numPr>
        <w:spacing w:after="60"/>
      </w:pPr>
      <w:r>
        <w:t>Vendor-agnostic policy model — the CCD and intent declarations are independent of any enforcement platform.</w:t>
      </w:r>
    </w:p>
    <w:p w14:paraId="35CBF34E" w14:textId="77777777" w:rsidR="00FA4360" w:rsidRDefault="00000000">
      <w:pPr>
        <w:pStyle w:val="ListParagraph"/>
        <w:numPr>
          <w:ilvl w:val="0"/>
          <w:numId w:val="2"/>
        </w:numPr>
        <w:spacing w:after="60"/>
      </w:pPr>
      <w:r>
        <w:t>Scalable across hybrid, multi-cloud, and multi-tenant environments without redesigning the policy model.</w:t>
      </w:r>
    </w:p>
    <w:p w14:paraId="6C41BA2B" w14:textId="77777777" w:rsidR="00FA4360" w:rsidRDefault="00000000">
      <w:pPr>
        <w:pStyle w:val="ListParagraph"/>
        <w:numPr>
          <w:ilvl w:val="0"/>
          <w:numId w:val="2"/>
        </w:numPr>
        <w:spacing w:after="60"/>
      </w:pPr>
      <w:r>
        <w:t>Aligns with the organization's Zero Trust maturity roadmap as defined by NIST SP 800-207.</w:t>
      </w:r>
    </w:p>
    <w:p w14:paraId="309004B9" w14:textId="77777777" w:rsidR="00FA4360" w:rsidRDefault="00000000">
      <w:pPr>
        <w:pStyle w:val="Heading2"/>
      </w:pPr>
      <w:r>
        <w:t>Executive Leadership</w:t>
      </w:r>
    </w:p>
    <w:p w14:paraId="201205D9" w14:textId="77777777" w:rsidR="00FA4360" w:rsidRDefault="00000000">
      <w:pPr>
        <w:pStyle w:val="ListParagraph"/>
        <w:numPr>
          <w:ilvl w:val="0"/>
          <w:numId w:val="2"/>
        </w:numPr>
        <w:spacing w:after="60"/>
      </w:pPr>
      <w:r>
        <w:t>Transforms firewall management from an artisanal operational task into a controlled, measurable engineering discipline.</w:t>
      </w:r>
    </w:p>
    <w:p w14:paraId="6E772B19" w14:textId="77777777" w:rsidR="00FA4360" w:rsidRDefault="00000000">
      <w:pPr>
        <w:pStyle w:val="ListParagraph"/>
        <w:numPr>
          <w:ilvl w:val="0"/>
          <w:numId w:val="2"/>
        </w:numPr>
        <w:spacing w:after="60"/>
      </w:pPr>
      <w:r>
        <w:t>Reduces operational risk by eliminating the human errors inherent in manual IP-centric rule management.</w:t>
      </w:r>
    </w:p>
    <w:p w14:paraId="6CBD530B" w14:textId="77777777" w:rsidR="00FA4360" w:rsidRDefault="00000000">
      <w:pPr>
        <w:pStyle w:val="ListParagraph"/>
        <w:numPr>
          <w:ilvl w:val="0"/>
          <w:numId w:val="2"/>
        </w:numPr>
        <w:spacing w:after="60"/>
      </w:pPr>
      <w:r>
        <w:t>Accelerates application delivery by removing firewall policy as a bottleneck in deployment pipelines.</w:t>
      </w:r>
    </w:p>
    <w:p w14:paraId="3627BBAB" w14:textId="77777777" w:rsidR="00FA4360" w:rsidRDefault="00000000">
      <w:pPr>
        <w:pStyle w:val="ListParagraph"/>
        <w:numPr>
          <w:ilvl w:val="0"/>
          <w:numId w:val="2"/>
        </w:numPr>
        <w:spacing w:after="60"/>
      </w:pPr>
      <w:r>
        <w:lastRenderedPageBreak/>
        <w:t>Provides quantifiable metrics: rule count, drift rate, time-to-enforce, policy coverage, and compliance posture.</w:t>
      </w:r>
    </w:p>
    <w:p w14:paraId="2D574D8A" w14:textId="77777777" w:rsidR="00FA4360" w:rsidRDefault="00000000">
      <w:pPr>
        <w:pStyle w:val="Heading1"/>
        <w:pageBreakBefore/>
      </w:pPr>
      <w:r>
        <w:lastRenderedPageBreak/>
        <w:t>11. CONCLUSION</w:t>
      </w:r>
    </w:p>
    <w:p w14:paraId="09466660" w14:textId="77777777" w:rsidR="00FA4360" w:rsidRDefault="00000000">
      <w:r>
        <w:t xml:space="preserve">Traditional firewall rules — source IP, ephemeral ports, destination IP, service port — remain the enforcement truth. No architecture can or should attempt to escape this reality. The packets that traverse a firewall are and will always be governed by the deterministic logic of source address, destination address, port, protocol, and state. What changes is who </w:t>
      </w:r>
      <w:proofErr w:type="gramStart"/>
      <w:r>
        <w:t>defines</w:t>
      </w:r>
      <w:proofErr w:type="gramEnd"/>
      <w:r>
        <w:t xml:space="preserve"> them and how they are governed.</w:t>
      </w:r>
    </w:p>
    <w:p w14:paraId="6CD2300A" w14:textId="77777777" w:rsidR="00FA4360" w:rsidRDefault="00000000">
      <w:r>
        <w:t>By consuming application inventory and infrastructure data through a normalized Common Connectivity Dataset, and by organizing firewall objects into a tiered hierarchy aligned with Consumer-to-Application, Application-to-Application, and Application-to-External-Service traffic flows, enterprises can transform firewall management from a brittle, IP-centric practice into a scalable, intent-driven, policy-governed engineering discipline.</w:t>
      </w:r>
    </w:p>
    <w:p w14:paraId="5689CE31" w14:textId="77777777" w:rsidR="00FA4360" w:rsidRDefault="00000000">
      <w:r>
        <w:t>The architecture presented in this paper preserves packet-level determinism while elevating humans from the mechanics of network addressing to the expression of application intent. It enforces the binding invariants, lifecycle governance, and compliance constraints that manual processes cannot sustain at enterprise scale. It aligns with NIST SP 800-207 Zero Trust principles not as an aspiration but as an engineering property of the system.</w:t>
      </w:r>
    </w:p>
    <w:p w14:paraId="7FB810A1" w14:textId="77777777" w:rsidR="00FA4360" w:rsidRDefault="00000000">
      <w:r>
        <w:t>The result is an approach to firewall management that achieves three objectives simultaneously: security correctness through deterministic policy compilation and drift detection, operational scalability through stable rules and volatile membership, and long-term sustainability through automated lifecycle governance and full audit traceability.</w:t>
      </w:r>
    </w:p>
    <w:p w14:paraId="5362E0BB" w14:textId="77777777" w:rsidR="00FA4360" w:rsidRDefault="00000000">
      <w:pPr>
        <w:pStyle w:val="Heading1"/>
        <w:pageBreakBefore/>
      </w:pPr>
      <w:r>
        <w:lastRenderedPageBreak/>
        <w:t>REFERENCES</w:t>
      </w:r>
    </w:p>
    <w:p w14:paraId="135443AC" w14:textId="77777777" w:rsidR="00FA4360" w:rsidRDefault="00000000">
      <w:pPr>
        <w:spacing w:after="60"/>
        <w:ind w:left="360" w:hanging="360"/>
      </w:pPr>
      <w:r>
        <w:rPr>
          <w:sz w:val="20"/>
          <w:szCs w:val="20"/>
        </w:rPr>
        <w:t>[1]  National Institute of Standards and Technology, "Zero Trust Architecture," NIST SP 800-207, August 2020. https://nvlpubs.nist.gov/nistpubs/specialpublications/NIST.SP.800-207.pdf</w:t>
      </w:r>
    </w:p>
    <w:p w14:paraId="22B4D9E1" w14:textId="77777777" w:rsidR="00FA4360" w:rsidRDefault="00000000">
      <w:pPr>
        <w:spacing w:after="60"/>
        <w:ind w:left="360" w:hanging="360"/>
      </w:pPr>
      <w:r>
        <w:rPr>
          <w:sz w:val="20"/>
          <w:szCs w:val="20"/>
        </w:rPr>
        <w:t>[2]  Palo Alto Networks, "Use Dynamic Address Groups in Policy," PAN-OS Administrator's Guide. https://docs.paloaltonetworks.com/pan-os/11-1/pan-os-admin/policy/monitor-changes-in-the-virtual-environment/use-dynamic-address-groups-in-policy</w:t>
      </w:r>
    </w:p>
    <w:p w14:paraId="0F174FA7" w14:textId="77777777" w:rsidR="00FA4360" w:rsidRDefault="00000000">
      <w:pPr>
        <w:spacing w:after="60"/>
        <w:ind w:left="360" w:hanging="360"/>
      </w:pPr>
      <w:r>
        <w:rPr>
          <w:sz w:val="20"/>
          <w:szCs w:val="20"/>
        </w:rPr>
        <w:t>[3]  Palo Alto Networks, "How to Segment Data Center Applications," Best Practices Guide. https://docs.paloaltonetworks.com/best-practices/10-2/data-center-best-practices/data-center-best-practice-security-policy/create-a-data-center-segmentation-strategy/how-to-segment-data-center-applications</w:t>
      </w:r>
    </w:p>
    <w:p w14:paraId="0C577504" w14:textId="77777777" w:rsidR="00FA4360" w:rsidRDefault="00000000">
      <w:pPr>
        <w:spacing w:after="60"/>
        <w:ind w:left="360" w:hanging="360"/>
      </w:pPr>
      <w:r>
        <w:rPr>
          <w:sz w:val="20"/>
          <w:szCs w:val="20"/>
        </w:rPr>
        <w:t>[4]  Cisco Systems, "Introducing Intent-Based Policy Management for Cisco Hybrid Mesh Firewall," Cisco Security Blog, January 2026. https://blogs.cisco.com/security/introducing-intent-based-policy-management-for-cisco-hybrid-mesh-firewall</w:t>
      </w:r>
    </w:p>
    <w:p w14:paraId="1230C88A" w14:textId="77777777" w:rsidR="00FA4360" w:rsidRDefault="00000000">
      <w:pPr>
        <w:spacing w:after="60"/>
        <w:ind w:left="360" w:hanging="360"/>
      </w:pPr>
      <w:r>
        <w:rPr>
          <w:sz w:val="20"/>
          <w:szCs w:val="20"/>
        </w:rPr>
        <w:t>[5]  Palo Alto Networks, "Policy Object: Address Groups," Security Policy Administration Guide. https://docs.paloaltonetworks.com/network-security/security-policy/administration/objects/address-groups</w:t>
      </w:r>
    </w:p>
    <w:sectPr w:rsidR="00FA4360">
      <w:headerReference w:type="default" r:id="rId7"/>
      <w:pgSz w:w="12240" w:h="15840"/>
      <w:pgMar w:top="1440" w:right="1656" w:bottom="1440" w:left="165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73D4B" w14:textId="77777777" w:rsidR="008D4D07" w:rsidRDefault="008D4D07">
      <w:pPr>
        <w:spacing w:after="0" w:line="240" w:lineRule="auto"/>
      </w:pPr>
      <w:r>
        <w:separator/>
      </w:r>
    </w:p>
  </w:endnote>
  <w:endnote w:type="continuationSeparator" w:id="0">
    <w:p w14:paraId="0559C275" w14:textId="77777777" w:rsidR="008D4D07" w:rsidRDefault="008D4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BEF37" w14:textId="77777777" w:rsidR="008D4D07" w:rsidRDefault="008D4D07">
      <w:pPr>
        <w:spacing w:after="0" w:line="240" w:lineRule="auto"/>
      </w:pPr>
      <w:r>
        <w:separator/>
      </w:r>
    </w:p>
  </w:footnote>
  <w:footnote w:type="continuationSeparator" w:id="0">
    <w:p w14:paraId="587B5028" w14:textId="77777777" w:rsidR="008D4D07" w:rsidRDefault="008D4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0C9A" w14:textId="77777777" w:rsidR="00FA4360" w:rsidRDefault="00000000">
    <w:pPr>
      <w:tabs>
        <w:tab w:val="right" w:pos="8928"/>
      </w:tabs>
    </w:pPr>
    <w:r>
      <w:rPr>
        <w:i/>
        <w:iCs/>
        <w:color w:val="888888"/>
        <w:sz w:val="16"/>
        <w:szCs w:val="16"/>
      </w:rPr>
      <w:t>Application-Centric Firewall Rule Delivery</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326A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326AB">
      <w:rPr>
        <w:noProof/>
        <w:color w:val="888888"/>
        <w:sz w:val="16"/>
        <w:szCs w:val="16"/>
      </w:rPr>
      <w:t>2</w:t>
    </w:r>
    <w:r>
      <w:rPr>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91D65"/>
    <w:multiLevelType w:val="hybridMultilevel"/>
    <w:tmpl w:val="3B56B198"/>
    <w:lvl w:ilvl="0" w:tplc="97285CA8">
      <w:start w:val="1"/>
      <w:numFmt w:val="bullet"/>
      <w:lvlText w:val="●"/>
      <w:lvlJc w:val="left"/>
      <w:pPr>
        <w:ind w:left="720" w:hanging="360"/>
      </w:pPr>
    </w:lvl>
    <w:lvl w:ilvl="1" w:tplc="2C6EFEB4">
      <w:start w:val="1"/>
      <w:numFmt w:val="bullet"/>
      <w:lvlText w:val="○"/>
      <w:lvlJc w:val="left"/>
      <w:pPr>
        <w:ind w:left="1440" w:hanging="360"/>
      </w:pPr>
    </w:lvl>
    <w:lvl w:ilvl="2" w:tplc="D284C848">
      <w:start w:val="1"/>
      <w:numFmt w:val="bullet"/>
      <w:lvlText w:val="■"/>
      <w:lvlJc w:val="left"/>
      <w:pPr>
        <w:ind w:left="2160" w:hanging="360"/>
      </w:pPr>
    </w:lvl>
    <w:lvl w:ilvl="3" w:tplc="0C2C3212">
      <w:start w:val="1"/>
      <w:numFmt w:val="bullet"/>
      <w:lvlText w:val="●"/>
      <w:lvlJc w:val="left"/>
      <w:pPr>
        <w:ind w:left="2880" w:hanging="360"/>
      </w:pPr>
    </w:lvl>
    <w:lvl w:ilvl="4" w:tplc="50540396">
      <w:start w:val="1"/>
      <w:numFmt w:val="bullet"/>
      <w:lvlText w:val="○"/>
      <w:lvlJc w:val="left"/>
      <w:pPr>
        <w:ind w:left="3600" w:hanging="360"/>
      </w:pPr>
    </w:lvl>
    <w:lvl w:ilvl="5" w:tplc="D3446116">
      <w:start w:val="1"/>
      <w:numFmt w:val="bullet"/>
      <w:lvlText w:val="■"/>
      <w:lvlJc w:val="left"/>
      <w:pPr>
        <w:ind w:left="4320" w:hanging="360"/>
      </w:pPr>
    </w:lvl>
    <w:lvl w:ilvl="6" w:tplc="F6E4125A">
      <w:start w:val="1"/>
      <w:numFmt w:val="bullet"/>
      <w:lvlText w:val="●"/>
      <w:lvlJc w:val="left"/>
      <w:pPr>
        <w:ind w:left="5040" w:hanging="360"/>
      </w:pPr>
    </w:lvl>
    <w:lvl w:ilvl="7" w:tplc="70C8231C">
      <w:start w:val="1"/>
      <w:numFmt w:val="bullet"/>
      <w:lvlText w:val="●"/>
      <w:lvlJc w:val="left"/>
      <w:pPr>
        <w:ind w:left="5760" w:hanging="360"/>
      </w:pPr>
    </w:lvl>
    <w:lvl w:ilvl="8" w:tplc="5CD496B0">
      <w:start w:val="1"/>
      <w:numFmt w:val="bullet"/>
      <w:lvlText w:val="●"/>
      <w:lvlJc w:val="left"/>
      <w:pPr>
        <w:ind w:left="6480" w:hanging="360"/>
      </w:pPr>
    </w:lvl>
  </w:abstractNum>
  <w:abstractNum w:abstractNumId="1" w15:restartNumberingAfterBreak="0">
    <w:nsid w:val="4D167A5D"/>
    <w:multiLevelType w:val="hybridMultilevel"/>
    <w:tmpl w:val="23E6A53A"/>
    <w:lvl w:ilvl="0" w:tplc="3C120274">
      <w:start w:val="1"/>
      <w:numFmt w:val="bullet"/>
      <w:lvlText w:val="•"/>
      <w:lvlJc w:val="left"/>
      <w:pPr>
        <w:ind w:left="720" w:hanging="360"/>
      </w:pPr>
    </w:lvl>
    <w:lvl w:ilvl="1" w:tplc="6074CEE8">
      <w:numFmt w:val="decimal"/>
      <w:lvlText w:val=""/>
      <w:lvlJc w:val="left"/>
    </w:lvl>
    <w:lvl w:ilvl="2" w:tplc="3FD43900">
      <w:numFmt w:val="decimal"/>
      <w:lvlText w:val=""/>
      <w:lvlJc w:val="left"/>
    </w:lvl>
    <w:lvl w:ilvl="3" w:tplc="1F7665D6">
      <w:numFmt w:val="decimal"/>
      <w:lvlText w:val=""/>
      <w:lvlJc w:val="left"/>
    </w:lvl>
    <w:lvl w:ilvl="4" w:tplc="26E81886">
      <w:numFmt w:val="decimal"/>
      <w:lvlText w:val=""/>
      <w:lvlJc w:val="left"/>
    </w:lvl>
    <w:lvl w:ilvl="5" w:tplc="5686C986">
      <w:numFmt w:val="decimal"/>
      <w:lvlText w:val=""/>
      <w:lvlJc w:val="left"/>
    </w:lvl>
    <w:lvl w:ilvl="6" w:tplc="D3284B94">
      <w:numFmt w:val="decimal"/>
      <w:lvlText w:val=""/>
      <w:lvlJc w:val="left"/>
    </w:lvl>
    <w:lvl w:ilvl="7" w:tplc="F0241508">
      <w:numFmt w:val="decimal"/>
      <w:lvlText w:val=""/>
      <w:lvlJc w:val="left"/>
    </w:lvl>
    <w:lvl w:ilvl="8" w:tplc="14205350">
      <w:numFmt w:val="decimal"/>
      <w:lvlText w:val=""/>
      <w:lvlJc w:val="left"/>
    </w:lvl>
  </w:abstractNum>
  <w:num w:numId="1" w16cid:durableId="726421041">
    <w:abstractNumId w:val="0"/>
    <w:lvlOverride w:ilvl="0">
      <w:startOverride w:val="1"/>
    </w:lvlOverride>
  </w:num>
  <w:num w:numId="2" w16cid:durableId="76564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360"/>
    <w:rsid w:val="003326AB"/>
    <w:rsid w:val="00552E3C"/>
    <w:rsid w:val="008D4D07"/>
    <w:rsid w:val="00FA4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875AC2"/>
  <w15:docId w15:val="{9AC3D000-49D8-894A-A330-24E4A4DD7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line="276"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left"/>
      <w:outlineLvl w:val="0"/>
    </w:pPr>
    <w:rPr>
      <w:b/>
      <w:bCs/>
      <w:caps/>
      <w:sz w:val="26"/>
      <w:szCs w:val="26"/>
    </w:rPr>
  </w:style>
  <w:style w:type="paragraph" w:styleId="Heading2">
    <w:name w:val="heading 2"/>
    <w:uiPriority w:val="9"/>
    <w:unhideWhenUsed/>
    <w:qFormat/>
    <w:pPr>
      <w:spacing w:before="280"/>
      <w:jc w:val="left"/>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5346</Words>
  <Characters>35933</Characters>
  <Application>Microsoft Office Word</Application>
  <DocSecurity>0</DocSecurity>
  <Lines>674</Lines>
  <Paragraphs>349</Paragraphs>
  <ScaleCrop>false</ScaleCrop>
  <Company/>
  <LinksUpToDate>false</LinksUpToDate>
  <CharactersWithSpaces>41429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Martin</cp:lastModifiedBy>
  <cp:revision>2</cp:revision>
  <dcterms:created xsi:type="dcterms:W3CDTF">2026-03-26T18:07:00Z</dcterms:created>
  <dcterms:modified xsi:type="dcterms:W3CDTF">2026-03-26T18:48:00Z</dcterms:modified>
</cp:coreProperties>
</file>