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Executive Summary: Application- and Service-Centric</w:t>
      </w:r>
    </w:p>
    <w:p>
      <w:pPr>
        <w:spacing w:after="120"/>
        <w:jc w:val="center"/>
      </w:pPr>
      <w:r>
        <w:rPr>
          <w:rFonts w:ascii="Times New Roman" w:cs="Times New Roman" w:eastAsia="Times New Roman" w:hAnsi="Times New Roman"/>
          <w:b/>
          <w:bCs/>
          <w:sz w:val="32"/>
          <w:szCs w:val="32"/>
        </w:rPr>
        <w:t xml:space="preserve">Firewall Rule Delivery Architecture</w:t>
      </w:r>
    </w:p>
    <w:p>
      <w:pPr>
        <w:spacing w:after="60"/>
        <w:jc w:val="center"/>
      </w:pPr>
      <w:r>
        <w:rPr>
          <w:rFonts w:ascii="Times New Roman" w:cs="Times New Roman" w:eastAsia="Times New Roman" w:hAnsi="Times New Roman"/>
          <w:sz w:val="22"/>
          <w:szCs w:val="22"/>
        </w:rPr>
        <w:t xml:space="preserve"/>
      </w:r>
    </w:p>
    <w:p>
      <w:pPr>
        <w:spacing w:after="60"/>
        <w:jc w:val="center"/>
      </w:pPr>
      <w:r>
        <w:rPr>
          <w:rFonts w:ascii="Times New Roman" w:cs="Times New Roman" w:eastAsia="Times New Roman" w:hAnsi="Times New Roman"/>
          <w:sz w:val="22"/>
          <w:szCs w:val="22"/>
        </w:rPr>
        <w:t xml:space="preserve">Michael J. Martin</w:t>
      </w:r>
    </w:p>
    <w:p>
      <w:pPr>
        <w:spacing w:after="60"/>
        <w:jc w:val="center"/>
      </w:pPr>
      <w:r>
        <w:rPr>
          <w:rFonts w:ascii="Times New Roman" w:cs="Times New Roman" w:eastAsia="Times New Roman" w:hAnsi="Times New Roman"/>
          <w:sz w:val="20"/>
          <w:szCs w:val="20"/>
        </w:rPr>
        <w:t xml:space="preserve">Lead Director, Information Security</w:t>
      </w:r>
    </w:p>
    <w:p>
      <w:pPr>
        <w:spacing w:after="60"/>
        <w:jc w:val="center"/>
      </w:pPr>
      <w:r>
        <w:rPr>
          <w:rFonts w:ascii="Times New Roman" w:cs="Times New Roman" w:eastAsia="Times New Roman" w:hAnsi="Times New Roman"/>
          <w:sz w:val="20"/>
          <w:szCs w:val="20"/>
        </w:rPr>
        <w:t xml:space="preserve">Enterprise Information Security</w:t>
      </w:r>
    </w:p>
    <w:p>
      <w:pPr>
        <w:spacing w:after="60"/>
        <w:jc w:val="center"/>
      </w:pPr>
      <w:r>
        <w:rPr>
          <w:rFonts w:ascii="Times New Roman" w:cs="Times New Roman" w:eastAsia="Times New Roman" w:hAnsi="Times New Roman"/>
          <w:sz w:val="20"/>
          <w:szCs w:val="20"/>
        </w:rPr>
        <w:t xml:space="preserve"/>
      </w:r>
    </w:p>
    <w:p>
      <w:pPr>
        <w:spacing w:after="60"/>
        <w:jc w:val="center"/>
      </w:pPr>
      <w:r>
        <w:rPr>
          <w:rFonts w:ascii="Times New Roman" w:cs="Times New Roman" w:eastAsia="Times New Roman" w:hAnsi="Times New Roman"/>
          <w:sz w:val="20"/>
          <w:szCs w:val="20"/>
        </w:rPr>
        <w:t xml:space="preserve">Version 1.0 — March 2026</w:t>
      </w:r>
    </w:p>
    <w:p>
      <w:pPr>
        <w:spacing w:after="120"/>
        <w:jc w:val="center"/>
      </w:pPr>
      <w:r>
        <w:rPr>
          <w:rFonts w:ascii="Times New Roman" w:cs="Times New Roman" w:eastAsia="Times New Roman" w:hAnsi="Times New Roman"/>
          <w:sz w:val="20"/>
          <w:szCs w:val="20"/>
        </w:rPr>
        <w:t xml:space="preserve">Classification: Internal — Executive Summary</w:t>
      </w:r>
    </w:p>
    <w:p>
      <w:r>
        <w:br w:type="page"/>
      </w:r>
    </w:p>
    <w:p>
      <w:pPr>
        <w:pStyle w:val="Heading1"/>
      </w:pPr>
      <w:r>
        <w:rPr>
          <w:rFonts w:ascii="Times New Roman" w:cs="Times New Roman" w:eastAsia="Times New Roman" w:hAnsi="Times New Roman"/>
          <w:b/>
          <w:bCs/>
          <w:caps/>
          <w:sz w:val="26"/>
          <w:szCs w:val="26"/>
        </w:rPr>
        <w:t xml:space="preserve">THE CHALLENGE</w:t>
      </w:r>
    </w:p>
    <w:p>
      <w:pPr>
        <w:spacing w:after="120" w:line="276" w:lineRule="exact"/>
        <w:jc w:val="both"/>
      </w:pPr>
      <w:r>
        <w:rPr>
          <w:rFonts w:ascii="Times New Roman" w:cs="Times New Roman" w:eastAsia="Times New Roman" w:hAnsi="Times New Roman"/>
          <w:sz w:val="22"/>
          <w:szCs w:val="22"/>
        </w:rPr>
        <w:t xml:space="preserve">Enterprise firewall management remains one of the most operationally expensive and risk-prone disciplines in information security. Most organizations manage firewalls by writing rules that reference individual IP addresses and port numbers—a model inherited from the 1990s that has not kept pace with modern application environments.</w:t>
      </w:r>
    </w:p>
    <w:p>
      <w:pPr>
        <w:spacing w:after="120" w:line="276" w:lineRule="exact"/>
        <w:jc w:val="both"/>
      </w:pPr>
      <w:r>
        <w:rPr>
          <w:rFonts w:ascii="Times New Roman" w:cs="Times New Roman" w:eastAsia="Times New Roman" w:hAnsi="Times New Roman"/>
          <w:sz w:val="22"/>
          <w:szCs w:val="22"/>
        </w:rPr>
        <w:t xml:space="preserve">The consequences are well-documented: tens of thousands of rules per firewall pair, many of which are redundant or orphaned; no reliable record of why a rule exists or who owns it; manual effort measured in days or weeks for each connectivity change; and audit processes that require forensic reconstruction of business intent from network artifacts.</w:t>
      </w:r>
    </w:p>
    <w:p>
      <w:pPr>
        <w:spacing w:after="120" w:line="276" w:lineRule="exact"/>
        <w:jc w:val="both"/>
      </w:pPr>
      <w:r>
        <w:rPr>
          <w:rFonts w:ascii="Times New Roman" w:cs="Times New Roman" w:eastAsia="Times New Roman" w:hAnsi="Times New Roman"/>
          <w:sz w:val="22"/>
          <w:szCs w:val="22"/>
        </w:rPr>
        <w:t xml:space="preserve">Three specific gaps drive these failures: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Firewall rules encode IP addresses, not application identity. When infrastructure changes, rules break.</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No standard intermediate dataset exists that connects application inventory to firewall policy.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Enterprise traffic spans three distinct flow classes—end-user access, internal application communication, and external service consumption—each requiring different governance, but most organizations treat them identically.</w:t>
      </w:r>
    </w:p>
    <w:p>
      <w:pPr>
        <w:pStyle w:val="Heading1"/>
      </w:pPr>
      <w:r>
        <w:rPr>
          <w:rFonts w:ascii="Times New Roman" w:cs="Times New Roman" w:eastAsia="Times New Roman" w:hAnsi="Times New Roman"/>
          <w:b/>
          <w:bCs/>
          <w:caps/>
          <w:sz w:val="26"/>
          <w:szCs w:val="26"/>
        </w:rPr>
        <w:t xml:space="preserve">THE ARCHITECTURE</w:t>
      </w:r>
    </w:p>
    <w:p>
      <w:pPr>
        <w:spacing w:after="120" w:line="276" w:lineRule="exact"/>
        <w:jc w:val="both"/>
      </w:pPr>
      <w:r>
        <w:rPr>
          <w:rFonts w:ascii="Times New Roman" w:cs="Times New Roman" w:eastAsia="Times New Roman" w:hAnsi="Times New Roman"/>
          <w:sz w:val="22"/>
          <w:szCs w:val="22"/>
        </w:rPr>
        <w:t xml:space="preserve">This architecture solves these problems by introducing three capabilities that transform firewall management from a manual, IP-centric process into an automated, application-aware discipline.</w:t>
      </w:r>
    </w:p>
    <w:p>
      <w:pPr>
        <w:pStyle w:val="Heading2"/>
      </w:pPr>
      <w:r>
        <w:rPr>
          <w:rFonts w:ascii="Times New Roman" w:cs="Times New Roman" w:eastAsia="Times New Roman" w:hAnsi="Times New Roman"/>
          <w:b/>
          <w:bCs/>
          <w:sz w:val="22"/>
          <w:szCs w:val="22"/>
        </w:rPr>
        <w:t xml:space="preserve">A Normalized Data Foundation (the Common Connectivity Dataset)</w:t>
      </w:r>
    </w:p>
    <w:p>
      <w:pPr>
        <w:spacing w:after="120" w:line="276" w:lineRule="exact"/>
        <w:jc w:val="both"/>
      </w:pPr>
      <w:r>
        <w:rPr>
          <w:rFonts w:ascii="Times New Roman" w:cs="Times New Roman" w:eastAsia="Times New Roman" w:hAnsi="Times New Roman"/>
          <w:sz w:val="22"/>
          <w:szCs w:val="22"/>
        </w:rPr>
        <w:t xml:space="preserve">The architecture consumes two existing enterprise data sources: an Application Definition Layer (ADL) that defines what applications exist, and an Enterprise Network Asset Dataset that reflects what is deployed on the network. These are joined through strict validation rules into a Common Connectivity Dataset (CCD) that serves as the single source of truth for all firewall automation.</w:t>
      </w:r>
    </w:p>
    <w:p>
      <w:pPr>
        <w:spacing w:after="120" w:line="276" w:lineRule="exact"/>
        <w:jc w:val="both"/>
      </w:pPr>
      <w:r>
        <w:rPr>
          <w:rFonts w:ascii="Times New Roman" w:cs="Times New Roman" w:eastAsia="Times New Roman" w:hAnsi="Times New Roman"/>
          <w:sz w:val="22"/>
          <w:szCs w:val="22"/>
        </w:rPr>
        <w:t xml:space="preserve">A third source, an External Service Registry, governs approved connections to SaaS, cloud, and third-party services. Nothing reaches the firewall except through the CCD. This design eliminates the ambiguity that plagues traditional rule bases: every firewall object traces directly to a validated data source.</w:t>
      </w:r>
    </w:p>
    <w:p>
      <w:pPr>
        <w:pStyle w:val="Heading2"/>
      </w:pPr>
      <w:r>
        <w:rPr>
          <w:rFonts w:ascii="Times New Roman" w:cs="Times New Roman" w:eastAsia="Times New Roman" w:hAnsi="Times New Roman"/>
          <w:b/>
          <w:bCs/>
          <w:sz w:val="22"/>
          <w:szCs w:val="22"/>
        </w:rPr>
        <w:t xml:space="preserve">A Tiered Object Hierarchy</w:t>
      </w:r>
    </w:p>
    <w:p>
      <w:pPr>
        <w:spacing w:after="120" w:line="276" w:lineRule="exact"/>
        <w:jc w:val="both"/>
      </w:pPr>
      <w:r>
        <w:rPr>
          <w:rFonts w:ascii="Times New Roman" w:cs="Times New Roman" w:eastAsia="Times New Roman" w:hAnsi="Times New Roman"/>
          <w:sz w:val="22"/>
          <w:szCs w:val="22"/>
        </w:rPr>
        <w:t xml:space="preserve">Firewall objects are organized into three tiers aligned with traffic flow classes:</w:t>
      </w:r>
    </w:p>
    <w:p>
      <w:pPr>
        <w:spacing w:after="80" w:before="120"/>
        <w:jc w:val="center"/>
      </w:pPr>
      <w:r>
        <w:rPr>
          <w:rFonts w:ascii="Times New Roman" w:cs="Times New Roman" w:eastAsia="Times New Roman" w:hAnsi="Times New Roman"/>
          <w:i/>
          <w:iCs/>
          <w:sz w:val="20"/>
          <w:szCs w:val="20"/>
        </w:rPr>
        <w:t xml:space="preserve">Table 1. Tiered Object Model</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364"/>
        <w:gridCol w:w="3364"/>
      </w:tblGrid>
      <w:t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Tier</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Purpose</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Example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Tier 1 — Consumer</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End-user and endpoint access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grp_consumer_corporate_wired_dc1</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Tier 2 — Application</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Internal app-to-app communication</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grp_app_APM0011395_PROD</w:t>
            </w:r>
          </w:p>
        </w:tc>
      </w:tr>
      <w:t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Tier 3 — External</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SaaS, IaaS, and third-party services</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grp_ext_saas_salesforce</w:t>
            </w:r>
          </w:p>
        </w:tc>
      </w:tr>
    </w:tbl>
    <w:p>
      <w:pPr>
        <w:spacing w:after="120" w:line="276" w:lineRule="exact"/>
        <w:jc w:val="both"/>
      </w:pPr>
      <w:r>
        <w:rPr>
          <w:rFonts w:ascii="Times New Roman" w:cs="Times New Roman" w:eastAsia="Times New Roman" w:hAnsi="Times New Roman"/>
          <w:sz w:val="22"/>
          <w:szCs w:val="22"/>
        </w:rPr>
        <w:t xml:space="preserve">Each tier has defined naming conventions, ownership rules, and lifecycle management. Rules reference these groups—not individual IPs. When infrastructure changes, group membership updates automatically; the rules remain stable. This decoupling is the fundamental shift: rules become durable expressions of policy rather than brittle references to transient addresses.</w:t>
      </w:r>
    </w:p>
    <w:p>
      <w:pPr>
        <w:pStyle w:val="Heading2"/>
      </w:pPr>
      <w:r>
        <w:rPr>
          <w:rFonts w:ascii="Times New Roman" w:cs="Times New Roman" w:eastAsia="Times New Roman" w:hAnsi="Times New Roman"/>
          <w:b/>
          <w:bCs/>
          <w:sz w:val="22"/>
          <w:szCs w:val="22"/>
        </w:rPr>
        <w:t xml:space="preserve">Intent-Driven Policy Compilation</w:t>
      </w:r>
    </w:p>
    <w:p>
      <w:pPr>
        <w:spacing w:after="120" w:line="276" w:lineRule="exact"/>
        <w:jc w:val="both"/>
      </w:pPr>
      <w:r>
        <w:rPr>
          <w:rFonts w:ascii="Times New Roman" w:cs="Times New Roman" w:eastAsia="Times New Roman" w:hAnsi="Times New Roman"/>
          <w:sz w:val="22"/>
          <w:szCs w:val="22"/>
        </w:rPr>
        <w:t xml:space="preserve">Application teams request connectivity in business terms: “Payments Service needs HTTPS access to the Visa Settlement API.” The system automatically resolves application groups, validates compliance boundaries, and generates the traditional firewall enforcement rule—source IP, ephemeral ports, destination IP, service port—without human intervention.</w:t>
      </w:r>
    </w:p>
    <w:p>
      <w:pPr>
        <w:spacing w:after="120" w:line="276" w:lineRule="exact"/>
        <w:jc w:val="both"/>
      </w:pPr>
      <w:r>
        <w:rPr>
          <w:rFonts w:ascii="Times New Roman" w:cs="Times New Roman" w:eastAsia="Times New Roman" w:hAnsi="Times New Roman"/>
          <w:sz w:val="22"/>
          <w:szCs w:val="22"/>
        </w:rPr>
        <w:t xml:space="preserve">The packet-level rule is preserved exactly as enterprises expect it; only the authorship changes from manual to automated. Security teams retain full visibility into the compiled output, and every generated rule carries metadata linking it to the original business request, the authorizing policy, and the application owner.</w:t>
      </w:r>
    </w:p>
    <w:p>
      <w:pPr>
        <w:pStyle w:val="Heading1"/>
      </w:pPr>
      <w:r>
        <w:rPr>
          <w:rFonts w:ascii="Times New Roman" w:cs="Times New Roman" w:eastAsia="Times New Roman" w:hAnsi="Times New Roman"/>
          <w:b/>
          <w:bCs/>
          <w:caps/>
          <w:sz w:val="26"/>
          <w:szCs w:val="26"/>
        </w:rPr>
        <w:t xml:space="preserve">KEY OUTCOMES</w:t>
      </w:r>
    </w:p>
    <w:p>
      <w:pPr>
        <w:spacing w:after="60" w:before="140" w:line="276" w:lineRule="exact"/>
        <w:jc w:val="both"/>
      </w:pPr>
      <w:r>
        <w:rPr>
          <w:rFonts w:ascii="Times New Roman" w:cs="Times New Roman" w:eastAsia="Times New Roman" w:hAnsi="Times New Roman"/>
          <w:b/>
          <w:bCs/>
          <w:sz w:val="22"/>
          <w:szCs w:val="22"/>
        </w:rPr>
        <w:t xml:space="preserve">Security Operations: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Rule count reduced through group-based reuse instead of per-request rule creation.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Drift detection identifies unauthorized manual changes within hours, not months.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Automated expiration eliminates stale rules—the largest source of audit findings.</w:t>
      </w:r>
    </w:p>
    <w:p>
      <w:pPr>
        <w:spacing w:after="60" w:before="140" w:line="276" w:lineRule="exact"/>
        <w:jc w:val="both"/>
      </w:pPr>
      <w:r>
        <w:rPr>
          <w:rFonts w:ascii="Times New Roman" w:cs="Times New Roman" w:eastAsia="Times New Roman" w:hAnsi="Times New Roman"/>
          <w:b/>
          <w:bCs/>
          <w:sz w:val="22"/>
          <w:szCs w:val="22"/>
        </w:rPr>
        <w:t xml:space="preserve">Application Teams: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Self-service connectivity requests using application names, not IP addresses.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Request fulfillment measured in minutes for low-risk flows, not days or weeks.</w:t>
      </w:r>
    </w:p>
    <w:p>
      <w:pPr>
        <w:spacing w:after="60" w:before="140" w:line="276" w:lineRule="exact"/>
        <w:jc w:val="both"/>
      </w:pPr>
      <w:r>
        <w:rPr>
          <w:rFonts w:ascii="Times New Roman" w:cs="Times New Roman" w:eastAsia="Times New Roman" w:hAnsi="Times New Roman"/>
          <w:b/>
          <w:bCs/>
          <w:sz w:val="22"/>
          <w:szCs w:val="22"/>
        </w:rPr>
        <w:t xml:space="preserve">Audit and Compliance: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Every rule traces to a business justification, an owner, and an expiration date.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PCI, SOX, and HIPAA segmentation enforced through metadata-driven guardrails.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Evidence generation is automated—no manual firewall screenshots required.</w:t>
      </w:r>
    </w:p>
    <w:p>
      <w:pPr>
        <w:spacing w:after="60" w:before="140" w:line="276" w:lineRule="exact"/>
        <w:jc w:val="both"/>
      </w:pPr>
      <w:r>
        <w:rPr>
          <w:rFonts w:ascii="Times New Roman" w:cs="Times New Roman" w:eastAsia="Times New Roman" w:hAnsi="Times New Roman"/>
          <w:b/>
          <w:bCs/>
          <w:sz w:val="22"/>
          <w:szCs w:val="22"/>
        </w:rPr>
        <w:t xml:space="preserve">Executive Leadership:</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Firewall management shifts from artisanal operational work to a controlled engineering discipline.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Operational risk reduced by eliminating human error in IP-level rule construction.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Architecture aligns with NIST SP 800-207 Zero Trust principles and supports the organization’s security maturity roadmap.</w:t>
      </w:r>
    </w:p>
    <w:p>
      <w:pPr>
        <w:pStyle w:val="Heading1"/>
      </w:pPr>
      <w:r>
        <w:rPr>
          <w:rFonts w:ascii="Times New Roman" w:cs="Times New Roman" w:eastAsia="Times New Roman" w:hAnsi="Times New Roman"/>
          <w:b/>
          <w:bCs/>
          <w:caps/>
          <w:sz w:val="26"/>
          <w:szCs w:val="26"/>
        </w:rPr>
        <w:t xml:space="preserve">IMPLEMENTATION PATH</w:t>
      </w:r>
    </w:p>
    <w:p>
      <w:pPr>
        <w:spacing w:after="120" w:line="276" w:lineRule="exact"/>
        <w:jc w:val="both"/>
      </w:pPr>
      <w:r>
        <w:rPr>
          <w:rFonts w:ascii="Times New Roman" w:cs="Times New Roman" w:eastAsia="Times New Roman" w:hAnsi="Times New Roman"/>
          <w:sz w:val="22"/>
          <w:szCs w:val="22"/>
        </w:rPr>
        <w:t xml:space="preserve">The architecture is designed for Palo Alto Networks firewalls managed through Panorama but maintains vendor-neutral principles. It does not require replacing existing firewalls or re-architecting the network. Implementation is incremental:</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Phase 1: </w:t>
      </w:r>
      <w:r>
        <w:rPr>
          <w:rFonts w:ascii="Times New Roman" w:cs="Times New Roman" w:eastAsia="Times New Roman" w:hAnsi="Times New Roman"/>
          <w:sz w:val="22"/>
          <w:szCs w:val="22"/>
        </w:rPr>
        <w:t xml:space="preserve">Establish the CCD pipeline from existing ADL and network inventory data.</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Phase 2: </w:t>
      </w:r>
      <w:r>
        <w:rPr>
          <w:rFonts w:ascii="Times New Roman" w:cs="Times New Roman" w:eastAsia="Times New Roman" w:hAnsi="Times New Roman"/>
          <w:sz w:val="22"/>
          <w:szCs w:val="22"/>
        </w:rPr>
        <w:t xml:space="preserve">Deploy the tiered object model for the highest-volume application groups.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Phase 3: </w:t>
      </w:r>
      <w:r>
        <w:rPr>
          <w:rFonts w:ascii="Times New Roman" w:cs="Times New Roman" w:eastAsia="Times New Roman" w:hAnsi="Times New Roman"/>
          <w:sz w:val="22"/>
          <w:szCs w:val="22"/>
        </w:rPr>
        <w:t xml:space="preserve">Enable intent-driven policy compilation for new connectivity requests.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Phase 4: </w:t>
      </w:r>
      <w:r>
        <w:rPr>
          <w:rFonts w:ascii="Times New Roman" w:cs="Times New Roman" w:eastAsia="Times New Roman" w:hAnsi="Times New Roman"/>
          <w:sz w:val="22"/>
          <w:szCs w:val="22"/>
        </w:rPr>
        <w:t xml:space="preserve">Extend to external service governance and automated lifecycle management.</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Firewall Rule Delivery Architecture</w:t>
    </w:r>
    <w:r>
      <w:t xml:space="preserve">	</w:t>
    </w: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00" w:before="24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2026-03-26T19:06:02.735Z</dcterms:created>
  <dcterms:modified xsi:type="dcterms:W3CDTF">2026-03-26T19:06:02.735Z</dcterms:modified>
</cp:coreProperties>
</file>

<file path=docProps/custom.xml><?xml version="1.0" encoding="utf-8"?>
<Properties xmlns="http://schemas.openxmlformats.org/officeDocument/2006/custom-properties" xmlns:vt="http://schemas.openxmlformats.org/officeDocument/2006/docPropsVTypes"/>
</file>