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Governed Third-Party Connectivity and Identity-Driven Zero Trust: A Unified Architecture for Enterprise Exposure Management</w:t>
      </w:r>
    </w:p>
    <w:p>
      <w:pPr>
        <w:spacing w:after="60"/>
        <w:jc w:val="center"/>
      </w:pPr>
      <w:r>
        <w:rPr>
          <w:rFonts w:ascii="Times New Roman" w:cs="Times New Roman" w:eastAsia="Times New Roman" w:hAnsi="Times New Roman"/>
          <w:sz w:val="22"/>
          <w:szCs w:val="22"/>
        </w:rPr>
        <w:t xml:space="preserve">Michael J Martin</w:t>
      </w:r>
    </w:p>
    <w:p>
      <w:pPr>
        <w:spacing w:after="60"/>
        <w:jc w:val="center"/>
      </w:pPr>
      <w:r>
        <w:rPr>
          <w:rFonts w:ascii="Times New Roman" w:cs="Times New Roman" w:eastAsia="Times New Roman" w:hAnsi="Times New Roman"/>
          <w:sz w:val="22"/>
          <w:szCs w:val="22"/>
        </w:rPr>
        <w:t xml:space="preserve">Outlan.net</w:t>
      </w:r>
    </w:p>
    <w:p>
      <w:pPr>
        <w:spacing w:after="60"/>
        <w:jc w:val="center"/>
      </w:pPr>
      <w:r>
        <w:rPr>
          <w:rFonts w:ascii="Times New Roman" w:cs="Times New Roman" w:eastAsia="Times New Roman" w:hAnsi="Times New Roman"/>
          <w:sz w:val="20"/>
          <w:szCs w:val="20"/>
        </w:rPr>
        <w:t xml:space="preserve">Version 1.0 — March 2026</w:t>
      </w:r>
    </w:p>
    <w:p>
      <w:pPr>
        <w:spacing w:after="60"/>
        <w:jc w:val="center"/>
      </w:pPr>
      <w:r>
        <w:rPr>
          <w:rFonts w:ascii="Times New Roman" w:cs="Times New Roman" w:eastAsia="Times New Roman" w:hAnsi="Times New Roman"/>
          <w:sz w:val="20"/>
          <w:szCs w:val="20"/>
        </w:rPr>
        <w:t xml:space="preserve">Classification: Academic Working Paper — Enterprise Distribution</w:t>
      </w:r>
    </w:p>
    <w:p>
      <w:pPr>
        <w:spacing w:after="60"/>
        <w:jc w:val="center"/>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Zero Trust; ZTNA; Governed Connectivity; Tenant Isolation; Service Catalog; Identity Propagation; JWT; mTLS; Exposure Management; Lifecycle Governance; BeyondCorp; SPIFFE</w:t>
      </w:r>
    </w:p>
    <w:p>
      <w:pPr>
        <w:spacing w:after="60"/>
        <w:jc w:val="center"/>
      </w:pPr>
      <w:r>
        <w:rPr>
          <w:rFonts w:ascii="Times New Roman" w:cs="Times New Roman" w:eastAsia="Times New Roman" w:hAnsi="Times New Roman"/>
          <w:sz w:val="20"/>
          <w:szCs w:val="20"/>
        </w:rPr>
        <w:t xml:space="preserve">Status: Final Draft — Unified Edition</w:t>
      </w:r>
    </w:p>
    <w:p>
      <w:pPr>
        <w:spacing w:after="120" w:before="240"/>
        <w:jc w:val="center"/>
      </w:pPr>
      <w:r>
        <w:rPr>
          <w:rFonts w:ascii="Times New Roman" w:cs="Times New Roman" w:eastAsia="Times New Roman" w:hAnsi="Times New Roman"/>
          <w:b/>
          <w:bCs/>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Third-party connectivity has accumulated across enterprises as an ungoverned structural liability, while identity-driven Zero Trust controls — though conceptually sound — fail to compose cleanly in legacy application estates that cannot consume identity context natively. This unified paper addresses both dimensions of the problem within a single architectural framework. Parts I through III establish the governance operating model and technical architecture for treating third-party connectivity as bounded, lifecycle-managed exposure domains: structurally isolated Tenants, a product-agnostic service catalog, mediated service exposure, and deterministic lifecycle automation. Parts IV through VI then examine the identity enforcement layer that operates within those exposure domains, decomposing the identity stack into its verifiable primitives — identity issuance, claim transport (JWT), transport-level workload authentication (mTLS), brokerage, authorization, and identity propagation — and analyzing where each primitive fails in legacy estates. Part VII synthesizes the two frameworks, demonstrating that governed exposure infrastructure and identity-native enforcement are complementary and mutually reinforcing: the governance model provides the structural containers and lifecycle discipline within which identity controls can be progressively deployed, while the identity architecture provides the per-request accountability that governance alone cannot deliver. The result is a prescriptive progression model focused on measurable risk reduction, spanning both infrastructure governance and identity maturity. This integrated edition carries full technical appendices from both the governed exposure infrastructure domain (Appendices A through H) and the identity and Zero Trust architecture domain (Appendices I through O), including state machines for mTLS certificate lifecycle, JWT issuance and validation, per-request authorization flows, and end-to-end architectural comparisons.</w:t>
      </w:r>
    </w:p>
    <w:p>
      <w:r>
        <w:br w:type="page"/>
      </w:r>
    </w:p>
    <w:p>
      <w:pPr>
        <w:pStyle w:val="Heading1"/>
      </w:pPr>
      <w:r>
        <w:rPr>
          <w:rFonts w:ascii="Times New Roman" w:cs="Times New Roman" w:eastAsia="Times New Roman" w:hAnsi="Times New Roman"/>
          <w:b/>
          <w:bCs/>
          <w:caps/>
          <w:sz w:val="26"/>
          <w:szCs w:val="26"/>
        </w:rPr>
        <w:t xml:space="preserve">INTRODUCTION</w:t>
      </w:r>
    </w:p>
    <w:p>
      <w:pPr>
        <w:spacing w:after="120" w:line="276" w:lineRule="exact"/>
        <w:jc w:val="both"/>
      </w:pPr>
      <w:r>
        <w:rPr>
          <w:rFonts w:ascii="Times New Roman" w:cs="Times New Roman" w:eastAsia="Times New Roman" w:hAnsi="Times New Roman"/>
          <w:sz w:val="22"/>
          <w:szCs w:val="22"/>
        </w:rPr>
        <w:t xml:space="preserve">Third‑party connectivity is now a structural component of modern enterprise operations. Vendors integrate into supply chains, partners exchange regulated data, SaaS platforms extend internal capability, and digital ecosystems require persistent interoperability across organizational boundaries. Connectivity is no longer peripheral; it is foundational to business performance.</w:t>
      </w:r>
    </w:p>
    <w:p>
      <w:pPr>
        <w:spacing w:after="120" w:line="276" w:lineRule="exact"/>
        <w:jc w:val="both"/>
      </w:pPr>
      <w:r>
        <w:rPr>
          <w:rFonts w:ascii="Times New Roman" w:cs="Times New Roman" w:eastAsia="Times New Roman" w:hAnsi="Times New Roman"/>
          <w:sz w:val="22"/>
          <w:szCs w:val="22"/>
        </w:rPr>
        <w:t xml:space="preserve">The operating model governing these connections, however, has not evolved at the same pace as the enterprise itself. What began as targeted integrations implemented to meet immediate needs has accumulated into a broad mesh of persistent trust relationships. The enterprise can often describe how connections function, but not always why they still exist, who owns them, or whether their value continues to justify their risk.</w:t>
      </w:r>
    </w:p>
    <w:p>
      <w:pPr>
        <w:spacing w:after="120" w:line="276" w:lineRule="exact"/>
        <w:jc w:val="both"/>
      </w:pPr>
      <w:r>
        <w:rPr>
          <w:rFonts w:ascii="Times New Roman" w:cs="Times New Roman" w:eastAsia="Times New Roman" w:hAnsi="Times New Roman"/>
          <w:sz w:val="22"/>
          <w:szCs w:val="22"/>
        </w:rPr>
        <w:t xml:space="preserve">This document examines the structural challenge created by organic connectivity growth and presents a practical operating model and technical architecture that restore accountability without constraining agility.</w:t>
      </w:r>
    </w:p>
    <w:p>
      <w:r>
        <w:br w:type="page"/>
      </w:r>
    </w:p>
    <w:p>
      <w:pPr>
        <w:pStyle w:val="Heading1"/>
      </w:pPr>
      <w:r>
        <w:rPr>
          <w:rFonts w:ascii="Times New Roman" w:cs="Times New Roman" w:eastAsia="Times New Roman" w:hAnsi="Times New Roman"/>
          <w:b/>
          <w:bCs/>
          <w:caps/>
          <w:sz w:val="26"/>
          <w:szCs w:val="26"/>
        </w:rPr>
        <w:t xml:space="preserve">PART I — THE UNIVERSAL CHALLENGE</w:t>
      </w:r>
    </w:p>
    <w:p>
      <w:pPr>
        <w:spacing w:after="120" w:line="276" w:lineRule="exact"/>
        <w:jc w:val="both"/>
      </w:pPr>
      <w:r>
        <w:rPr>
          <w:rFonts w:ascii="Times New Roman" w:cs="Times New Roman" w:eastAsia="Times New Roman" w:hAnsi="Times New Roman"/>
          <w:sz w:val="22"/>
          <w:szCs w:val="22"/>
        </w:rPr>
        <w:t xml:space="preserve">Third‑party peer‑to‑peer connectivity emerged gradually, driven by legitimate business requirements. Vendors required integration into internal systems, partners needed secure data exchange, applications depended on external services, and SaaS platforms demanded persistent connectivity. Each initiative resulted in another connection and each connection solved a real problem.</w:t>
      </w:r>
    </w:p>
    <w:p>
      <w:pPr>
        <w:spacing w:after="120" w:line="276" w:lineRule="exact"/>
        <w:jc w:val="both"/>
      </w:pPr>
      <w:r>
        <w:rPr>
          <w:rFonts w:ascii="Times New Roman" w:cs="Times New Roman" w:eastAsia="Times New Roman" w:hAnsi="Times New Roman"/>
          <w:sz w:val="22"/>
          <w:szCs w:val="22"/>
        </w:rPr>
        <w:t xml:space="preserve">Over time, these connections accumulated. They were implemented to enable growth, accelerate delivery, and support operational capability, but they were rarely designed within a unified governance model. In most cases, the emphasis was on speed and reliability rather than institutional ownership and lifecycle structure. Connectivity was treated as infrastructure configuration rather than as a governed business capability.</w:t>
      </w:r>
    </w:p>
    <w:p>
      <w:pPr>
        <w:spacing w:after="120" w:line="276" w:lineRule="exact"/>
        <w:jc w:val="both"/>
      </w:pPr>
      <w:r>
        <w:rPr>
          <w:rFonts w:ascii="Times New Roman" w:cs="Times New Roman" w:eastAsia="Times New Roman" w:hAnsi="Times New Roman"/>
          <w:sz w:val="22"/>
          <w:szCs w:val="22"/>
        </w:rPr>
        <w:t xml:space="preserve">This growth pattern is nearly universal. As organizations scale, diversify, and digitize, their operational boundaries become increasingly permeable. Connectivity grows proportionally to business ambition, but governance tends to grow incrementally. The result is structural asymmetry: a mesh of persistent trust relationships whose ongoing justification is not consistently reviewed.</w:t>
      </w:r>
    </w:p>
    <w:p>
      <w:pPr>
        <w:spacing w:after="120" w:line="276" w:lineRule="exact"/>
        <w:jc w:val="both"/>
      </w:pPr>
      <w:r>
        <w:rPr>
          <w:rFonts w:ascii="Times New Roman" w:cs="Times New Roman" w:eastAsia="Times New Roman" w:hAnsi="Times New Roman"/>
          <w:sz w:val="22"/>
          <w:szCs w:val="22"/>
        </w:rPr>
        <w:t xml:space="preserve">In this state, each third‑party connection represents an ongoing trust boundary between independent control domains. That boundary enables revenue, service delivery, and operational continuity, but it also introduces security risk, compliance implications, audit complexity, and potential reputational impact. When ownership is ambiguous and lifecycle management is informal, connectivity shifts from deliberate business enabler to unmanaged institutional liability.</w:t>
      </w:r>
    </w:p>
    <w:p>
      <w:pPr>
        <w:spacing w:after="120" w:line="276" w:lineRule="exact"/>
        <w:jc w:val="both"/>
      </w:pPr>
      <w:r>
        <w:rPr>
          <w:rFonts w:ascii="Times New Roman" w:cs="Times New Roman" w:eastAsia="Times New Roman" w:hAnsi="Times New Roman"/>
          <w:sz w:val="22"/>
          <w:szCs w:val="22"/>
        </w:rPr>
        <w:t xml:space="preserve">The challenge is not to reduce or restrict collaboration. The challenge is to govern connectivity in a way that preserves agility while restoring accountability.</w:t>
      </w:r>
    </w:p>
    <w:p>
      <w:r>
        <w:br w:type="page"/>
      </w:r>
    </w:p>
    <w:p>
      <w:pPr>
        <w:pStyle w:val="Heading1"/>
      </w:pPr>
      <w:r>
        <w:rPr>
          <w:rFonts w:ascii="Times New Roman" w:cs="Times New Roman" w:eastAsia="Times New Roman" w:hAnsi="Times New Roman"/>
          <w:b/>
          <w:bCs/>
          <w:caps/>
          <w:sz w:val="26"/>
          <w:szCs w:val="26"/>
        </w:rPr>
        <w:t xml:space="preserve">PART II — THE OPERATING MODEL FOR STRUCTURED OWNERSHIP AND DELIVERY</w:t>
      </w:r>
    </w:p>
    <w:p>
      <w:pPr>
        <w:spacing w:after="120" w:line="276" w:lineRule="exact"/>
        <w:jc w:val="both"/>
      </w:pPr>
      <w:r>
        <w:rPr>
          <w:rFonts w:ascii="Times New Roman" w:cs="Times New Roman" w:eastAsia="Times New Roman" w:hAnsi="Times New Roman"/>
          <w:sz w:val="22"/>
          <w:szCs w:val="22"/>
        </w:rPr>
        <w:t xml:space="preserve">Addressing this challenge requires more than tighter technical controls. It requires an operating model in which third‑party connectivity is defined, owned, delivered, and retired as a governed business construct.</w:t>
      </w:r>
    </w:p>
    <w:p>
      <w:pPr>
        <w:pStyle w:val="Heading2"/>
      </w:pPr>
      <w:r>
        <w:rPr>
          <w:rFonts w:ascii="Times New Roman" w:cs="Times New Roman" w:eastAsia="Times New Roman" w:hAnsi="Times New Roman"/>
          <w:b/>
          <w:bCs/>
          <w:sz w:val="22"/>
          <w:szCs w:val="22"/>
        </w:rPr>
        <w:t xml:space="preserve">From Network Task to Business Exposure Domain</w:t>
      </w:r>
    </w:p>
    <w:p>
      <w:pPr>
        <w:spacing w:after="120" w:line="276" w:lineRule="exact"/>
        <w:jc w:val="both"/>
      </w:pPr>
      <w:r>
        <w:rPr>
          <w:rFonts w:ascii="Times New Roman" w:cs="Times New Roman" w:eastAsia="Times New Roman" w:hAnsi="Times New Roman"/>
          <w:sz w:val="22"/>
          <w:szCs w:val="22"/>
        </w:rPr>
        <w:t xml:space="preserve">The first and most important shift is conceptual. A third‑party connection must no longer be treated as a network task or configuration artifact. It must be treated as a business‑owned exposure domain.</w:t>
      </w:r>
    </w:p>
    <w:p>
      <w:pPr>
        <w:spacing w:after="120" w:line="276" w:lineRule="exact"/>
        <w:jc w:val="both"/>
      </w:pPr>
      <w:r>
        <w:rPr>
          <w:rFonts w:ascii="Times New Roman" w:cs="Times New Roman" w:eastAsia="Times New Roman" w:hAnsi="Times New Roman"/>
          <w:sz w:val="22"/>
          <w:szCs w:val="22"/>
        </w:rPr>
        <w:t xml:space="preserve">Accountability should reside with the function that derives value from the connectivity—an application team integrating a vendor platform, an infrastructure service owner providing shared capability, or a business function managing an external partnership.</w:t>
      </w:r>
    </w:p>
    <w:p>
      <w:pPr>
        <w:spacing w:after="120" w:line="276" w:lineRule="exact"/>
        <w:jc w:val="both"/>
      </w:pPr>
      <w:r>
        <w:rPr>
          <w:rFonts w:ascii="Times New Roman" w:cs="Times New Roman" w:eastAsia="Times New Roman" w:hAnsi="Times New Roman"/>
          <w:sz w:val="22"/>
          <w:szCs w:val="22"/>
        </w:rPr>
        <w:t xml:space="preserve">This ownership is not symbolic. The accountable owner must be able to articulate the purpose of the exposure, understand the capability it enables, recognize the associated risk, and participate in lifecycle decisions. By aligning accountability with business value, exposure is no longer sustained by technical inertia alone.</w:t>
      </w:r>
    </w:p>
    <w:p>
      <w:pPr>
        <w:pStyle w:val="Heading2"/>
      </w:pPr>
      <w:r>
        <w:rPr>
          <w:rFonts w:ascii="Times New Roman" w:cs="Times New Roman" w:eastAsia="Times New Roman" w:hAnsi="Times New Roman"/>
          <w:b/>
          <w:bCs/>
          <w:sz w:val="22"/>
          <w:szCs w:val="22"/>
        </w:rPr>
        <w:t xml:space="preserve">Tenants as the Governance Anchor</w:t>
      </w:r>
    </w:p>
    <w:p>
      <w:pPr>
        <w:spacing w:after="120" w:line="276" w:lineRule="exact"/>
        <w:jc w:val="both"/>
      </w:pPr>
      <w:r>
        <w:rPr>
          <w:rFonts w:ascii="Times New Roman" w:cs="Times New Roman" w:eastAsia="Times New Roman" w:hAnsi="Times New Roman"/>
          <w:sz w:val="22"/>
          <w:szCs w:val="22"/>
        </w:rPr>
        <w:t xml:space="preserve">To operationalize ownership, each third‑party relationship is defined as a Tenant. The Tenant represents a discrete exposure domain between the enterprise and an external party. It encapsulates:</w:t>
      </w:r>
    </w:p>
    <w:p>
      <w:pPr>
        <w:spacing w:after="120" w:line="276" w:lineRule="exact"/>
        <w:jc w:val="both"/>
      </w:pPr>
      <w:r>
        <w:rPr>
          <w:rFonts w:ascii="Times New Roman" w:cs="Times New Roman" w:eastAsia="Times New Roman" w:hAnsi="Times New Roman"/>
          <w:sz w:val="22"/>
          <w:szCs w:val="22"/>
        </w:rPr>
        <w:t xml:space="preserve">The business relationship.</w:t>
      </w:r>
    </w:p>
    <w:p>
      <w:pPr>
        <w:spacing w:after="120" w:line="276" w:lineRule="exact"/>
        <w:jc w:val="both"/>
      </w:pPr>
      <w:r>
        <w:rPr>
          <w:rFonts w:ascii="Times New Roman" w:cs="Times New Roman" w:eastAsia="Times New Roman" w:hAnsi="Times New Roman"/>
          <w:sz w:val="22"/>
          <w:szCs w:val="22"/>
        </w:rPr>
        <w:t xml:space="preserve">The associated applications or services.</w:t>
      </w:r>
    </w:p>
    <w:p>
      <w:pPr>
        <w:spacing w:after="120" w:line="276" w:lineRule="exact"/>
        <w:jc w:val="both"/>
      </w:pPr>
      <w:r>
        <w:rPr>
          <w:rFonts w:ascii="Times New Roman" w:cs="Times New Roman" w:eastAsia="Times New Roman" w:hAnsi="Times New Roman"/>
          <w:sz w:val="22"/>
          <w:szCs w:val="22"/>
        </w:rPr>
        <w:t xml:space="preserve">The responsible owners.</w:t>
      </w:r>
    </w:p>
    <w:p>
      <w:pPr>
        <w:spacing w:after="120" w:line="276" w:lineRule="exact"/>
        <w:jc w:val="both"/>
      </w:pPr>
      <w:r>
        <w:rPr>
          <w:rFonts w:ascii="Times New Roman" w:cs="Times New Roman" w:eastAsia="Times New Roman" w:hAnsi="Times New Roman"/>
          <w:sz w:val="22"/>
          <w:szCs w:val="22"/>
        </w:rPr>
        <w:t xml:space="preserve">The intended use and scope of connectivity.</w:t>
      </w:r>
    </w:p>
    <w:p>
      <w:pPr>
        <w:spacing w:after="120" w:line="276" w:lineRule="exact"/>
        <w:jc w:val="both"/>
      </w:pPr>
      <w:r>
        <w:rPr>
          <w:rFonts w:ascii="Times New Roman" w:cs="Times New Roman" w:eastAsia="Times New Roman" w:hAnsi="Times New Roman"/>
          <w:sz w:val="22"/>
          <w:szCs w:val="22"/>
        </w:rPr>
        <w:t xml:space="preserve">The Tenant is not the tunnel or firewall rule set; it is the governance anchor within which connectivity is authorized and managed. Each Tenant links directly to systems of record (application inventories, vendor management, business capability catalogs), so that when an application is retired, a vendor relationship changes, or ownership transfers, the associated exposure can be reviewed and adjusted accordingly.</w:t>
      </w:r>
    </w:p>
    <w:p>
      <w:pPr>
        <w:pStyle w:val="Heading2"/>
      </w:pPr>
      <w:r>
        <w:rPr>
          <w:rFonts w:ascii="Times New Roman" w:cs="Times New Roman" w:eastAsia="Times New Roman" w:hAnsi="Times New Roman"/>
          <w:b/>
          <w:bCs/>
          <w:sz w:val="22"/>
          <w:szCs w:val="22"/>
        </w:rPr>
        <w:t xml:space="preserve">Structured Consumption via Service Catalog</w:t>
      </w:r>
    </w:p>
    <w:p>
      <w:pPr>
        <w:spacing w:after="120" w:line="276" w:lineRule="exact"/>
        <w:jc w:val="both"/>
      </w:pPr>
      <w:r>
        <w:rPr>
          <w:rFonts w:ascii="Times New Roman" w:cs="Times New Roman" w:eastAsia="Times New Roman" w:hAnsi="Times New Roman"/>
          <w:sz w:val="22"/>
          <w:szCs w:val="22"/>
        </w:rPr>
        <w:t xml:space="preserve">Ownership alone is insufficient if business stakeholders must navigate technical complexity. Governance must be enabled through structured abstraction.</w:t>
      </w:r>
    </w:p>
    <w:p>
      <w:pPr>
        <w:spacing w:after="120" w:line="276" w:lineRule="exact"/>
        <w:jc w:val="both"/>
      </w:pPr>
      <w:r>
        <w:rPr>
          <w:rFonts w:ascii="Times New Roman" w:cs="Times New Roman" w:eastAsia="Times New Roman" w:hAnsi="Times New Roman"/>
          <w:sz w:val="22"/>
          <w:szCs w:val="22"/>
        </w:rPr>
        <w:t xml:space="preserve">The enterprise defines a Service Catalog of approved connectivity capabilities that cover recurring interaction patterns, such as:</w:t>
      </w:r>
    </w:p>
    <w:p>
      <w:pPr>
        <w:spacing w:after="120" w:line="276" w:lineRule="exact"/>
        <w:jc w:val="both"/>
      </w:pPr>
      <w:r>
        <w:rPr>
          <w:rFonts w:ascii="Times New Roman" w:cs="Times New Roman" w:eastAsia="Times New Roman" w:hAnsi="Times New Roman"/>
          <w:sz w:val="22"/>
          <w:szCs w:val="22"/>
        </w:rPr>
        <w:t xml:space="preserve">SaaS integration.</w:t>
      </w:r>
    </w:p>
    <w:p>
      <w:pPr>
        <w:spacing w:after="120" w:line="276" w:lineRule="exact"/>
        <w:jc w:val="both"/>
      </w:pPr>
      <w:r>
        <w:rPr>
          <w:rFonts w:ascii="Times New Roman" w:cs="Times New Roman" w:eastAsia="Times New Roman" w:hAnsi="Times New Roman"/>
          <w:sz w:val="22"/>
          <w:szCs w:val="22"/>
        </w:rPr>
        <w:t xml:space="preserve">Managed file transfer and exchange.</w:t>
      </w:r>
    </w:p>
    <w:p>
      <w:pPr>
        <w:spacing w:after="120" w:line="276" w:lineRule="exact"/>
        <w:jc w:val="both"/>
      </w:pPr>
      <w:r>
        <w:rPr>
          <w:rFonts w:ascii="Times New Roman" w:cs="Times New Roman" w:eastAsia="Times New Roman" w:hAnsi="Times New Roman"/>
          <w:sz w:val="22"/>
          <w:szCs w:val="22"/>
        </w:rPr>
        <w:t xml:space="preserve">API communication.</w:t>
      </w:r>
    </w:p>
    <w:p>
      <w:pPr>
        <w:spacing w:after="120" w:line="276" w:lineRule="exact"/>
        <w:jc w:val="both"/>
      </w:pPr>
      <w:r>
        <w:rPr>
          <w:rFonts w:ascii="Times New Roman" w:cs="Times New Roman" w:eastAsia="Times New Roman" w:hAnsi="Times New Roman"/>
          <w:sz w:val="22"/>
          <w:szCs w:val="22"/>
        </w:rPr>
        <w:t xml:space="preserve">Web application access.</w:t>
      </w:r>
    </w:p>
    <w:p>
      <w:pPr>
        <w:spacing w:after="120" w:line="276" w:lineRule="exact"/>
        <w:jc w:val="both"/>
      </w:pPr>
      <w:r>
        <w:rPr>
          <w:rFonts w:ascii="Times New Roman" w:cs="Times New Roman" w:eastAsia="Times New Roman" w:hAnsi="Times New Roman"/>
          <w:sz w:val="22"/>
          <w:szCs w:val="22"/>
        </w:rPr>
        <w:t xml:space="preserve">Virtual desktop or controlled remote access.</w:t>
      </w:r>
    </w:p>
    <w:p>
      <w:pPr>
        <w:spacing w:after="120" w:line="276" w:lineRule="exact"/>
        <w:jc w:val="both"/>
      </w:pPr>
      <w:r>
        <w:rPr>
          <w:rFonts w:ascii="Times New Roman" w:cs="Times New Roman" w:eastAsia="Times New Roman" w:hAnsi="Times New Roman"/>
          <w:sz w:val="22"/>
          <w:szCs w:val="22"/>
        </w:rPr>
        <w:t xml:space="preserve">Each service pattern embeds required governance and control expectations: inspection standards, logging requirements, identity enforcement, containment posture, and segmentation. These controls are not negotiated per request; they are intrinsic to the capability.</w:t>
      </w:r>
    </w:p>
    <w:p>
      <w:pPr>
        <w:spacing w:after="120" w:line="276" w:lineRule="exact"/>
        <w:jc w:val="both"/>
      </w:pPr>
      <w:r>
        <w:rPr>
          <w:rFonts w:ascii="Times New Roman" w:cs="Times New Roman" w:eastAsia="Times New Roman" w:hAnsi="Times New Roman"/>
          <w:sz w:val="22"/>
          <w:szCs w:val="22"/>
        </w:rPr>
        <w:t xml:space="preserve">Business owners do not design network topologies or encryption schemes. They select catalog capabilities that align with their declared need. Structured consumption preserves flexibility while eliminating bespoke, one‑off implementations that erode consistency.</w:t>
      </w:r>
    </w:p>
    <w:p>
      <w:pPr>
        <w:pStyle w:val="Heading2"/>
      </w:pPr>
      <w:r>
        <w:rPr>
          <w:rFonts w:ascii="Times New Roman" w:cs="Times New Roman" w:eastAsia="Times New Roman" w:hAnsi="Times New Roman"/>
          <w:b/>
          <w:bCs/>
          <w:sz w:val="22"/>
          <w:szCs w:val="22"/>
        </w:rPr>
        <w:t xml:space="preserve">Abstracted, Product‑Agnostic Self‑Service</w:t>
      </w:r>
    </w:p>
    <w:p>
      <w:pPr>
        <w:spacing w:after="120" w:line="276" w:lineRule="exact"/>
        <w:jc w:val="both"/>
      </w:pPr>
      <w:r>
        <w:rPr>
          <w:rFonts w:ascii="Times New Roman" w:cs="Times New Roman" w:eastAsia="Times New Roman" w:hAnsi="Times New Roman"/>
          <w:sz w:val="22"/>
          <w:szCs w:val="22"/>
        </w:rPr>
        <w:t xml:space="preserve">The delivery mechanism for this model is an abstracted, product‑agnostic self‑service portal. The portal surfaces governance constructs and business capabilities rather than infrastructure primitives. Through this interface, the owner:</w:t>
      </w:r>
    </w:p>
    <w:p>
      <w:pPr>
        <w:spacing w:after="120" w:line="276" w:lineRule="exact"/>
        <w:jc w:val="both"/>
      </w:pPr>
      <w:r>
        <w:rPr>
          <w:rFonts w:ascii="Times New Roman" w:cs="Times New Roman" w:eastAsia="Times New Roman" w:hAnsi="Times New Roman"/>
          <w:sz w:val="22"/>
          <w:szCs w:val="22"/>
        </w:rPr>
        <w:t xml:space="preserve">Defines the Tenant and its purpose.</w:t>
      </w:r>
    </w:p>
    <w:p>
      <w:pPr>
        <w:spacing w:after="120" w:line="276" w:lineRule="exact"/>
        <w:jc w:val="both"/>
      </w:pPr>
      <w:r>
        <w:rPr>
          <w:rFonts w:ascii="Times New Roman" w:cs="Times New Roman" w:eastAsia="Times New Roman" w:hAnsi="Times New Roman"/>
          <w:sz w:val="22"/>
          <w:szCs w:val="22"/>
        </w:rPr>
        <w:t xml:space="preserve">Associates it with enterprise inventory records (applications, vendors, capabilities).</w:t>
      </w:r>
    </w:p>
    <w:p>
      <w:pPr>
        <w:spacing w:after="120" w:line="276" w:lineRule="exact"/>
        <w:jc w:val="both"/>
      </w:pPr>
      <w:r>
        <w:rPr>
          <w:rFonts w:ascii="Times New Roman" w:cs="Times New Roman" w:eastAsia="Times New Roman" w:hAnsi="Times New Roman"/>
          <w:sz w:val="22"/>
          <w:szCs w:val="22"/>
        </w:rPr>
        <w:t xml:space="preserve">Selects required service capabilities from the catalog.</w:t>
      </w:r>
    </w:p>
    <w:p>
      <w:pPr>
        <w:spacing w:after="120" w:line="276" w:lineRule="exact"/>
        <w:jc w:val="both"/>
      </w:pPr>
      <w:r>
        <w:rPr>
          <w:rFonts w:ascii="Times New Roman" w:cs="Times New Roman" w:eastAsia="Times New Roman" w:hAnsi="Times New Roman"/>
          <w:sz w:val="22"/>
          <w:szCs w:val="22"/>
        </w:rPr>
        <w:t xml:space="preserve">Declares lifecycle attributes (e.g., end dates, review cadence).</w:t>
      </w:r>
    </w:p>
    <w:p>
      <w:pPr>
        <w:spacing w:after="120" w:line="276" w:lineRule="exact"/>
        <w:jc w:val="both"/>
      </w:pPr>
      <w:r>
        <w:rPr>
          <w:rFonts w:ascii="Times New Roman" w:cs="Times New Roman" w:eastAsia="Times New Roman" w:hAnsi="Times New Roman"/>
          <w:sz w:val="22"/>
          <w:szCs w:val="22"/>
        </w:rPr>
        <w:t xml:space="preserve">Submits the request for governance validation.</w:t>
      </w:r>
    </w:p>
    <w:p>
      <w:pPr>
        <w:spacing w:after="120" w:line="276" w:lineRule="exact"/>
        <w:jc w:val="both"/>
      </w:pPr>
      <w:r>
        <w:rPr>
          <w:rFonts w:ascii="Times New Roman" w:cs="Times New Roman" w:eastAsia="Times New Roman" w:hAnsi="Times New Roman"/>
          <w:sz w:val="22"/>
          <w:szCs w:val="22"/>
        </w:rPr>
        <w:t xml:space="preserve">A governance or resource management function reviews the request for policy alignment and risk classification. Once approved, underlying automation provisions the required connectivity using standardized templates, translating governance intent into consistent technical realization.</w:t>
      </w:r>
    </w:p>
    <w:p>
      <w:pPr>
        <w:pStyle w:val="Heading2"/>
      </w:pPr>
      <w:r>
        <w:rPr>
          <w:rFonts w:ascii="Times New Roman" w:cs="Times New Roman" w:eastAsia="Times New Roman" w:hAnsi="Times New Roman"/>
          <w:b/>
          <w:bCs/>
          <w:sz w:val="22"/>
          <w:szCs w:val="22"/>
        </w:rPr>
        <w:t xml:space="preserve">Portal‑Platform Separation and Iterative Delivery</w:t>
      </w:r>
    </w:p>
    <w:p>
      <w:pPr>
        <w:spacing w:after="120" w:line="276" w:lineRule="exact"/>
        <w:jc w:val="both"/>
      </w:pPr>
      <w:r>
        <w:rPr>
          <w:rFonts w:ascii="Times New Roman" w:cs="Times New Roman" w:eastAsia="Times New Roman" w:hAnsi="Times New Roman"/>
          <w:sz w:val="22"/>
          <w:szCs w:val="22"/>
        </w:rPr>
        <w:t xml:space="preserve">A critical architectural principle embedded in this model is the deliberate decoupling of the Tenant portal from the underlying governed exposure platform. The portal is a product‑agnostic governance and product abstraction, not a technical control plane.</w:t>
      </w:r>
    </w:p>
    <w:p>
      <w:pPr>
        <w:spacing w:after="120" w:line="276" w:lineRule="exact"/>
        <w:jc w:val="both"/>
      </w:pPr>
      <w:r>
        <w:rPr>
          <w:rFonts w:ascii="Times New Roman" w:cs="Times New Roman" w:eastAsia="Times New Roman" w:hAnsi="Times New Roman"/>
          <w:sz w:val="22"/>
          <w:szCs w:val="22"/>
        </w:rPr>
        <w:t xml:space="preserve">Its contracts are stable business constructs: Tenant definition, catalog service selection, lifecycle attributes, and policy attestation—not tunnel configuration, route design, or firewall rule logic. The catalog patterns define exposure semantics (e.g., "SaaS integration," "managed file transfer") in a product‑agnostic way, while the platform team is free to realize those patterns with whatever underlying products, network technologies, or security stacks are appropriate over time.</w:t>
      </w:r>
    </w:p>
    <w:p>
      <w:pPr>
        <w:spacing w:after="120" w:line="276" w:lineRule="exact"/>
        <w:jc w:val="both"/>
      </w:pPr>
      <w:r>
        <w:rPr>
          <w:rFonts w:ascii="Times New Roman" w:cs="Times New Roman" w:eastAsia="Times New Roman" w:hAnsi="Times New Roman"/>
          <w:b/>
          <w:bCs/>
          <w:sz w:val="22"/>
          <w:szCs w:val="22"/>
        </w:rPr>
        <w:t xml:space="preserve">This separation delivers critical value:</w:t>
      </w:r>
    </w:p>
    <w:p>
      <w:pPr>
        <w:spacing w:after="120" w:line="276" w:lineRule="exact"/>
        <w:jc w:val="both"/>
      </w:pPr>
      <w:r>
        <w:rPr>
          <w:rFonts w:ascii="Times New Roman" w:cs="Times New Roman" w:eastAsia="Times New Roman" w:hAnsi="Times New Roman"/>
          <w:b/>
          <w:bCs/>
          <w:sz w:val="22"/>
          <w:szCs w:val="22"/>
        </w:rPr>
        <w:t xml:space="preserve">For Business and Governance Functions:</w:t>
      </w:r>
    </w:p>
    <w:p>
      <w:pPr>
        <w:spacing w:after="120" w:line="276" w:lineRule="exact"/>
        <w:jc w:val="both"/>
      </w:pPr>
      <w:r>
        <w:rPr>
          <w:rFonts w:ascii="Times New Roman" w:cs="Times New Roman" w:eastAsia="Times New Roman" w:hAnsi="Times New Roman"/>
          <w:sz w:val="22"/>
          <w:szCs w:val="22"/>
        </w:rPr>
        <w:t xml:space="preserve">They gain a stable, comprehensible interface to request, own, and review exposure, regardless of how the underlying technology stack changes.</w:t>
      </w:r>
    </w:p>
    <w:p>
      <w:pPr>
        <w:spacing w:after="120" w:line="276" w:lineRule="exact"/>
        <w:jc w:val="both"/>
      </w:pPr>
      <w:r>
        <w:rPr>
          <w:rFonts w:ascii="Times New Roman" w:cs="Times New Roman" w:eastAsia="Times New Roman" w:hAnsi="Times New Roman"/>
          <w:sz w:val="22"/>
          <w:szCs w:val="22"/>
        </w:rPr>
        <w:t xml:space="preserve">They interact with durable constructs—Tenants, services, lifecycle policies—not transient technical implementations.</w:t>
      </w:r>
    </w:p>
    <w:p>
      <w:pPr>
        <w:spacing w:after="120" w:line="276" w:lineRule="exact"/>
        <w:jc w:val="both"/>
      </w:pPr>
      <w:r>
        <w:rPr>
          <w:rFonts w:ascii="Times New Roman" w:cs="Times New Roman" w:eastAsia="Times New Roman" w:hAnsi="Times New Roman"/>
          <w:sz w:val="22"/>
          <w:szCs w:val="22"/>
        </w:rPr>
        <w:t xml:space="preserve">Governance workflows and ownership attestations remain consistent even as the platform evolves beneath them.</w:t>
      </w:r>
    </w:p>
    <w:p>
      <w:pPr>
        <w:spacing w:after="120" w:line="276" w:lineRule="exact"/>
        <w:jc w:val="both"/>
      </w:pPr>
      <w:r>
        <w:rPr>
          <w:rFonts w:ascii="Times New Roman" w:cs="Times New Roman" w:eastAsia="Times New Roman" w:hAnsi="Times New Roman"/>
          <w:b/>
          <w:bCs/>
          <w:sz w:val="22"/>
          <w:szCs w:val="22"/>
        </w:rPr>
        <w:t xml:space="preserve">For Platform and Engineering Teams:</w:t>
      </w:r>
    </w:p>
    <w:p>
      <w:pPr>
        <w:spacing w:after="120" w:line="276" w:lineRule="exact"/>
        <w:jc w:val="both"/>
      </w:pPr>
      <w:r>
        <w:rPr>
          <w:rFonts w:ascii="Times New Roman" w:cs="Times New Roman" w:eastAsia="Times New Roman" w:hAnsi="Times New Roman"/>
          <w:sz w:val="22"/>
          <w:szCs w:val="22"/>
        </w:rPr>
        <w:t xml:space="preserve">They gain the freedom to refactor, enhance, and extend the governed exposure infrastructure without altering the business interface.</w:t>
      </w:r>
    </w:p>
    <w:p>
      <w:pPr>
        <w:spacing w:after="120" w:line="276" w:lineRule="exact"/>
        <w:jc w:val="both"/>
      </w:pPr>
      <w:r>
        <w:rPr>
          <w:rFonts w:ascii="Times New Roman" w:cs="Times New Roman" w:eastAsia="Times New Roman" w:hAnsi="Times New Roman"/>
          <w:sz w:val="22"/>
          <w:szCs w:val="22"/>
        </w:rPr>
        <w:t xml:space="preserve">New technical capabilities (mediation patterns, inspection modules, identity mechanisms, transport options) can be introduced as new or updated catalog offerings, preserving the portal surface and business workflows.</w:t>
      </w:r>
    </w:p>
    <w:p>
      <w:pPr>
        <w:spacing w:after="120" w:line="276" w:lineRule="exact"/>
        <w:jc w:val="both"/>
      </w:pPr>
      <w:r>
        <w:rPr>
          <w:rFonts w:ascii="Times New Roman" w:cs="Times New Roman" w:eastAsia="Times New Roman" w:hAnsi="Times New Roman"/>
          <w:sz w:val="22"/>
          <w:szCs w:val="22"/>
        </w:rPr>
        <w:t xml:space="preserve">Early adopters can opt into new patterns without disrupting existing Tenants.</w:t>
      </w:r>
    </w:p>
    <w:p>
      <w:pPr>
        <w:spacing w:after="120" w:line="276" w:lineRule="exact"/>
        <w:jc w:val="both"/>
      </w:pPr>
      <w:r>
        <w:rPr>
          <w:rFonts w:ascii="Times New Roman" w:cs="Times New Roman" w:eastAsia="Times New Roman" w:hAnsi="Times New Roman"/>
          <w:sz w:val="22"/>
          <w:szCs w:val="22"/>
        </w:rPr>
        <w:t xml:space="preserve">Legacy implementations can be migrated over time under governance, instead of via one big‑bang cutover.</w:t>
      </w:r>
    </w:p>
    <w:p>
      <w:pPr>
        <w:spacing w:after="120" w:line="276" w:lineRule="exact"/>
        <w:jc w:val="both"/>
      </w:pPr>
      <w:r>
        <w:rPr>
          <w:rFonts w:ascii="Times New Roman" w:cs="Times New Roman" w:eastAsia="Times New Roman" w:hAnsi="Times New Roman"/>
          <w:b/>
          <w:bCs/>
          <w:sz w:val="22"/>
          <w:szCs w:val="22"/>
        </w:rPr>
        <w:t xml:space="preserve">For Organizational Scale:</w:t>
      </w:r>
    </w:p>
    <w:p>
      <w:pPr>
        <w:spacing w:after="120" w:line="276" w:lineRule="exact"/>
        <w:jc w:val="both"/>
      </w:pPr>
      <w:r>
        <w:rPr>
          <w:rFonts w:ascii="Times New Roman" w:cs="Times New Roman" w:eastAsia="Times New Roman" w:hAnsi="Times New Roman"/>
          <w:sz w:val="22"/>
          <w:szCs w:val="22"/>
        </w:rPr>
        <w:t xml:space="preserve">The organization can scale to many Tenants and service patterns without exposing complexity to business owners.</w:t>
      </w:r>
    </w:p>
    <w:p>
      <w:pPr>
        <w:spacing w:after="120" w:line="276" w:lineRule="exact"/>
        <w:jc w:val="both"/>
      </w:pPr>
      <w:r>
        <w:rPr>
          <w:rFonts w:ascii="Times New Roman" w:cs="Times New Roman" w:eastAsia="Times New Roman" w:hAnsi="Times New Roman"/>
          <w:sz w:val="22"/>
          <w:szCs w:val="22"/>
        </w:rPr>
        <w:t xml:space="preserve">New technical capabilities can be adopted at platform cadence, not at business retraining cadence.</w:t>
      </w:r>
    </w:p>
    <w:p>
      <w:pPr>
        <w:spacing w:after="120" w:line="276" w:lineRule="exact"/>
        <w:jc w:val="both"/>
      </w:pPr>
      <w:r>
        <w:rPr>
          <w:rFonts w:ascii="Times New Roman" w:cs="Times New Roman" w:eastAsia="Times New Roman" w:hAnsi="Times New Roman"/>
          <w:sz w:val="22"/>
          <w:szCs w:val="22"/>
        </w:rPr>
        <w:t xml:space="preserve">Auditability and traceability remain intact even as the underlying implementation evolves, because governance intent is mapped consistently to technical constructs regardless of which products or platforms realize those constructs.</w:t>
      </w:r>
    </w:p>
    <w:p>
      <w:pPr>
        <w:spacing w:after="120" w:line="276" w:lineRule="exact"/>
        <w:jc w:val="both"/>
      </w:pPr>
      <w:r>
        <w:rPr>
          <w:rFonts w:ascii="Times New Roman" w:cs="Times New Roman" w:eastAsia="Times New Roman" w:hAnsi="Times New Roman"/>
          <w:sz w:val="22"/>
          <w:szCs w:val="22"/>
        </w:rPr>
        <w:t xml:space="preserve">This product‑agnostic separation enables iterative, incremental delivery of technical capabilities. The platform team can roll out new service patterns alongside existing ones, adopt new network technologies or security controls, integrate new vendors or providers, and refactor enforcement planes—all while keeping governance flows, ownership models, and business workflows unchanged.</w:t>
      </w:r>
    </w:p>
    <w:p>
      <w:pPr>
        <w:pStyle w:val="Heading2"/>
      </w:pPr>
      <w:r>
        <w:rPr>
          <w:rFonts w:ascii="Times New Roman" w:cs="Times New Roman" w:eastAsia="Times New Roman" w:hAnsi="Times New Roman"/>
          <w:b/>
          <w:bCs/>
          <w:sz w:val="22"/>
          <w:szCs w:val="22"/>
        </w:rPr>
        <w:t xml:space="preserve">Embedded Lifecycle Management</w:t>
      </w:r>
    </w:p>
    <w:p>
      <w:pPr>
        <w:spacing w:after="120" w:line="276" w:lineRule="exact"/>
        <w:jc w:val="both"/>
      </w:pPr>
      <w:r>
        <w:rPr>
          <w:rFonts w:ascii="Times New Roman" w:cs="Times New Roman" w:eastAsia="Times New Roman" w:hAnsi="Times New Roman"/>
          <w:sz w:val="22"/>
          <w:szCs w:val="22"/>
        </w:rPr>
        <w:t xml:space="preserve">Lifecycle management is embedded into the model from inception. Every Tenant is created with a defined duration or explicit review schedule. Prior to expiration, the owner must re‑attest that the exposure remains necessary and that its value continues to justify its risk. If renewal does not occur, the exposure can be suspended or retired in a controlled, auditable manner.</w:t>
      </w:r>
    </w:p>
    <w:p>
      <w:pPr>
        <w:spacing w:after="120" w:line="276" w:lineRule="exact"/>
        <w:jc w:val="both"/>
      </w:pPr>
      <w:r>
        <w:rPr>
          <w:rFonts w:ascii="Times New Roman" w:cs="Times New Roman" w:eastAsia="Times New Roman" w:hAnsi="Times New Roman"/>
          <w:sz w:val="22"/>
          <w:szCs w:val="22"/>
        </w:rPr>
        <w:t xml:space="preserve">This approach turns removal from a disruptive event into a managed process and directly addresses the systemic accumulation of unmanaged connectivity.</w:t>
      </w:r>
    </w:p>
    <w:p>
      <w:pPr>
        <w:pStyle w:val="Heading2"/>
      </w:pPr>
      <w:r>
        <w:rPr>
          <w:rFonts w:ascii="Times New Roman" w:cs="Times New Roman" w:eastAsia="Times New Roman" w:hAnsi="Times New Roman"/>
          <w:b/>
          <w:bCs/>
          <w:sz w:val="22"/>
          <w:szCs w:val="22"/>
        </w:rPr>
        <w:t xml:space="preserve">Operating Model Summary</w:t>
      </w:r>
    </w:p>
    <w:p>
      <w:pPr>
        <w:spacing w:after="120" w:line="276" w:lineRule="exact"/>
        <w:jc w:val="both"/>
      </w:pPr>
      <w:r>
        <w:rPr>
          <w:rFonts w:ascii="Times New Roman" w:cs="Times New Roman" w:eastAsia="Times New Roman" w:hAnsi="Times New Roman"/>
          <w:sz w:val="22"/>
          <w:szCs w:val="22"/>
        </w:rPr>
        <w:t xml:space="preserve">The overall effect is symmetry: business growth drove the creation of connectivity; governance now grows alongside it. Connectivity remains a strategic enabler of collaboration and innovation, but it becomes cataloged, owned, lifecycle‑managed, and structurally accountable.</w:t>
      </w:r>
    </w:p>
    <w:p>
      <w:pPr>
        <w:spacing w:after="120" w:line="276" w:lineRule="exact"/>
        <w:jc w:val="both"/>
      </w:pPr>
      <w:r>
        <w:rPr>
          <w:rFonts w:ascii="Times New Roman" w:cs="Times New Roman" w:eastAsia="Times New Roman" w:hAnsi="Times New Roman"/>
          <w:sz w:val="22"/>
          <w:szCs w:val="22"/>
        </w:rPr>
        <w:t xml:space="preserve">The operating model transforms third‑party connectivity from an accumulation of network artifacts into a governed business capability aligned to enterprise objectives.</w:t>
      </w:r>
    </w:p>
    <w:p>
      <w:r>
        <w:br w:type="page"/>
      </w:r>
    </w:p>
    <w:p>
      <w:pPr>
        <w:pStyle w:val="Heading1"/>
      </w:pPr>
      <w:r>
        <w:rPr>
          <w:rFonts w:ascii="Times New Roman" w:cs="Times New Roman" w:eastAsia="Times New Roman" w:hAnsi="Times New Roman"/>
          <w:b/>
          <w:bCs/>
          <w:caps/>
          <w:sz w:val="26"/>
          <w:szCs w:val="26"/>
        </w:rPr>
        <w:t xml:space="preserve">PART III — THE TECHNICAL ARCHITECTURE AS GOVERNED EXPOSURE INFRASTRUCTURE</w:t>
      </w:r>
    </w:p>
    <w:p>
      <w:pPr>
        <w:spacing w:after="120" w:line="276" w:lineRule="exact"/>
        <w:jc w:val="both"/>
      </w:pPr>
      <w:r>
        <w:rPr>
          <w:rFonts w:ascii="Times New Roman" w:cs="Times New Roman" w:eastAsia="Times New Roman" w:hAnsi="Times New Roman"/>
          <w:sz w:val="22"/>
          <w:szCs w:val="22"/>
        </w:rPr>
        <w:t xml:space="preserve">The governance model establishes that third‑party connectivity must be treated as business‑owned exposure domains delivered through a structured service catalog and enforced through lifecycle discipline. The technical architecture translates these principles into enforceable system behavior.</w:t>
      </w:r>
    </w:p>
    <w:p>
      <w:pPr>
        <w:spacing w:after="120" w:line="276" w:lineRule="exact"/>
        <w:jc w:val="both"/>
      </w:pPr>
      <w:r>
        <w:rPr>
          <w:rFonts w:ascii="Times New Roman" w:cs="Times New Roman" w:eastAsia="Times New Roman" w:hAnsi="Times New Roman"/>
          <w:sz w:val="22"/>
          <w:szCs w:val="22"/>
        </w:rPr>
        <w:t xml:space="preserve">The objective of the architecture is not simply to provide secure transport, but to transform external connectivity into a controlled, accountable, and structurally bounded exposure fabric.</w:t>
      </w:r>
    </w:p>
    <w:p>
      <w:pPr>
        <w:pStyle w:val="Heading2"/>
      </w:pPr>
      <w:r>
        <w:rPr>
          <w:rFonts w:ascii="Times New Roman" w:cs="Times New Roman" w:eastAsia="Times New Roman" w:hAnsi="Times New Roman"/>
          <w:b/>
          <w:bCs/>
          <w:sz w:val="22"/>
          <w:szCs w:val="22"/>
        </w:rPr>
        <w:t xml:space="preserve">Structural Tenant Isolation</w:t>
      </w:r>
    </w:p>
    <w:p>
      <w:pPr>
        <w:spacing w:after="120" w:line="276" w:lineRule="exact"/>
        <w:jc w:val="both"/>
      </w:pPr>
      <w:r>
        <w:rPr>
          <w:rFonts w:ascii="Times New Roman" w:cs="Times New Roman" w:eastAsia="Times New Roman" w:hAnsi="Times New Roman"/>
          <w:sz w:val="22"/>
          <w:szCs w:val="22"/>
        </w:rPr>
        <w:t xml:space="preserve">The platform must deliver deterministic isolation for every third‑party relationship. Each Tenant operates within a bounded technical construct that prevents implicit trust propagation. Isolation is embedded in routing, forwarding, and service mediation, not just layered firewall rules on shared segments.</w:t>
      </w:r>
    </w:p>
    <w:p>
      <w:pPr>
        <w:spacing w:after="120" w:line="276" w:lineRule="exact"/>
        <w:jc w:val="both"/>
      </w:pPr>
      <w:r>
        <w:rPr>
          <w:rFonts w:ascii="Times New Roman" w:cs="Times New Roman" w:eastAsia="Times New Roman" w:hAnsi="Times New Roman"/>
          <w:sz w:val="22"/>
          <w:szCs w:val="22"/>
        </w:rPr>
        <w:t xml:space="preserve">No Tenant inherits reachability to another Tenant by default, and no Tenant obtains adjacency to internal systems beyond its declared service scope. Connectivity does not equate to network extension; it is constrained to defined exposure boundaries, limiting lateral risk.</w:t>
      </w:r>
    </w:p>
    <w:p>
      <w:pPr>
        <w:pStyle w:val="Heading2"/>
      </w:pPr>
      <w:r>
        <w:rPr>
          <w:rFonts w:ascii="Times New Roman" w:cs="Times New Roman" w:eastAsia="Times New Roman" w:hAnsi="Times New Roman"/>
          <w:b/>
          <w:bCs/>
          <w:sz w:val="22"/>
          <w:szCs w:val="22"/>
        </w:rPr>
        <w:t xml:space="preserve">Controlled and Standardized Secure Transport</w:t>
      </w:r>
    </w:p>
    <w:p>
      <w:pPr>
        <w:spacing w:after="120" w:line="276" w:lineRule="exact"/>
        <w:jc w:val="both"/>
      </w:pPr>
      <w:r>
        <w:rPr>
          <w:rFonts w:ascii="Times New Roman" w:cs="Times New Roman" w:eastAsia="Times New Roman" w:hAnsi="Times New Roman"/>
          <w:sz w:val="22"/>
          <w:szCs w:val="22"/>
        </w:rPr>
        <w:t xml:space="preserve">The solution provides secure, encrypted transport mechanisms that are consistent across Tenants and aligned to enterprise standards. Secure channels are anchored to Tenant context and do not implicitly grant broad routing privileges.</w:t>
      </w:r>
    </w:p>
    <w:p>
      <w:pPr>
        <w:spacing w:after="120" w:line="276" w:lineRule="exact"/>
        <w:jc w:val="both"/>
      </w:pPr>
      <w:r>
        <w:rPr>
          <w:rFonts w:ascii="Times New Roman" w:cs="Times New Roman" w:eastAsia="Times New Roman" w:hAnsi="Times New Roman"/>
          <w:sz w:val="22"/>
          <w:szCs w:val="22"/>
        </w:rPr>
        <w:t xml:space="preserve">Transport is subordinate to exposure definition. The result is a predictable, auditable transport plane that enables connectivity while preserving segmentation discipline and avoiding the conflation of encryption with unrestricted trust.</w:t>
      </w:r>
    </w:p>
    <w:p>
      <w:pPr>
        <w:pStyle w:val="Heading2"/>
      </w:pPr>
      <w:r>
        <w:rPr>
          <w:rFonts w:ascii="Times New Roman" w:cs="Times New Roman" w:eastAsia="Times New Roman" w:hAnsi="Times New Roman"/>
          <w:b/>
          <w:bCs/>
          <w:sz w:val="22"/>
          <w:szCs w:val="22"/>
        </w:rPr>
        <w:t xml:space="preserve">Mediated Service Exposure</w:t>
      </w:r>
    </w:p>
    <w:p>
      <w:pPr>
        <w:spacing w:after="120" w:line="276" w:lineRule="exact"/>
        <w:jc w:val="both"/>
      </w:pPr>
      <w:r>
        <w:rPr>
          <w:rFonts w:ascii="Times New Roman" w:cs="Times New Roman" w:eastAsia="Times New Roman" w:hAnsi="Times New Roman"/>
          <w:sz w:val="22"/>
          <w:szCs w:val="22"/>
        </w:rPr>
        <w:t xml:space="preserve">Service mediation is the primary interaction model. Rather than exposing routed subnets or internal network segments, the platform interposes enforcement layers between external actors and internal capabilities.</w:t>
      </w:r>
    </w:p>
    <w:p>
      <w:pPr>
        <w:spacing w:after="120" w:line="276" w:lineRule="exact"/>
        <w:jc w:val="both"/>
      </w:pPr>
      <w:r>
        <w:rPr>
          <w:rFonts w:ascii="Times New Roman" w:cs="Times New Roman" w:eastAsia="Times New Roman" w:hAnsi="Times New Roman"/>
          <w:sz w:val="22"/>
          <w:szCs w:val="22"/>
        </w:rPr>
        <w:t xml:space="preserve">These enforcement points constrain directionality, protocol scope, and destination reachability according to approved service patterns. Third parties interact with defined application endpoints or service abstractions, not raw network constructs. This shifts from network adjacency to service adjacency.</w:t>
      </w:r>
    </w:p>
    <w:p>
      <w:pPr>
        <w:pStyle w:val="Heading2"/>
      </w:pPr>
      <w:r>
        <w:rPr>
          <w:rFonts w:ascii="Times New Roman" w:cs="Times New Roman" w:eastAsia="Times New Roman" w:hAnsi="Times New Roman"/>
          <w:b/>
          <w:bCs/>
          <w:sz w:val="22"/>
          <w:szCs w:val="22"/>
        </w:rPr>
        <w:t xml:space="preserve">Identity‑Bound Access Control</w:t>
      </w:r>
    </w:p>
    <w:p>
      <w:pPr>
        <w:spacing w:after="120" w:line="276" w:lineRule="exact"/>
        <w:jc w:val="both"/>
      </w:pPr>
      <w:r>
        <w:rPr>
          <w:rFonts w:ascii="Times New Roman" w:cs="Times New Roman" w:eastAsia="Times New Roman" w:hAnsi="Times New Roman"/>
          <w:sz w:val="22"/>
          <w:szCs w:val="22"/>
        </w:rPr>
        <w:t xml:space="preserve">Where protocol semantics permit, access decisions are anchored in authenticated identity rather than network location alone. Identity is scoped to Tenant context and tied to declared service capabilities.</w:t>
      </w:r>
    </w:p>
    <w:p>
      <w:pPr>
        <w:spacing w:after="120" w:line="276" w:lineRule="exact"/>
        <w:jc w:val="both"/>
      </w:pPr>
      <w:r>
        <w:rPr>
          <w:rFonts w:ascii="Times New Roman" w:cs="Times New Roman" w:eastAsia="Times New Roman" w:hAnsi="Times New Roman"/>
          <w:sz w:val="22"/>
          <w:szCs w:val="22"/>
        </w:rPr>
        <w:t xml:space="preserve">Enforcement points authenticate, validate, and bind identity inside the exposure boundary. This elevates control from IP‑based filtering to actor‑level accountability and aligns technical enforcement with business ownership.</w:t>
      </w:r>
    </w:p>
    <w:p>
      <w:pPr>
        <w:pStyle w:val="Heading2"/>
      </w:pPr>
      <w:r>
        <w:rPr>
          <w:rFonts w:ascii="Times New Roman" w:cs="Times New Roman" w:eastAsia="Times New Roman" w:hAnsi="Times New Roman"/>
          <w:b/>
          <w:bCs/>
          <w:sz w:val="22"/>
          <w:szCs w:val="22"/>
        </w:rPr>
        <w:t xml:space="preserve">Deterministic Visibility and Inspection</w:t>
      </w:r>
    </w:p>
    <w:p>
      <w:pPr>
        <w:spacing w:after="120" w:line="276" w:lineRule="exact"/>
        <w:jc w:val="both"/>
      </w:pPr>
      <w:r>
        <w:rPr>
          <w:rFonts w:ascii="Times New Roman" w:cs="Times New Roman" w:eastAsia="Times New Roman" w:hAnsi="Times New Roman"/>
          <w:sz w:val="22"/>
          <w:szCs w:val="22"/>
        </w:rPr>
        <w:t xml:space="preserve">The architecture incorporates defined control points at which traffic can be observed, logged, mirrored, or inspected according to policy. These points exist inside the exposure boundary and are accessible without disruptive reconfiguration.</w:t>
      </w:r>
    </w:p>
    <w:p>
      <w:pPr>
        <w:spacing w:after="120" w:line="276" w:lineRule="exact"/>
        <w:jc w:val="both"/>
      </w:pPr>
      <w:r>
        <w:rPr>
          <w:rFonts w:ascii="Times New Roman" w:cs="Times New Roman" w:eastAsia="Times New Roman" w:hAnsi="Times New Roman"/>
          <w:sz w:val="22"/>
          <w:szCs w:val="22"/>
        </w:rPr>
        <w:t xml:space="preserve">Inspection is explicit and policy‑driven rather than ad hoc. Where required for regulatory, security, or operational reasons, the platform provides stable mechanisms to export traffic or telemetry to analysis systems, making visibility an intentional property rather than a side effect.</w:t>
      </w:r>
    </w:p>
    <w:p>
      <w:pPr>
        <w:pStyle w:val="Heading2"/>
      </w:pPr>
      <w:r>
        <w:rPr>
          <w:rFonts w:ascii="Times New Roman" w:cs="Times New Roman" w:eastAsia="Times New Roman" w:hAnsi="Times New Roman"/>
          <w:b/>
          <w:bCs/>
          <w:sz w:val="22"/>
          <w:szCs w:val="22"/>
        </w:rPr>
        <w:t xml:space="preserve">Service Catalog Enforcement</w:t>
      </w:r>
    </w:p>
    <w:p>
      <w:pPr>
        <w:spacing w:after="120" w:line="276" w:lineRule="exact"/>
        <w:jc w:val="both"/>
      </w:pPr>
      <w:r>
        <w:rPr>
          <w:rFonts w:ascii="Times New Roman" w:cs="Times New Roman" w:eastAsia="Times New Roman" w:hAnsi="Times New Roman"/>
          <w:sz w:val="22"/>
          <w:szCs w:val="22"/>
        </w:rPr>
        <w:t xml:space="preserve">Each catalog service pattern corresponds to a standardized enforcement configuration with embedded controls. The architecture prevents deviation from approved service constructs and ensures that similar use cases are implemented consistently across Tenants.</w:t>
      </w:r>
    </w:p>
    <w:p>
      <w:pPr>
        <w:spacing w:after="120" w:line="276" w:lineRule="exact"/>
        <w:jc w:val="both"/>
      </w:pPr>
      <w:r>
        <w:rPr>
          <w:rFonts w:ascii="Times New Roman" w:cs="Times New Roman" w:eastAsia="Times New Roman" w:hAnsi="Times New Roman"/>
          <w:sz w:val="22"/>
          <w:szCs w:val="22"/>
        </w:rPr>
        <w:t xml:space="preserve">Pattern enforcement is structural rather than advisory, guaranteeing that decisions made at the portal layer are faithfully realized in network and enforcement layers—regardless of which products or platforms implement those patterns beneath the abstraction.</w:t>
      </w:r>
    </w:p>
    <w:p>
      <w:pPr>
        <w:pStyle w:val="Heading2"/>
      </w:pPr>
      <w:r>
        <w:rPr>
          <w:rFonts w:ascii="Times New Roman" w:cs="Times New Roman" w:eastAsia="Times New Roman" w:hAnsi="Times New Roman"/>
          <w:b/>
          <w:bCs/>
          <w:sz w:val="22"/>
          <w:szCs w:val="22"/>
        </w:rPr>
        <w:t xml:space="preserve">Lifecycle Automation and Reversibility</w:t>
      </w:r>
    </w:p>
    <w:p>
      <w:pPr>
        <w:spacing w:after="120" w:line="276" w:lineRule="exact"/>
        <w:jc w:val="both"/>
      </w:pPr>
      <w:r>
        <w:rPr>
          <w:rFonts w:ascii="Times New Roman" w:cs="Times New Roman" w:eastAsia="Times New Roman" w:hAnsi="Times New Roman"/>
          <w:sz w:val="22"/>
          <w:szCs w:val="22"/>
        </w:rPr>
        <w:t xml:space="preserve">The platform manages the full lifecycle of exposure domains through authoritative configuration state. Creation, modification, validation, suspension, and removal are automated workflows.</w:t>
      </w:r>
    </w:p>
    <w:p>
      <w:pPr>
        <w:spacing w:after="120" w:line="276" w:lineRule="exact"/>
        <w:jc w:val="both"/>
      </w:pPr>
      <w:r>
        <w:rPr>
          <w:rFonts w:ascii="Times New Roman" w:cs="Times New Roman" w:eastAsia="Times New Roman" w:hAnsi="Times New Roman"/>
          <w:sz w:val="22"/>
          <w:szCs w:val="22"/>
        </w:rPr>
        <w:t xml:space="preserve">Exposure does not persist because of configuration residue or undocumented dependencies. The system supports complete and verifiable teardown of a Tenant without leaving latent trust artifacts. Exposure exists only while it is declared, approved, and actively governed.</w:t>
      </w:r>
    </w:p>
    <w:p>
      <w:pPr>
        <w:pStyle w:val="Heading2"/>
      </w:pPr>
      <w:r>
        <w:rPr>
          <w:rFonts w:ascii="Times New Roman" w:cs="Times New Roman" w:eastAsia="Times New Roman" w:hAnsi="Times New Roman"/>
          <w:b/>
          <w:bCs/>
          <w:sz w:val="22"/>
          <w:szCs w:val="22"/>
        </w:rPr>
        <w:t xml:space="preserve">Guardrail‑Enforced Extensibility</w:t>
      </w:r>
    </w:p>
    <w:p>
      <w:pPr>
        <w:spacing w:after="120" w:line="276" w:lineRule="exact"/>
        <w:jc w:val="both"/>
      </w:pPr>
      <w:r>
        <w:rPr>
          <w:rFonts w:ascii="Times New Roman" w:cs="Times New Roman" w:eastAsia="Times New Roman" w:hAnsi="Times New Roman"/>
          <w:sz w:val="22"/>
          <w:szCs w:val="22"/>
        </w:rPr>
        <w:t xml:space="preserve">The architecture allows the introduction of additional service mediation capabilities without undermining governance boundaries. Extensions inherit Tenant isolation, lifecycle control, and enforcement semantics.</w:t>
      </w:r>
    </w:p>
    <w:p>
      <w:pPr>
        <w:spacing w:after="120" w:line="276" w:lineRule="exact"/>
        <w:jc w:val="both"/>
      </w:pPr>
      <w:r>
        <w:rPr>
          <w:rFonts w:ascii="Times New Roman" w:cs="Times New Roman" w:eastAsia="Times New Roman" w:hAnsi="Times New Roman"/>
          <w:sz w:val="22"/>
          <w:szCs w:val="22"/>
        </w:rPr>
        <w:t xml:space="preserve">No add‑on may bypass core enforcement planes or operate outside Tenant context. The exposure fabric can evolve—supporting new protocols or collaboration models—while preserving structural discipline. This extensibility is what enables the product‑agnostic portal to remain stable while the platform adopts new technical capabilities underneath.</w:t>
      </w:r>
    </w:p>
    <w:p>
      <w:pPr>
        <w:pStyle w:val="Heading2"/>
      </w:pPr>
      <w:r>
        <w:rPr>
          <w:rFonts w:ascii="Times New Roman" w:cs="Times New Roman" w:eastAsia="Times New Roman" w:hAnsi="Times New Roman"/>
          <w:b/>
          <w:bCs/>
          <w:sz w:val="22"/>
          <w:szCs w:val="22"/>
        </w:rPr>
        <w:t xml:space="preserve">Administrative and Control Plane Separation</w:t>
      </w:r>
    </w:p>
    <w:p>
      <w:pPr>
        <w:spacing w:after="120" w:line="276" w:lineRule="exact"/>
        <w:jc w:val="both"/>
      </w:pPr>
      <w:r>
        <w:rPr>
          <w:rFonts w:ascii="Times New Roman" w:cs="Times New Roman" w:eastAsia="Times New Roman" w:hAnsi="Times New Roman"/>
          <w:sz w:val="22"/>
          <w:szCs w:val="22"/>
        </w:rPr>
        <w:t xml:space="preserve">Management functions are segregated from Tenant data paths. Administrative interfaces, orchestration logic, and configuration authorities reside within distinct trust boundaries, isolated from exposure domains.</w:t>
      </w:r>
    </w:p>
    <w:p>
      <w:pPr>
        <w:spacing w:after="120" w:line="276" w:lineRule="exact"/>
        <w:jc w:val="both"/>
      </w:pPr>
      <w:r>
        <w:rPr>
          <w:rFonts w:ascii="Times New Roman" w:cs="Times New Roman" w:eastAsia="Times New Roman" w:hAnsi="Times New Roman"/>
          <w:sz w:val="22"/>
          <w:szCs w:val="22"/>
        </w:rPr>
        <w:t xml:space="preserve">This separation ensures that compromise within a Tenant's exposure environment does not translate into control‑plane compromise and that governance enforcement remains intact even under exposure‑layer threats.</w:t>
      </w:r>
    </w:p>
    <w:p>
      <w:pPr>
        <w:pStyle w:val="Heading2"/>
      </w:pPr>
      <w:r>
        <w:rPr>
          <w:rFonts w:ascii="Times New Roman" w:cs="Times New Roman" w:eastAsia="Times New Roman" w:hAnsi="Times New Roman"/>
          <w:b/>
          <w:bCs/>
          <w:sz w:val="22"/>
          <w:szCs w:val="22"/>
        </w:rPr>
        <w:t xml:space="preserve">Capacity, Placement, and Auditability</w:t>
      </w:r>
    </w:p>
    <w:p>
      <w:pPr>
        <w:spacing w:after="120" w:line="276" w:lineRule="exact"/>
        <w:jc w:val="both"/>
      </w:pPr>
      <w:r>
        <w:rPr>
          <w:rFonts w:ascii="Times New Roman" w:cs="Times New Roman" w:eastAsia="Times New Roman" w:hAnsi="Times New Roman"/>
          <w:sz w:val="22"/>
          <w:szCs w:val="22"/>
        </w:rPr>
        <w:t xml:space="preserve">As Tenants scale, the platform must support capacity assessment and placement governance. Exposure domains are instantiated only with regard to system capacity and operational health, preventing risk accumulation through resource saturation.</w:t>
      </w:r>
    </w:p>
    <w:p>
      <w:pPr>
        <w:spacing w:after="120" w:line="276" w:lineRule="exact"/>
        <w:jc w:val="both"/>
      </w:pPr>
      <w:r>
        <w:rPr>
          <w:rFonts w:ascii="Times New Roman" w:cs="Times New Roman" w:eastAsia="Times New Roman" w:hAnsi="Times New Roman"/>
          <w:sz w:val="22"/>
          <w:szCs w:val="22"/>
        </w:rPr>
        <w:t xml:space="preserve">The system also maintains authoritative records of Tenant definitions, service selections, lifecycle events, and configuration state. Traceability from business declaration to technical realization is inherent, enabling audit evidence to be derived from system state instead of manual reconstruction.</w:t>
      </w:r>
    </w:p>
    <w:p>
      <w:pPr>
        <w:pStyle w:val="Heading2"/>
      </w:pPr>
      <w:r>
        <w:rPr>
          <w:rFonts w:ascii="Times New Roman" w:cs="Times New Roman" w:eastAsia="Times New Roman" w:hAnsi="Times New Roman"/>
          <w:b/>
          <w:bCs/>
          <w:sz w:val="22"/>
          <w:szCs w:val="22"/>
        </w:rPr>
        <w:t xml:space="preserve">Architectural Synthesis</w:t>
      </w:r>
    </w:p>
    <w:p>
      <w:pPr>
        <w:spacing w:after="120" w:line="276" w:lineRule="exact"/>
        <w:jc w:val="both"/>
      </w:pPr>
      <w:r>
        <w:rPr>
          <w:rFonts w:ascii="Times New Roman" w:cs="Times New Roman" w:eastAsia="Times New Roman" w:hAnsi="Times New Roman"/>
          <w:sz w:val="22"/>
          <w:szCs w:val="22"/>
        </w:rPr>
        <w:t xml:space="preserve">Delivered collectively, these capabilities transform the connectivity platform into governed exposure infrastructure rather than a loose collection of tunnels and firewall rules. Isolation constrains trust propagation, transport supports declared services, mediation limits scope, identity anchors accountability, inspection enables transparency, lifecycle automation prevents accumulation, extensibility preserves adaptability, administrative separation protects the control plane, and capacity governance sustains scale.</w:t>
      </w:r>
    </w:p>
    <w:p>
      <w:pPr>
        <w:spacing w:after="120" w:line="276" w:lineRule="exact"/>
        <w:jc w:val="both"/>
      </w:pPr>
      <w:r>
        <w:rPr>
          <w:rFonts w:ascii="Times New Roman" w:cs="Times New Roman" w:eastAsia="Times New Roman" w:hAnsi="Times New Roman"/>
          <w:sz w:val="22"/>
          <w:szCs w:val="22"/>
        </w:rPr>
        <w:t xml:space="preserve">The product‑agnostic separation between the Tenant portal and the exposure platform ensures that technical capabilities can evolve iteratively—new mediation patterns, inspection modules, transport technologies, or enforcement mechanisms can be introduced as catalog offerings—without changing how the business defines, owns, and governs connectivity.</w:t>
      </w:r>
    </w:p>
    <w:p>
      <w:pPr>
        <w:spacing w:after="120" w:line="276" w:lineRule="exact"/>
        <w:jc w:val="both"/>
      </w:pPr>
      <w:r>
        <w:rPr>
          <w:rFonts w:ascii="Times New Roman" w:cs="Times New Roman" w:eastAsia="Times New Roman" w:hAnsi="Times New Roman"/>
          <w:sz w:val="22"/>
          <w:szCs w:val="22"/>
        </w:rPr>
        <w:t xml:space="preserve">Third‑party connectivity becomes a bounded, accountable, and reversible set of exposure domains aligned to enterprise governance and business objectives.</w:t>
      </w:r>
    </w:p>
    <w:p>
      <w:r>
        <w:br w:type="page"/>
      </w:r>
    </w:p>
    <w:p>
      <w:pPr>
        <w:pStyle w:val="Heading1"/>
      </w:pPr>
      <w:r>
        <w:rPr>
          <w:rFonts w:ascii="Times New Roman" w:cs="Times New Roman" w:eastAsia="Times New Roman" w:hAnsi="Times New Roman"/>
          <w:b/>
          <w:bCs/>
          <w:caps/>
          <w:sz w:val="26"/>
          <w:szCs w:val="26"/>
        </w:rPr>
        <w:t xml:space="preserve">PART IV — IDENTITY-DRIVEN ZERO TRUST: FROM THEORY TO OPERATIONAL REALITY</w:t>
      </w:r>
    </w:p>
    <w:p>
      <w:pPr>
        <w:spacing w:after="120" w:line="276" w:lineRule="exact"/>
        <w:jc w:val="both"/>
      </w:pPr>
      <w:r>
        <w:rPr>
          <w:rFonts w:ascii="Times New Roman" w:cs="Times New Roman" w:eastAsia="Times New Roman" w:hAnsi="Times New Roman"/>
          <w:sz w:val="22"/>
          <w:szCs w:val="22"/>
        </w:rPr>
        <w:t xml:space="preserve">Parts I through III established the governed exposure infrastructure: a model in which every third-party connection is a structurally isolated, lifecycle-managed, service-catalog-governed exposure domain. Structural isolation, mediated service exposure, and identity-bound access control provide the containment and accountability fabric. Part IV now examines how identity enforcement operates within and across those exposure domains. The identity stack — issuance, claim transport, transport-level authentication, brokerage, authorization, and propagation — determines whether the governance model's intent is carried through to the point where actions actually occur: inside applications, at API boundaries, and at data layers. Without a rigorous identity architecture, governed exposure domains remain structurally sound but operationally opaque: the infrastructure knows which connections are authorized, but cannot reason about what authenticated actors do once inside. The following sections decompose each identity primitive, analyze its operational constraints in legacy estates, and establish the falsifiable criteria needed to evaluate whether a deployment achieves identity-native Zero Trust or merely identity-adjacent access mediation.</w:t>
      </w:r>
    </w:p>
    <w:p>
      <w:pPr>
        <w:pStyle w:val="Heading1"/>
      </w:pPr>
      <w:r>
        <w:rPr>
          <w:rFonts w:ascii="Times New Roman" w:cs="Times New Roman" w:eastAsia="Times New Roman" w:hAnsi="Times New Roman"/>
          <w:b/>
          <w:bCs/>
          <w:caps/>
          <w:sz w:val="26"/>
          <w:szCs w:val="26"/>
        </w:rPr>
        <w:t xml:space="preserve">1. PROBLEM STATEMENT: WHY ZTNA CONVERSATIONS COLLAPSE IN PRACTICE</w:t>
      </w:r>
    </w:p>
    <w:p>
      <w:pPr>
        <w:pStyle w:val="Heading2"/>
      </w:pPr>
      <w:r>
        <w:rPr>
          <w:rFonts w:ascii="Times New Roman" w:cs="Times New Roman" w:eastAsia="Times New Roman" w:hAnsi="Times New Roman"/>
          <w:b/>
          <w:bCs/>
          <w:sz w:val="22"/>
          <w:szCs w:val="22"/>
        </w:rPr>
        <w:t xml:space="preserve">1.1 The Recurring Confusion Is Structural, Not Educational</w:t>
      </w:r>
    </w:p>
    <w:p>
      <w:pPr>
        <w:spacing w:after="120" w:line="276" w:lineRule="exact"/>
        <w:jc w:val="both"/>
      </w:pPr>
      <w:r>
        <w:rPr>
          <w:rFonts w:ascii="Times New Roman" w:cs="Times New Roman" w:eastAsia="Times New Roman" w:hAnsi="Times New Roman"/>
          <w:sz w:val="22"/>
          <w:szCs w:val="22"/>
        </w:rPr>
        <w:t xml:space="preserve">Most engineers do not get "stuck" on Zero Trust because they cannot understand TLS, tokens, or PKI. They get stuck because typical ZTNA discourse compresses multiple, independently complex planes into one word: identity. In production environments, identity is not a single artifact; it is a composite of (a) who the user is, (b) what device they are using, (c) what workload is acting, (d) what context/risk signals apply, and (e) what authorization policy should govern each action.</w:t>
      </w:r>
    </w:p>
    <w:p>
      <w:pPr>
        <w:spacing w:after="120" w:line="276" w:lineRule="exact"/>
        <w:jc w:val="both"/>
      </w:pPr>
      <w:r>
        <w:rPr>
          <w:rFonts w:ascii="Times New Roman" w:cs="Times New Roman" w:eastAsia="Times New Roman" w:hAnsi="Times New Roman"/>
          <w:sz w:val="22"/>
          <w:szCs w:val="22"/>
        </w:rPr>
        <w:t xml:space="preserve">When vendors or architects equate "identity-aware access" with "Zero Trust," they implicitly claim that these planes have been integrated end-to-end. That claim is only true when applications can consume and enforce identity context at the point where actions occur. In legacy estates, the action boundary is often inside monoliths, databases, and operational shells that cannot consume modern context.</w:t>
      </w:r>
    </w:p>
    <w:p>
      <w:pPr>
        <w:pStyle w:val="Heading2"/>
      </w:pPr>
      <w:r>
        <w:rPr>
          <w:rFonts w:ascii="Times New Roman" w:cs="Times New Roman" w:eastAsia="Times New Roman" w:hAnsi="Times New Roman"/>
          <w:b/>
          <w:bCs/>
          <w:sz w:val="22"/>
          <w:szCs w:val="22"/>
        </w:rPr>
        <w:t xml:space="preserve">1.2 ZTNA as a Product Category vs. Zero Trust as an Architectural Discipline</w:t>
      </w:r>
    </w:p>
    <w:p>
      <w:pPr>
        <w:spacing w:after="120" w:line="276" w:lineRule="exact"/>
        <w:jc w:val="both"/>
      </w:pPr>
      <w:r>
        <w:rPr>
          <w:rFonts w:ascii="Times New Roman" w:cs="Times New Roman" w:eastAsia="Times New Roman" w:hAnsi="Times New Roman"/>
          <w:sz w:val="22"/>
          <w:szCs w:val="22"/>
        </w:rPr>
        <w:t xml:space="preserve">Zero Trust is a discipline. ZTNA is an access mediation pattern typically implemented by a broker that sits between a client and an application. Brokerage can be valuable while still being incomplete relative to the Zero Trust ideal. The practical question is not "does ZTNA work," but "which properties does this deployment achieve, which properties does it not achieve, and what is the residual risk envelope after deployment." This paper treats Zero Trust properties as testable and decomposable rather than as marketing outcomes.</w:t>
      </w:r>
    </w:p>
    <w:p>
      <w:pPr>
        <w:pStyle w:val="Heading2"/>
      </w:pPr>
      <w:r>
        <w:rPr>
          <w:rFonts w:ascii="Times New Roman" w:cs="Times New Roman" w:eastAsia="Times New Roman" w:hAnsi="Times New Roman"/>
          <w:b/>
          <w:bCs/>
          <w:sz w:val="22"/>
          <w:szCs w:val="22"/>
        </w:rPr>
        <w:t xml:space="preserve">1.3 The ZT-Native vs. Legacy Split Is the Central Axis of Feasibility</w:t>
      </w:r>
    </w:p>
    <w:p>
      <w:pPr>
        <w:spacing w:after="120" w:line="276" w:lineRule="exact"/>
        <w:jc w:val="both"/>
      </w:pPr>
      <w:r>
        <w:rPr>
          <w:rFonts w:ascii="Times New Roman" w:cs="Times New Roman" w:eastAsia="Times New Roman" w:hAnsi="Times New Roman"/>
          <w:sz w:val="22"/>
          <w:szCs w:val="22"/>
        </w:rPr>
        <w:t xml:space="preserve">A ZT-native application estate is one where applications (or a consistent application layer such as gateways/sidecars) consume identity claims, enforce authorization per request, and propagate identity to downstream tiers. A legacy estate is one where applications assume network location trust, rely on coarse session semantics, and use shared service accounts. Many "Zero Trust" initiatives fail because they assume a ZT-native control model while operating in a legacy substrate.</w:t>
      </w:r>
    </w:p>
    <w:p>
      <w:pPr>
        <w:pStyle w:val="Heading1"/>
      </w:pPr>
      <w:r>
        <w:rPr>
          <w:rFonts w:ascii="Times New Roman" w:cs="Times New Roman" w:eastAsia="Times New Roman" w:hAnsi="Times New Roman"/>
          <w:b/>
          <w:bCs/>
          <w:caps/>
          <w:sz w:val="26"/>
          <w:szCs w:val="26"/>
        </w:rPr>
        <w:t xml:space="preserve">2. ZERO TRUST ORIGINS AND BEYONDCORP: ANCHORS, NOT BLUEPRINTS</w:t>
      </w:r>
    </w:p>
    <w:p>
      <w:pPr>
        <w:pStyle w:val="Heading2"/>
      </w:pPr>
      <w:r>
        <w:rPr>
          <w:rFonts w:ascii="Times New Roman" w:cs="Times New Roman" w:eastAsia="Times New Roman" w:hAnsi="Times New Roman"/>
          <w:b/>
          <w:bCs/>
          <w:sz w:val="22"/>
          <w:szCs w:val="22"/>
        </w:rPr>
        <w:t xml:space="preserve">2.1 Forrester's Extended Enterprise Framing</w:t>
      </w:r>
    </w:p>
    <w:p>
      <w:pPr>
        <w:spacing w:after="120" w:line="276" w:lineRule="exact"/>
        <w:jc w:val="both"/>
      </w:pPr>
      <w:r>
        <w:rPr>
          <w:rFonts w:ascii="Times New Roman" w:cs="Times New Roman" w:eastAsia="Times New Roman" w:hAnsi="Times New Roman"/>
          <w:sz w:val="22"/>
          <w:szCs w:val="22"/>
        </w:rPr>
        <w:t xml:space="preserve">Forrester's 2011 articulation of Zero Trust addressed the extended enterprise: a world where employees, contractors, partners, and services extend beyond traditional boundaries and where "inside" is no longer a meaningful predicate for trust [1]. The core move was to treat the network as hostile by default and to move controls closer to data and identity. Importantly, this framing does not claim a single mechanism; it argues for a control strategy that includes least privilege, strong authentication, segmentation, monitoring, and policy-driven access.</w:t>
      </w:r>
    </w:p>
    <w:p>
      <w:pPr>
        <w:pStyle w:val="Heading2"/>
      </w:pPr>
      <w:r>
        <w:rPr>
          <w:rFonts w:ascii="Times New Roman" w:cs="Times New Roman" w:eastAsia="Times New Roman" w:hAnsi="Times New Roman"/>
          <w:b/>
          <w:bCs/>
          <w:sz w:val="22"/>
          <w:szCs w:val="22"/>
        </w:rPr>
        <w:t xml:space="preserve">2.2 BeyondCorp's Operationalization: What Makes It Hard to Replicate</w:t>
      </w:r>
    </w:p>
    <w:p>
      <w:pPr>
        <w:spacing w:after="120" w:line="276" w:lineRule="exact"/>
        <w:jc w:val="both"/>
      </w:pPr>
      <w:r>
        <w:rPr>
          <w:rFonts w:ascii="Times New Roman" w:cs="Times New Roman" w:eastAsia="Times New Roman" w:hAnsi="Times New Roman"/>
          <w:sz w:val="22"/>
          <w:szCs w:val="22"/>
        </w:rPr>
        <w:t xml:space="preserve">BeyondCorp is frequently cited as proof that Zero Trust is achievable at scale [2]. The lesson is correct, but the inference often is not. BeyondCorp succeeded because Google owned the entire dependency chain: device inventory, endpoint enforcement, application exposure patterns, proxy control, and continuous engineering iteration. BeyondCorp assumes that identity can be evaluated at request time using a combination of user identity, device identity (often certificate-anchored), and trust inference. This is not merely an access front door; it is a fabric of governance and telemetry that supports per-request decisions.</w:t>
      </w:r>
    </w:p>
    <w:p>
      <w:pPr>
        <w:pStyle w:val="Heading2"/>
      </w:pPr>
      <w:r>
        <w:rPr>
          <w:rFonts w:ascii="Times New Roman" w:cs="Times New Roman" w:eastAsia="Times New Roman" w:hAnsi="Times New Roman"/>
          <w:b/>
          <w:bCs/>
          <w:sz w:val="22"/>
          <w:szCs w:val="22"/>
        </w:rPr>
        <w:t xml:space="preserve">2.3 The Key Difference: Identity Continues Into the Application Layer</w:t>
      </w:r>
    </w:p>
    <w:p>
      <w:pPr>
        <w:spacing w:after="120" w:line="276" w:lineRule="exact"/>
        <w:jc w:val="both"/>
      </w:pPr>
      <w:r>
        <w:rPr>
          <w:rFonts w:ascii="Times New Roman" w:cs="Times New Roman" w:eastAsia="Times New Roman" w:hAnsi="Times New Roman"/>
          <w:sz w:val="22"/>
          <w:szCs w:val="22"/>
        </w:rPr>
        <w:t xml:space="preserve">In BeyondCorp, identity does not terminate at the edge. It is evaluated per request by an access control engine and is integrated with inventory-derived device trust [2]. In many enterprise ZTNA deployments, identity terminates at a broker and is not consumed by backend services. The distinction matters because the primary threat in mature environments is not only unauthorized entry; it is abuse after entry — lateral movement, privilege expansion, and unauthorized data operations.</w:t>
      </w:r>
    </w:p>
    <w:p>
      <w:pPr>
        <w:spacing w:after="120" w:line="276" w:lineRule="exact"/>
        <w:jc w:val="both"/>
      </w:pPr>
      <w:r>
        <w:rPr>
          <w:rFonts w:ascii="Times New Roman" w:cs="Times New Roman" w:eastAsia="Times New Roman" w:hAnsi="Times New Roman"/>
          <w:sz w:val="22"/>
          <w:szCs w:val="22"/>
        </w:rPr>
        <w:t xml:space="preserve">In many enterprise ZTNA deployments, identity terminates at a broker and is not consumed by backend services. The primary threat is not only unauthorized entry — it is abuse after entry.</w:t>
      </w:r>
    </w:p>
    <w:p>
      <w:pPr>
        <w:pStyle w:val="Heading1"/>
      </w:pPr>
      <w:r>
        <w:rPr>
          <w:rFonts w:ascii="Times New Roman" w:cs="Times New Roman" w:eastAsia="Times New Roman" w:hAnsi="Times New Roman"/>
          <w:b/>
          <w:bCs/>
          <w:caps/>
          <w:sz w:val="26"/>
          <w:szCs w:val="26"/>
        </w:rPr>
        <w:t xml:space="preserve">3. DECOMPOSING THE IDENTITY STACK INTO VERIFIABLE PRIMITIVES</w:t>
      </w:r>
    </w:p>
    <w:p>
      <w:pPr>
        <w:pStyle w:val="Heading2"/>
      </w:pPr>
      <w:r>
        <w:rPr>
          <w:rFonts w:ascii="Times New Roman" w:cs="Times New Roman" w:eastAsia="Times New Roman" w:hAnsi="Times New Roman"/>
          <w:b/>
          <w:bCs/>
          <w:sz w:val="22"/>
          <w:szCs w:val="22"/>
        </w:rPr>
        <w:t xml:space="preserve">3.1 Identity Issuance vs. Identity Consumption</w:t>
      </w:r>
    </w:p>
    <w:p>
      <w:pPr>
        <w:spacing w:after="120" w:line="276" w:lineRule="exact"/>
        <w:jc w:val="both"/>
      </w:pPr>
      <w:r>
        <w:rPr>
          <w:rFonts w:ascii="Times New Roman" w:cs="Times New Roman" w:eastAsia="Times New Roman" w:hAnsi="Times New Roman"/>
          <w:sz w:val="22"/>
          <w:szCs w:val="22"/>
        </w:rPr>
        <w:t xml:space="preserve">Identity issuance answers: who is asserting identity and under what conditions? Identity consumption answers: where is that identity evaluated to permit or deny a specific action? Issuance commonly happens at an IdP (OIDC/SAML). Consumption must happen at the application boundary where authorization decisions are meaningful. A token that is issued but not consumed is not an access control; it is an unutilized assertion.</w:t>
      </w:r>
    </w:p>
    <w:p>
      <w:pPr>
        <w:spacing w:after="120" w:line="276" w:lineRule="exact"/>
        <w:jc w:val="both"/>
      </w:pPr>
      <w:r>
        <w:rPr>
          <w:rFonts w:ascii="Times New Roman" w:cs="Times New Roman" w:eastAsia="Times New Roman" w:hAnsi="Times New Roman"/>
          <w:i/>
          <w:iCs/>
          <w:sz w:val="20"/>
          <w:szCs w:val="20"/>
        </w:rPr>
        <w:t xml:space="preserve">For implementation details on IdP context aggregation and token construction flows, see Appendix K.</w:t>
      </w:r>
    </w:p>
    <w:p>
      <w:pPr>
        <w:pStyle w:val="Heading2"/>
      </w:pPr>
      <w:r>
        <w:rPr>
          <w:rFonts w:ascii="Times New Roman" w:cs="Times New Roman" w:eastAsia="Times New Roman" w:hAnsi="Times New Roman"/>
          <w:b/>
          <w:bCs/>
          <w:sz w:val="22"/>
          <w:szCs w:val="22"/>
        </w:rPr>
        <w:t xml:space="preserve">3.2 Claim Transport vs. Transport Security</w:t>
      </w:r>
    </w:p>
    <w:p>
      <w:pPr>
        <w:spacing w:after="120" w:line="276" w:lineRule="exact"/>
        <w:jc w:val="both"/>
      </w:pPr>
      <w:r>
        <w:rPr>
          <w:rFonts w:ascii="Times New Roman" w:cs="Times New Roman" w:eastAsia="Times New Roman" w:hAnsi="Times New Roman"/>
          <w:sz w:val="22"/>
          <w:szCs w:val="22"/>
        </w:rPr>
        <w:t xml:space="preserve">JWTs are claim transport artifacts: signed statements carrying attributes (subject, audience, scopes, groups, risk markers). mTLS is a transport-level mechanism that authenticates endpoints (typically workloads) and encrypts the channel. These are orthogonal layers. Confusing them yields false conclusions such as "mTLS replaces JWT" or "JWT replaces mTLS." In reality: JWT helps a service reason about user context; mTLS helps a service reason about the calling workload's authenticity. Full technical detail on each mechanism is provided in Appendix I (mTLS) and Appendix J (JWT).</w:t>
      </w:r>
    </w:p>
    <w:p>
      <w:pPr>
        <w:spacing w:after="120" w:line="276" w:lineRule="exact"/>
        <w:jc w:val="both"/>
      </w:pPr>
      <w:r>
        <w:rPr>
          <w:rFonts w:ascii="Times New Roman" w:cs="Times New Roman" w:eastAsia="Times New Roman" w:hAnsi="Times New Roman"/>
          <w:i/>
          <w:iCs/>
          <w:sz w:val="20"/>
          <w:szCs w:val="20"/>
        </w:rPr>
        <w:t xml:space="preserve">For detailed JWT issuance and validation state machines, see Appendix J. For mTLS certificate lifecycle and handshake flows, see Appendix I.</w:t>
      </w:r>
    </w:p>
    <w:p>
      <w:pPr>
        <w:pStyle w:val="Heading2"/>
      </w:pPr>
      <w:r>
        <w:rPr>
          <w:rFonts w:ascii="Times New Roman" w:cs="Times New Roman" w:eastAsia="Times New Roman" w:hAnsi="Times New Roman"/>
          <w:b/>
          <w:bCs/>
          <w:sz w:val="22"/>
          <w:szCs w:val="22"/>
        </w:rPr>
        <w:t xml:space="preserve">3.3 Brokerage vs. Propagation</w:t>
      </w:r>
    </w:p>
    <w:p>
      <w:pPr>
        <w:spacing w:after="120" w:line="276" w:lineRule="exact"/>
        <w:jc w:val="both"/>
      </w:pPr>
      <w:r>
        <w:rPr>
          <w:rFonts w:ascii="Times New Roman" w:cs="Times New Roman" w:eastAsia="Times New Roman" w:hAnsi="Times New Roman"/>
          <w:sz w:val="22"/>
          <w:szCs w:val="22"/>
        </w:rPr>
        <w:t xml:space="preserve">Brokerage mediates access across a boundary. Propagation maintains identity across multiple tiers. Brokerage can exist without propagation. In legacy systems, brokerage often becomes the terminal consumer of identity. In ZT-native systems, brokerage is optional because identity is enforced continuously by the app fabric. The architectural comparison between brokerage-centric and ZT-native models is examined in full in Appendix O.</w:t>
      </w:r>
    </w:p>
    <w:p>
      <w:pPr>
        <w:spacing w:after="120" w:line="276" w:lineRule="exact"/>
        <w:jc w:val="both"/>
      </w:pPr>
      <w:r>
        <w:rPr>
          <w:rFonts w:ascii="Times New Roman" w:cs="Times New Roman" w:eastAsia="Times New Roman" w:hAnsi="Times New Roman"/>
          <w:i/>
          <w:iCs/>
          <w:sz w:val="20"/>
          <w:szCs w:val="20"/>
        </w:rPr>
        <w:t xml:space="preserve">For comparative analysis of brokerage-centric vs ZT-native architectures, see Appendix O.</w:t>
      </w:r>
    </w:p>
    <w:p>
      <w:pPr>
        <w:pStyle w:val="Heading1"/>
      </w:pPr>
      <w:r>
        <w:rPr>
          <w:rFonts w:ascii="Times New Roman" w:cs="Times New Roman" w:eastAsia="Times New Roman" w:hAnsi="Times New Roman"/>
          <w:b/>
          <w:bCs/>
          <w:caps/>
          <w:sz w:val="26"/>
          <w:szCs w:val="26"/>
        </w:rPr>
        <w:t xml:space="preserve">4. IDENTITY PROVIDERS AND CONTEXT: WHERE CLAIMS ACTUALLY COME FROM</w:t>
      </w:r>
    </w:p>
    <w:p>
      <w:pPr>
        <w:pStyle w:val="Heading2"/>
      </w:pPr>
      <w:r>
        <w:rPr>
          <w:rFonts w:ascii="Times New Roman" w:cs="Times New Roman" w:eastAsia="Times New Roman" w:hAnsi="Times New Roman"/>
          <w:b/>
          <w:bCs/>
          <w:sz w:val="22"/>
          <w:szCs w:val="22"/>
        </w:rPr>
        <w:t xml:space="preserve">4.1 The IdP Does Not Magically Know Context</w:t>
      </w:r>
    </w:p>
    <w:p>
      <w:pPr>
        <w:spacing w:after="120" w:line="276" w:lineRule="exact"/>
        <w:jc w:val="both"/>
      </w:pPr>
      <w:r>
        <w:rPr>
          <w:rFonts w:ascii="Times New Roman" w:cs="Times New Roman" w:eastAsia="Times New Roman" w:hAnsi="Times New Roman"/>
          <w:sz w:val="22"/>
          <w:szCs w:val="22"/>
        </w:rPr>
        <w:t xml:space="preserve">An IdP issues tokens, but the quality of those tokens depends on the sources feeding the IdP. Context such as device compliance, risk, posture, location anomaly, and authentication strength is not invented; it is derived from sensors and systems of record. Therefore, any claim about "context-aware access" must be grounded in a data lineage model: which systems produce which signals, at what cadence, with what integrity guarantees, and with what failure modes.</w:t>
      </w:r>
    </w:p>
    <w:p>
      <w:pPr>
        <w:spacing w:after="120" w:line="276" w:lineRule="exact"/>
        <w:jc w:val="both"/>
      </w:pPr>
      <w:r>
        <w:rPr>
          <w:rFonts w:ascii="Times New Roman" w:cs="Times New Roman" w:eastAsia="Times New Roman" w:hAnsi="Times New Roman"/>
          <w:i/>
          <w:iCs/>
          <w:sz w:val="20"/>
          <w:szCs w:val="20"/>
        </w:rPr>
        <w:t xml:space="preserve">For a complete IdP context aggregation flow showing how directory, device management, risk engines, and federation sources combine to produce tokens, see Appendix K.</w:t>
      </w:r>
    </w:p>
    <w:p>
      <w:pPr>
        <w:pStyle w:val="Heading2"/>
      </w:pPr>
      <w:r>
        <w:rPr>
          <w:rFonts w:ascii="Times New Roman" w:cs="Times New Roman" w:eastAsia="Times New Roman" w:hAnsi="Times New Roman"/>
          <w:b/>
          <w:bCs/>
          <w:sz w:val="22"/>
          <w:szCs w:val="22"/>
        </w:rPr>
        <w:t xml:space="preserve">4.2 Primary Sources of Context and Typical Acquisition Models</w:t>
      </w:r>
    </w:p>
    <w:p>
      <w:pPr>
        <w:spacing w:after="120" w:line="276" w:lineRule="exact"/>
        <w:jc w:val="both"/>
      </w:pPr>
      <w:r>
        <w:rPr>
          <w:rFonts w:ascii="Times New Roman" w:cs="Times New Roman" w:eastAsia="Times New Roman" w:hAnsi="Times New Roman"/>
          <w:sz w:val="22"/>
          <w:szCs w:val="22"/>
        </w:rPr>
        <w:t xml:space="preserve">Common sources include: directory services (users, groups, org roles), endpoint management (compliance state, OS version, encryption), EDR telemetry (risk score, suspicious behavior), network signals (impossible travel, ASN anomalies), and PAM systems (elevation state). The following table summarizes typical IdP context sources and their contributions:</w:t>
      </w:r>
    </w:p>
    <w:p>
      <w:pPr>
        <w:spacing w:after="120" w:line="276" w:lineRule="exact"/>
        <w:jc w:val="both"/>
      </w:pPr>
      <w:r>
        <w:rPr>
          <w:rFonts w:ascii="Times New Roman" w:cs="Times New Roman" w:eastAsia="Times New Roman" w:hAnsi="Times New Roman"/>
          <w:sz w:val="22"/>
          <w:szCs w:val="22"/>
        </w:rPr>
        <w:t xml:space="preserve">Directory (AD/LDAP/Entra): user principal name, groups, organizational unit, department, manager, employee ID.</w:t>
      </w:r>
    </w:p>
    <w:p>
      <w:pPr>
        <w:spacing w:after="120" w:line="276" w:lineRule="exact"/>
        <w:jc w:val="both"/>
      </w:pPr>
      <w:r>
        <w:rPr>
          <w:rFonts w:ascii="Times New Roman" w:cs="Times New Roman" w:eastAsia="Times New Roman" w:hAnsi="Times New Roman"/>
          <w:sz w:val="22"/>
          <w:szCs w:val="22"/>
        </w:rPr>
        <w:t xml:space="preserve">Device Management (MDM/EPP): device ID, compliance status, OS version, patch level, disk encryption, jailbreak/root detection.</w:t>
      </w:r>
    </w:p>
    <w:p>
      <w:pPr>
        <w:spacing w:after="120" w:line="276" w:lineRule="exact"/>
        <w:jc w:val="both"/>
      </w:pPr>
      <w:r>
        <w:rPr>
          <w:rFonts w:ascii="Times New Roman" w:cs="Times New Roman" w:eastAsia="Times New Roman" w:hAnsi="Times New Roman"/>
          <w:sz w:val="22"/>
          <w:szCs w:val="22"/>
        </w:rPr>
        <w:t xml:space="preserve">Risk Engine: sign-in risk score, anomaly flags (impossible travel, unusual location, credential leak detection), session risk.</w:t>
      </w:r>
    </w:p>
    <w:p>
      <w:pPr>
        <w:spacing w:after="120" w:line="276" w:lineRule="exact"/>
        <w:jc w:val="both"/>
      </w:pPr>
      <w:r>
        <w:rPr>
          <w:rFonts w:ascii="Times New Roman" w:cs="Times New Roman" w:eastAsia="Times New Roman" w:hAnsi="Times New Roman"/>
          <w:sz w:val="22"/>
          <w:szCs w:val="22"/>
        </w:rPr>
        <w:t xml:space="preserve">Federation Metadata: upstream IdP assertions, federated attributes, home realm information.</w:t>
      </w:r>
    </w:p>
    <w:p>
      <w:pPr>
        <w:spacing w:after="120" w:line="276" w:lineRule="exact"/>
        <w:jc w:val="both"/>
      </w:pPr>
      <w:r>
        <w:rPr>
          <w:rFonts w:ascii="Times New Roman" w:cs="Times New Roman" w:eastAsia="Times New Roman" w:hAnsi="Times New Roman"/>
          <w:sz w:val="22"/>
          <w:szCs w:val="22"/>
        </w:rPr>
        <w:t xml:space="preserve">Acquisition typically occurs through one or more of: endpoint agents (MDM/EDR), API integrations/service feeds (SCIM, vendor APIs), event streams (SIEM/SOAR), and directory synchronization. Each introduces failure classes: agent coverage gaps, API staleness, schema drift, identity mapping errors, and risk model false positives.</w:t>
      </w:r>
    </w:p>
    <w:p>
      <w:pPr>
        <w:pStyle w:val="Heading2"/>
      </w:pPr>
      <w:r>
        <w:rPr>
          <w:rFonts w:ascii="Times New Roman" w:cs="Times New Roman" w:eastAsia="Times New Roman" w:hAnsi="Times New Roman"/>
          <w:b/>
          <w:bCs/>
          <w:sz w:val="22"/>
          <w:szCs w:val="22"/>
        </w:rPr>
        <w:t xml:space="preserve">4.3 Context Is Time-Sensitive; Tokens Are Snapshots</w:t>
      </w:r>
    </w:p>
    <w:p>
      <w:pPr>
        <w:spacing w:after="120" w:line="276" w:lineRule="exact"/>
        <w:jc w:val="both"/>
      </w:pPr>
      <w:r>
        <w:rPr>
          <w:rFonts w:ascii="Times New Roman" w:cs="Times New Roman" w:eastAsia="Times New Roman" w:hAnsi="Times New Roman"/>
          <w:sz w:val="22"/>
          <w:szCs w:val="22"/>
        </w:rPr>
        <w:t xml:space="preserve">Most access tokens represent a snapshot at issuance time. This creates a mismatch between continuously changing risk and discrete token lifetimes. Short-lived tokens reduce exposure but increase operational dependency on refresh flows and session continuity. Long-lived tokens reduce operational friction but allow stale context. Any design must state explicitly: what is the token TTL, what events trigger re-authentication or step-up, and how quickly can risk changes be reflected in enforcement.</w:t>
      </w:r>
    </w:p>
    <w:p>
      <w:pPr>
        <w:pStyle w:val="Heading1"/>
      </w:pPr>
      <w:r>
        <w:rPr>
          <w:rFonts w:ascii="Times New Roman" w:cs="Times New Roman" w:eastAsia="Times New Roman" w:hAnsi="Times New Roman"/>
          <w:b/>
          <w:bCs/>
          <w:caps/>
          <w:sz w:val="26"/>
          <w:szCs w:val="26"/>
        </w:rPr>
        <w:t xml:space="preserve">5. JWT IN PRODUCTION: WHAT IT ENABLES, WHAT IT CANNOT, AND WHERE IT TERMINATES</w:t>
      </w:r>
    </w:p>
    <w:p>
      <w:pPr>
        <w:pStyle w:val="Heading2"/>
      </w:pPr>
      <w:r>
        <w:rPr>
          <w:rFonts w:ascii="Times New Roman" w:cs="Times New Roman" w:eastAsia="Times New Roman" w:hAnsi="Times New Roman"/>
          <w:b/>
          <w:bCs/>
          <w:sz w:val="22"/>
          <w:szCs w:val="22"/>
        </w:rPr>
        <w:t xml:space="preserve">5.1 JWT Enables Portable User Claims — Only If Validated Downstream</w:t>
      </w:r>
    </w:p>
    <w:p>
      <w:pPr>
        <w:spacing w:after="120" w:line="276" w:lineRule="exact"/>
        <w:jc w:val="both"/>
      </w:pPr>
      <w:r>
        <w:rPr>
          <w:rFonts w:ascii="Times New Roman" w:cs="Times New Roman" w:eastAsia="Times New Roman" w:hAnsi="Times New Roman"/>
          <w:sz w:val="22"/>
          <w:szCs w:val="22"/>
        </w:rPr>
        <w:t xml:space="preserve">JWT enables applications and gateways to validate user claims without re-contacting the IdP on every request. This supports horizontal scaling and decouples runtime authorization from centralized session stores. However, JWT only contributes to security if the consumer validates: signature (using trusted keys), issuer, audience, expiration, and — critically — authorization semantics (scopes/roles) bound to an action. A JWT passed through systems that do not validate it is not an enforcement primitive. The complete per-request JWT validation state machine is provided in Appendix J.3.</w:t>
      </w:r>
    </w:p>
    <w:p>
      <w:pPr>
        <w:spacing w:after="120" w:line="276" w:lineRule="exact"/>
        <w:jc w:val="both"/>
      </w:pPr>
      <w:r>
        <w:rPr>
          <w:rFonts w:ascii="Times New Roman" w:cs="Times New Roman" w:eastAsia="Times New Roman" w:hAnsi="Times New Roman"/>
          <w:i/>
          <w:iCs/>
          <w:sz w:val="20"/>
          <w:szCs w:val="20"/>
        </w:rPr>
        <w:t xml:space="preserve">For the complete per-request JWT validation state machine showing signature verification, claims validation, and policy evaluation, see Appendix J.</w:t>
      </w:r>
    </w:p>
    <w:p>
      <w:pPr>
        <w:pStyle w:val="Heading2"/>
      </w:pPr>
      <w:r>
        <w:rPr>
          <w:rFonts w:ascii="Times New Roman" w:cs="Times New Roman" w:eastAsia="Times New Roman" w:hAnsi="Times New Roman"/>
          <w:b/>
          <w:bCs/>
          <w:sz w:val="22"/>
          <w:szCs w:val="22"/>
        </w:rPr>
        <w:t xml:space="preserve">5.2 Audience Restriction Is the Line Between "Token" and "Bearer Credential"</w:t>
      </w:r>
    </w:p>
    <w:p>
      <w:pPr>
        <w:spacing w:after="120" w:line="276" w:lineRule="exact"/>
        <w:jc w:val="both"/>
      </w:pPr>
      <w:r>
        <w:rPr>
          <w:rFonts w:ascii="Times New Roman" w:cs="Times New Roman" w:eastAsia="Times New Roman" w:hAnsi="Times New Roman"/>
          <w:sz w:val="22"/>
          <w:szCs w:val="22"/>
        </w:rPr>
        <w:t xml:space="preserve">In robust systems, audience restriction ensures a token minted for one service cannot be replayed to another. Legacy "token forwarding" patterns often violate this by pushing a user token across tiers without exchanging or re-scoping it. This expands blast radius: any tier that can read the token can reuse it, and any downstream service that accepts it becomes a confused deputy. A defensible architecture requires either token exchange per hop or strict audience enforcement with bounded trusted intermediaries. Token exchange patterns including OAuth 2.0 Token Exchange (RFC 8693) are examined in Appendix J.</w:t>
      </w:r>
    </w:p>
    <w:p>
      <w:pPr>
        <w:spacing w:after="120" w:line="276" w:lineRule="exact"/>
        <w:jc w:val="both"/>
      </w:pPr>
      <w:r>
        <w:rPr>
          <w:rFonts w:ascii="Times New Roman" w:cs="Times New Roman" w:eastAsia="Times New Roman" w:hAnsi="Times New Roman"/>
          <w:i/>
          <w:iCs/>
          <w:sz w:val="20"/>
          <w:szCs w:val="20"/>
        </w:rPr>
        <w:t xml:space="preserve">For token exchange patterns and propagation strategies including OAuth 2.0 Token Exchange (RFC 8693), see Appendix N.</w:t>
      </w:r>
    </w:p>
    <w:p>
      <w:pPr>
        <w:spacing w:after="120" w:line="276" w:lineRule="exact"/>
        <w:jc w:val="both"/>
      </w:pPr>
      <w:r>
        <w:rPr>
          <w:rFonts w:ascii="Times New Roman" w:cs="Times New Roman" w:eastAsia="Times New Roman" w:hAnsi="Times New Roman"/>
          <w:sz w:val="22"/>
          <w:szCs w:val="22"/>
        </w:rPr>
        <w:t xml:space="preserve">A JWT passed through systems that do not validate it is not an enforcement primitive. Audience restriction is the line between a token and a bearer credential.</w:t>
      </w:r>
    </w:p>
    <w:p>
      <w:pPr>
        <w:pStyle w:val="Heading2"/>
      </w:pPr>
      <w:r>
        <w:rPr>
          <w:rFonts w:ascii="Times New Roman" w:cs="Times New Roman" w:eastAsia="Times New Roman" w:hAnsi="Times New Roman"/>
          <w:b/>
          <w:bCs/>
          <w:sz w:val="22"/>
          <w:szCs w:val="22"/>
        </w:rPr>
        <w:t xml:space="preserve">5.3 ZT-Native vs. Legacy Impact</w:t>
      </w:r>
    </w:p>
    <w:p>
      <w:pPr>
        <w:spacing w:after="120" w:line="276" w:lineRule="exact"/>
        <w:jc w:val="both"/>
      </w:pPr>
      <w:r>
        <w:rPr>
          <w:rFonts w:ascii="Times New Roman" w:cs="Times New Roman" w:eastAsia="Times New Roman" w:hAnsi="Times New Roman"/>
          <w:sz w:val="22"/>
          <w:szCs w:val="22"/>
        </w:rPr>
        <w:t xml:space="preserve">ZT-native: services validate JWTs at each boundary, exchange tokens for downstream audiences, and use claims to enforce per-request policy. Legacy: the broker validates JWTs, the backend does not, and identity becomes implicit trust in the broker. In that case, JWT is an ingress control, not an architectural transformation.</w:t>
      </w:r>
    </w:p>
    <w:p>
      <w:pPr>
        <w:pStyle w:val="Heading1"/>
      </w:pPr>
      <w:r>
        <w:rPr>
          <w:rFonts w:ascii="Times New Roman" w:cs="Times New Roman" w:eastAsia="Times New Roman" w:hAnsi="Times New Roman"/>
          <w:b/>
          <w:bCs/>
          <w:caps/>
          <w:sz w:val="26"/>
          <w:szCs w:val="26"/>
        </w:rPr>
        <w:t xml:space="preserve">6. MTLS IN PRODUCTION: WORKLOAD AUTHENTICITY, NOT BUSINESS CONTEXT</w:t>
      </w:r>
    </w:p>
    <w:p>
      <w:pPr>
        <w:pStyle w:val="Heading2"/>
      </w:pPr>
      <w:r>
        <w:rPr>
          <w:rFonts w:ascii="Times New Roman" w:cs="Times New Roman" w:eastAsia="Times New Roman" w:hAnsi="Times New Roman"/>
          <w:b/>
          <w:bCs/>
          <w:sz w:val="22"/>
          <w:szCs w:val="22"/>
        </w:rPr>
        <w:t xml:space="preserve">6.1 mTLS Enables Machine-to-Machine Authentication and Channel Security</w:t>
      </w:r>
    </w:p>
    <w:p>
      <w:pPr>
        <w:spacing w:after="120" w:line="276" w:lineRule="exact"/>
        <w:jc w:val="both"/>
      </w:pPr>
      <w:r>
        <w:rPr>
          <w:rFonts w:ascii="Times New Roman" w:cs="Times New Roman" w:eastAsia="Times New Roman" w:hAnsi="Times New Roman"/>
          <w:sz w:val="22"/>
          <w:szCs w:val="22"/>
        </w:rPr>
        <w:t xml:space="preserve">mTLS binds a connection to cryptographic identity anchored in a CA. It prevents endpoint impersonation (absent key compromise), provides confidentiality and integrity, and supports workload-level allow/deny by certificate identity. This is foundational for service-to-service trust, partner system authentication, and high-assurance internal connectivity. The complete mTLS handshake state machine is provided in Appendix I.3.</w:t>
      </w:r>
    </w:p>
    <w:p>
      <w:pPr>
        <w:spacing w:after="120" w:line="276" w:lineRule="exact"/>
        <w:jc w:val="both"/>
      </w:pPr>
      <w:r>
        <w:rPr>
          <w:rFonts w:ascii="Times New Roman" w:cs="Times New Roman" w:eastAsia="Times New Roman" w:hAnsi="Times New Roman"/>
          <w:i/>
          <w:iCs/>
          <w:sz w:val="20"/>
          <w:szCs w:val="20"/>
        </w:rPr>
        <w:t xml:space="preserve">For the complete mTLS handshake state machine and connection-level authentication flow, see Appendix I.</w:t>
      </w:r>
    </w:p>
    <w:p>
      <w:pPr>
        <w:pStyle w:val="Heading2"/>
      </w:pPr>
      <w:r>
        <w:rPr>
          <w:rFonts w:ascii="Times New Roman" w:cs="Times New Roman" w:eastAsia="Times New Roman" w:hAnsi="Times New Roman"/>
          <w:b/>
          <w:bCs/>
          <w:sz w:val="22"/>
          <w:szCs w:val="22"/>
        </w:rPr>
        <w:t xml:space="preserve">6.2 User Identity in SAN: Possible, but Limited and Often Inferential in Practice</w:t>
      </w:r>
    </w:p>
    <w:p>
      <w:pPr>
        <w:spacing w:after="120" w:line="276" w:lineRule="exact"/>
        <w:jc w:val="both"/>
      </w:pPr>
      <w:r>
        <w:rPr>
          <w:rFonts w:ascii="Times New Roman" w:cs="Times New Roman" w:eastAsia="Times New Roman" w:hAnsi="Times New Roman"/>
          <w:sz w:val="22"/>
          <w:szCs w:val="22"/>
        </w:rPr>
        <w:t xml:space="preserve">Client certificates can encode user identifiers in SAN fields. This can provide strong, phishing-resistant authentication when keys are hardware-bound. However, the certificate does not inherently carry dynamic authorization context (roles, scopes, step-up state, risk). Downstream systems typically treat certificate identity as a principal name, not as a richly attributed subject. Thus, user identity via SAN is authenticated identity, but it is usually not contextual identity.</w:t>
      </w:r>
    </w:p>
    <w:p>
      <w:pPr>
        <w:pStyle w:val="Heading2"/>
      </w:pPr>
      <w:r>
        <w:rPr>
          <w:rFonts w:ascii="Times New Roman" w:cs="Times New Roman" w:eastAsia="Times New Roman" w:hAnsi="Times New Roman"/>
          <w:b/>
          <w:bCs/>
          <w:sz w:val="22"/>
          <w:szCs w:val="22"/>
        </w:rPr>
        <w:t xml:space="preserve">6.3 Lifecycle Is the Real Cost Center</w:t>
      </w:r>
    </w:p>
    <w:p>
      <w:pPr>
        <w:spacing w:after="120" w:line="276" w:lineRule="exact"/>
        <w:jc w:val="both"/>
      </w:pPr>
      <w:r>
        <w:rPr>
          <w:rFonts w:ascii="Times New Roman" w:cs="Times New Roman" w:eastAsia="Times New Roman" w:hAnsi="Times New Roman"/>
          <w:sz w:val="22"/>
          <w:szCs w:val="22"/>
        </w:rPr>
        <w:t xml:space="preserve">mTLS maturity is less about cryptography and more about lifecycle: issuance automation, rotation, revocation/OCSP behavior, trust bundle distribution, and key protection. In legacy estates with manual certificate handling, mTLS can increase outage risk. In ZT-native estates with automated lifecycle, mTLS enables granular workload policies and reduces lateral movement via impersonation constraints. The full certificate lifecycle state machine is detailed in Appendix I.2.</w:t>
      </w:r>
    </w:p>
    <w:p>
      <w:pPr>
        <w:spacing w:after="120" w:line="276" w:lineRule="exact"/>
        <w:jc w:val="both"/>
      </w:pPr>
      <w:r>
        <w:rPr>
          <w:rFonts w:ascii="Times New Roman" w:cs="Times New Roman" w:eastAsia="Times New Roman" w:hAnsi="Times New Roman"/>
          <w:i/>
          <w:iCs/>
          <w:sz w:val="20"/>
          <w:szCs w:val="20"/>
        </w:rPr>
        <w:t xml:space="preserve">For the certificate lifecycle state machine showing automated issuance, renewal, and revocation patterns in ZT-native environments, see Appendix I.</w:t>
      </w:r>
    </w:p>
    <w:p>
      <w:pPr>
        <w:pStyle w:val="Heading1"/>
      </w:pPr>
      <w:r>
        <w:rPr>
          <w:rFonts w:ascii="Times New Roman" w:cs="Times New Roman" w:eastAsia="Times New Roman" w:hAnsi="Times New Roman"/>
          <w:b/>
          <w:bCs/>
          <w:caps/>
          <w:sz w:val="26"/>
          <w:szCs w:val="26"/>
        </w:rPr>
        <w:t xml:space="preserve">7. AUTHORIZATION AND INTENT: WHERE ZERO TRUST BECOMES REAL (OR FAILS)</w:t>
      </w:r>
    </w:p>
    <w:p>
      <w:pPr>
        <w:pStyle w:val="Heading2"/>
      </w:pPr>
      <w:r>
        <w:rPr>
          <w:rFonts w:ascii="Times New Roman" w:cs="Times New Roman" w:eastAsia="Times New Roman" w:hAnsi="Times New Roman"/>
          <w:b/>
          <w:bCs/>
          <w:sz w:val="22"/>
          <w:szCs w:val="22"/>
        </w:rPr>
        <w:t xml:space="preserve">7.1 Intent Is an Application-Layer Concept</w:t>
      </w:r>
    </w:p>
    <w:p>
      <w:pPr>
        <w:spacing w:after="120" w:line="276" w:lineRule="exact"/>
        <w:jc w:val="both"/>
      </w:pPr>
      <w:r>
        <w:rPr>
          <w:rFonts w:ascii="Times New Roman" w:cs="Times New Roman" w:eastAsia="Times New Roman" w:hAnsi="Times New Roman"/>
          <w:sz w:val="22"/>
          <w:szCs w:val="22"/>
        </w:rPr>
        <w:t xml:space="preserve">Intent is the action: the specific operation attempted — HTTP method + path + payload, SQL statement category, SSH command class, file access, or transactional state transition. Transport mechanisms do not know intent. They establish who is talking; they do not interpret what is being done. Therefore, any claim that a transport control "enforces intent" is a category error.</w:t>
      </w:r>
    </w:p>
    <w:p>
      <w:pPr>
        <w:spacing w:after="120" w:line="276" w:lineRule="exact"/>
        <w:jc w:val="both"/>
      </w:pPr>
      <w:r>
        <w:rPr>
          <w:rFonts w:ascii="Times New Roman" w:cs="Times New Roman" w:eastAsia="Times New Roman" w:hAnsi="Times New Roman"/>
          <w:i/>
          <w:iCs/>
          <w:sz w:val="20"/>
          <w:szCs w:val="20"/>
        </w:rPr>
        <w:t xml:space="preserve">For a detailed breakdown of how intent is derived from requests and evaluated in per-request authorization flows, see Appendix M.</w:t>
      </w:r>
    </w:p>
    <w:p>
      <w:pPr>
        <w:pStyle w:val="Heading2"/>
      </w:pPr>
      <w:r>
        <w:rPr>
          <w:rFonts w:ascii="Times New Roman" w:cs="Times New Roman" w:eastAsia="Times New Roman" w:hAnsi="Times New Roman"/>
          <w:b/>
          <w:bCs/>
          <w:sz w:val="22"/>
          <w:szCs w:val="22"/>
        </w:rPr>
        <w:t xml:space="preserve">7.2 Authorization Requires Three Inputs: Identity, Action, Policy</w:t>
      </w:r>
    </w:p>
    <w:p>
      <w:pPr>
        <w:spacing w:after="120" w:line="276" w:lineRule="exact"/>
        <w:jc w:val="both"/>
      </w:pPr>
      <w:r>
        <w:rPr>
          <w:rFonts w:ascii="Times New Roman" w:cs="Times New Roman" w:eastAsia="Times New Roman" w:hAnsi="Times New Roman"/>
          <w:sz w:val="22"/>
          <w:szCs w:val="22"/>
        </w:rPr>
        <w:t xml:space="preserve">Authorization is the evaluation function f(identity, action, context) → {allow, deny, step-up, log}. Identity can be derived from JWT (user claims), mTLS (workload identity), or both. Action must be observable at the enforcement point. Policy must exist in a form that can be evaluated deterministically. Absent any one input, authorization degrades into coarse trust (e.g., session-level allow) or static perimeter rules.</w:t>
      </w:r>
    </w:p>
    <w:p>
      <w:pPr>
        <w:spacing w:after="120" w:line="276" w:lineRule="exact"/>
        <w:jc w:val="both"/>
      </w:pPr>
      <w:r>
        <w:rPr>
          <w:rFonts w:ascii="Times New Roman" w:cs="Times New Roman" w:eastAsia="Times New Roman" w:hAnsi="Times New Roman"/>
          <w:i/>
          <w:iCs/>
          <w:sz w:val="20"/>
          <w:szCs w:val="20"/>
        </w:rPr>
        <w:t xml:space="preserve">For the complete per-request authorization state machine covering identity verification, intent derivation, policy evaluation, and obligation enforcement, see Appendix M.</w:t>
      </w:r>
    </w:p>
    <w:p>
      <w:pPr>
        <w:spacing w:after="120" w:line="276" w:lineRule="exact"/>
        <w:jc w:val="both"/>
      </w:pPr>
      <w:r>
        <w:rPr>
          <w:rFonts w:ascii="Times New Roman" w:cs="Times New Roman" w:eastAsia="Times New Roman" w:hAnsi="Times New Roman"/>
          <w:sz w:val="22"/>
          <w:szCs w:val="22"/>
        </w:rPr>
        <w:t xml:space="preserve">Common enforcement points and their authorization capabilities are as follows. Application code offers the richest context and understands business semantics, enabling complex rules such as "only resource owner can delete." API gateways provide centralized enforcement for coarse-grained rules. Policy engines (OPA, Cedar, XACML) allow centralized policy authoring with services calling the engine on subject, action, and resource. Database row-level security filters queries based on session variables or JWT claims passed via connection properties. PAM systems control privileged access to infrastructure and enforce time-based or approval-based grants.</w:t>
      </w:r>
    </w:p>
    <w:p>
      <w:pPr>
        <w:pStyle w:val="Heading2"/>
      </w:pPr>
      <w:r>
        <w:rPr>
          <w:rFonts w:ascii="Times New Roman" w:cs="Times New Roman" w:eastAsia="Times New Roman" w:hAnsi="Times New Roman"/>
          <w:b/>
          <w:bCs/>
          <w:sz w:val="22"/>
          <w:szCs w:val="22"/>
        </w:rPr>
        <w:t xml:space="preserve">7.3 ZT-Native vs. Legacy Impact</w:t>
      </w:r>
    </w:p>
    <w:p>
      <w:pPr>
        <w:spacing w:after="120" w:line="276" w:lineRule="exact"/>
        <w:jc w:val="both"/>
      </w:pPr>
      <w:r>
        <w:rPr>
          <w:rFonts w:ascii="Times New Roman" w:cs="Times New Roman" w:eastAsia="Times New Roman" w:hAnsi="Times New Roman"/>
          <w:sz w:val="22"/>
          <w:szCs w:val="22"/>
        </w:rPr>
        <w:t xml:space="preserve">ZT-native: per-request authorization is built into gateways and services; policies are testable; identity propagates and is validated at each hop. Legacy: authorization is often evaluated once at login, or embedded in monolith code paths, or expressed as coarse app roles; downstream systems cannot reason about user identity, so intent enforcement is partial or absent.</w:t>
      </w:r>
    </w:p>
    <w:p>
      <w:pPr>
        <w:pStyle w:val="Heading1"/>
      </w:pPr>
      <w:r>
        <w:rPr>
          <w:rFonts w:ascii="Times New Roman" w:cs="Times New Roman" w:eastAsia="Times New Roman" w:hAnsi="Times New Roman"/>
          <w:b/>
          <w:bCs/>
          <w:caps/>
          <w:sz w:val="26"/>
          <w:szCs w:val="26"/>
        </w:rPr>
        <w:t xml:space="preserve">8. IDENTITY PROPAGATION ACROSS TIERS: THE MISSING MIDDLE IN MOST ZTNA PROGRAMS</w:t>
      </w:r>
    </w:p>
    <w:p>
      <w:pPr>
        <w:pStyle w:val="Heading2"/>
      </w:pPr>
      <w:r>
        <w:rPr>
          <w:rFonts w:ascii="Times New Roman" w:cs="Times New Roman" w:eastAsia="Times New Roman" w:hAnsi="Times New Roman"/>
          <w:b/>
          <w:bCs/>
          <w:sz w:val="22"/>
          <w:szCs w:val="22"/>
        </w:rPr>
        <w:t xml:space="preserve">8.1 Why Propagation Matters</w:t>
      </w:r>
    </w:p>
    <w:p>
      <w:pPr>
        <w:spacing w:after="120" w:line="276" w:lineRule="exact"/>
        <w:jc w:val="both"/>
      </w:pPr>
      <w:r>
        <w:rPr>
          <w:rFonts w:ascii="Times New Roman" w:cs="Times New Roman" w:eastAsia="Times New Roman" w:hAnsi="Times New Roman"/>
          <w:sz w:val="22"/>
          <w:szCs w:val="22"/>
        </w:rPr>
        <w:t xml:space="preserve">If identity terminates at ingress, downstream tiers operate on service identity or shared accounts. That eliminates per-tier accountability and prevents least privilege at deeper layers. Propagation is the mechanism that keeps user identity available to middleware and data layers so that policies can be applied where the sensitive action occurs — for example, at data access.</w:t>
      </w:r>
    </w:p>
    <w:p>
      <w:pPr>
        <w:spacing w:after="120" w:line="276" w:lineRule="exact"/>
        <w:jc w:val="both"/>
      </w:pPr>
      <w:r>
        <w:rPr>
          <w:rFonts w:ascii="Times New Roman" w:cs="Times New Roman" w:eastAsia="Times New Roman" w:hAnsi="Times New Roman"/>
          <w:i/>
          <w:iCs/>
          <w:sz w:val="20"/>
          <w:szCs w:val="20"/>
        </w:rPr>
        <w:t xml:space="preserve">For multi-tier request flows showing how identity propagates from UI through API layers to database with token exchange and validation at each hop, see Appendix N.</w:t>
      </w:r>
    </w:p>
    <w:p>
      <w:pPr>
        <w:pStyle w:val="Heading2"/>
      </w:pPr>
      <w:r>
        <w:rPr>
          <w:rFonts w:ascii="Times New Roman" w:cs="Times New Roman" w:eastAsia="Times New Roman" w:hAnsi="Times New Roman"/>
          <w:b/>
          <w:bCs/>
          <w:sz w:val="22"/>
          <w:szCs w:val="22"/>
        </w:rPr>
        <w:t xml:space="preserve">8.2 Propagation Patterns and Their Failure Modes</w:t>
      </w:r>
    </w:p>
    <w:p>
      <w:pPr>
        <w:spacing w:after="120" w:line="276" w:lineRule="exact"/>
        <w:jc w:val="both"/>
      </w:pPr>
      <w:r>
        <w:rPr>
          <w:rFonts w:ascii="Times New Roman" w:cs="Times New Roman" w:eastAsia="Times New Roman" w:hAnsi="Times New Roman"/>
          <w:sz w:val="22"/>
          <w:szCs w:val="22"/>
        </w:rPr>
        <w:t xml:space="preserve">Token forwarding is simple but increases blast radius and violates audience constraints if misused. Token exchange is more secure but requires uniform OAuth infrastructure, consistent service identities, and operational discipline. Header injection is fragile unless cryptographically protected and validated. Legacy systems often force a translation approach — mapping identity to internal session variables — that loses cryptographic verifiability and increases coupling.</w:t>
      </w:r>
    </w:p>
    <w:p>
      <w:pPr>
        <w:spacing w:after="120" w:line="276" w:lineRule="exact"/>
        <w:jc w:val="both"/>
      </w:pPr>
      <w:r>
        <w:rPr>
          <w:rFonts w:ascii="Times New Roman" w:cs="Times New Roman" w:eastAsia="Times New Roman" w:hAnsi="Times New Roman"/>
          <w:i/>
          <w:iCs/>
          <w:sz w:val="20"/>
          <w:szCs w:val="20"/>
        </w:rPr>
        <w:t xml:space="preserve">For detailed comparison of token forwarding, token exchange, and service-principal-plus-context patterns with their respective failure modes, see Appendix N.</w:t>
      </w:r>
    </w:p>
    <w:p>
      <w:pPr>
        <w:spacing w:after="120" w:line="276" w:lineRule="exact"/>
        <w:jc w:val="both"/>
      </w:pPr>
      <w:r>
        <w:rPr>
          <w:rFonts w:ascii="Times New Roman" w:cs="Times New Roman" w:eastAsia="Times New Roman" w:hAnsi="Times New Roman"/>
          <w:sz w:val="22"/>
          <w:szCs w:val="22"/>
        </w:rPr>
        <w:t xml:space="preserve">Database-level propagation mechanisms vary by platform. PostgreSQL supports row-level security (RLS) using current_user or session variables (SET app.user_id). Oracle provides Virtual Private Database (VPD) with application context via DBMS_SESSION.SET_CONTEXT. SQL Server uses row-level security with SESSION_CONTEXT (sp_set_session_context). Snowflake supports session parameters and role-based access control with user context via CURRENT_USER().</w:t>
      </w:r>
    </w:p>
    <w:p>
      <w:pPr>
        <w:pStyle w:val="Heading2"/>
      </w:pPr>
      <w:r>
        <w:rPr>
          <w:rFonts w:ascii="Times New Roman" w:cs="Times New Roman" w:eastAsia="Times New Roman" w:hAnsi="Times New Roman"/>
          <w:b/>
          <w:bCs/>
          <w:sz w:val="22"/>
          <w:szCs w:val="22"/>
        </w:rPr>
        <w:t xml:space="preserve">8.3 ZT-Native vs. Legacy Impact</w:t>
      </w:r>
    </w:p>
    <w:p>
      <w:pPr>
        <w:spacing w:after="120" w:line="276" w:lineRule="exact"/>
        <w:jc w:val="both"/>
      </w:pPr>
      <w:r>
        <w:rPr>
          <w:rFonts w:ascii="Times New Roman" w:cs="Times New Roman" w:eastAsia="Times New Roman" w:hAnsi="Times New Roman"/>
          <w:sz w:val="22"/>
          <w:szCs w:val="22"/>
        </w:rPr>
        <w:t xml:space="preserve">ZT-native: propagation is explicit; every tier validates and logs identity; database policies can leverage session identity. Legacy: propagation often stops at the broker; databases see only service accounts; logs cannot attribute actions to users without correlation gymnastics.</w:t>
      </w:r>
    </w:p>
    <w:p>
      <w:pPr>
        <w:spacing w:after="120" w:line="276" w:lineRule="exact"/>
        <w:jc w:val="both"/>
      </w:pPr>
      <w:r>
        <w:rPr>
          <w:rFonts w:ascii="Times New Roman" w:cs="Times New Roman" w:eastAsia="Times New Roman" w:hAnsi="Times New Roman"/>
          <w:i/>
          <w:iCs/>
          <w:sz w:val="20"/>
          <w:szCs w:val="20"/>
        </w:rPr>
        <w:t xml:space="preserve">For database-level identity propagation mechanisms including PostgreSQL RLS, Oracle VPD, SQL Server SESSION_CONTEXT, and Snowflake session parameters, see Appendix N.</w:t>
      </w:r>
    </w:p>
    <w:p>
      <w:r>
        <w:br w:type="page"/>
      </w:r>
    </w:p>
    <w:p>
      <w:pPr>
        <w:pStyle w:val="Heading1"/>
      </w:pPr>
      <w:r>
        <w:rPr>
          <w:rFonts w:ascii="Times New Roman" w:cs="Times New Roman" w:eastAsia="Times New Roman" w:hAnsi="Times New Roman"/>
          <w:b/>
          <w:bCs/>
          <w:caps/>
          <w:sz w:val="26"/>
          <w:szCs w:val="26"/>
        </w:rPr>
        <w:t xml:space="preserve">PART V — BROKERAGE, COMPARATIVE MODELS, AND THE GOVERNED CONNECTIVITY INTERSECTION</w:t>
      </w:r>
    </w:p>
    <w:p>
      <w:pPr>
        <w:pStyle w:val="Heading1"/>
      </w:pPr>
      <w:r>
        <w:rPr>
          <w:rFonts w:ascii="Times New Roman" w:cs="Times New Roman" w:eastAsia="Times New Roman" w:hAnsi="Times New Roman"/>
          <w:b/>
          <w:bCs/>
          <w:caps/>
          <w:sz w:val="26"/>
          <w:szCs w:val="26"/>
        </w:rPr>
        <w:t xml:space="preserve">9. ZTNA BROKERAGE MODELS: WHAT THEY TRULY ACHIEVE AND WHERE THEY MUST BE BOUNDED</w:t>
      </w:r>
    </w:p>
    <w:p>
      <w:pPr>
        <w:pStyle w:val="Heading2"/>
      </w:pPr>
      <w:r>
        <w:rPr>
          <w:rFonts w:ascii="Times New Roman" w:cs="Times New Roman" w:eastAsia="Times New Roman" w:hAnsi="Times New Roman"/>
          <w:b/>
          <w:bCs/>
          <w:sz w:val="22"/>
          <w:szCs w:val="22"/>
        </w:rPr>
        <w:t xml:space="preserve">9.1 Brokerage as Exposure Reduction and Access Mediation</w:t>
      </w:r>
    </w:p>
    <w:p>
      <w:pPr>
        <w:spacing w:after="120" w:line="276" w:lineRule="exact"/>
        <w:jc w:val="both"/>
      </w:pPr>
      <w:r>
        <w:rPr>
          <w:rFonts w:ascii="Times New Roman" w:cs="Times New Roman" w:eastAsia="Times New Roman" w:hAnsi="Times New Roman"/>
          <w:sz w:val="22"/>
          <w:szCs w:val="22"/>
        </w:rPr>
        <w:t xml:space="preserve">Brokerage is extremely effective at reducing exposure. It can remove inbound attack surface, eliminate direct reachability, enforce MFA, and centralize access policy. These are tangible improvements, especially when the alternative is VPN-based network-level access with broad lateral reach.</w:t>
      </w:r>
    </w:p>
    <w:p>
      <w:pPr>
        <w:spacing w:after="120" w:line="276" w:lineRule="exact"/>
        <w:jc w:val="both"/>
      </w:pPr>
      <w:r>
        <w:rPr>
          <w:rFonts w:ascii="Times New Roman" w:cs="Times New Roman" w:eastAsia="Times New Roman" w:hAnsi="Times New Roman"/>
          <w:i/>
          <w:iCs/>
          <w:sz w:val="20"/>
          <w:szCs w:val="20"/>
        </w:rPr>
        <w:t xml:space="preserve">For the complete broker request flow showing session checks, IdP authentication, policy evaluation, and backend connection establishment, see Appendix L.</w:t>
      </w:r>
    </w:p>
    <w:p>
      <w:pPr>
        <w:pStyle w:val="Heading2"/>
      </w:pPr>
      <w:r>
        <w:rPr>
          <w:rFonts w:ascii="Times New Roman" w:cs="Times New Roman" w:eastAsia="Times New Roman" w:hAnsi="Times New Roman"/>
          <w:b/>
          <w:bCs/>
          <w:sz w:val="22"/>
          <w:szCs w:val="22"/>
        </w:rPr>
        <w:t xml:space="preserve">9.2 The Broker as a New Trust Anchor</w:t>
      </w:r>
    </w:p>
    <w:p>
      <w:pPr>
        <w:spacing w:after="120" w:line="276" w:lineRule="exact"/>
        <w:jc w:val="both"/>
      </w:pPr>
      <w:r>
        <w:rPr>
          <w:rFonts w:ascii="Times New Roman" w:cs="Times New Roman" w:eastAsia="Times New Roman" w:hAnsi="Times New Roman"/>
          <w:sz w:val="22"/>
          <w:szCs w:val="22"/>
        </w:rPr>
        <w:t xml:space="preserve">When backends cannot consume identity, the broker becomes the trust anchor: "if traffic comes from the broker, trust it." This is not inherently wrong, but it is a different security model than identity-native enforcement. The residual risk is dominated by broker compromise, misconfiguration, or over-broad broker-to-backend privileges. A mature design therefore constrains broker blast radius using segmentation, mTLS from broker to backend, and least privilege backend permissions.</w:t>
      </w:r>
    </w:p>
    <w:p>
      <w:pPr>
        <w:pStyle w:val="Heading2"/>
      </w:pPr>
      <w:r>
        <w:rPr>
          <w:rFonts w:ascii="Times New Roman" w:cs="Times New Roman" w:eastAsia="Times New Roman" w:hAnsi="Times New Roman"/>
          <w:b/>
          <w:bCs/>
          <w:sz w:val="22"/>
          <w:szCs w:val="22"/>
        </w:rPr>
        <w:t xml:space="preserve">9.3 ZT-Native vs. Legacy Impact</w:t>
      </w:r>
    </w:p>
    <w:p>
      <w:pPr>
        <w:spacing w:after="120" w:line="276" w:lineRule="exact"/>
        <w:jc w:val="both"/>
      </w:pPr>
      <w:r>
        <w:rPr>
          <w:rFonts w:ascii="Times New Roman" w:cs="Times New Roman" w:eastAsia="Times New Roman" w:hAnsi="Times New Roman"/>
          <w:sz w:val="22"/>
          <w:szCs w:val="22"/>
        </w:rPr>
        <w:t xml:space="preserve">ZT-native: brokerage complements app-layer enforcement; identity continues and is validated. Legacy: brokerage may be the only identity-consuming component; internal controls must compensate via segmentation, monitoring, and selective modernization.</w:t>
      </w:r>
    </w:p>
    <w:p>
      <w:pPr>
        <w:spacing w:after="120" w:line="276" w:lineRule="exact"/>
        <w:jc w:val="both"/>
      </w:pPr>
      <w:r>
        <w:rPr>
          <w:rFonts w:ascii="Times New Roman" w:cs="Times New Roman" w:eastAsia="Times New Roman" w:hAnsi="Times New Roman"/>
          <w:i/>
          <w:iCs/>
          <w:sz w:val="20"/>
          <w:szCs w:val="20"/>
        </w:rPr>
        <w:t xml:space="preserve">For architectural comparison contrasting brokered legacy models, ZT-native end-to-end flows, and hybrid broker-plus-propagation patterns, see Appendix O.</w:t>
      </w:r>
    </w:p>
    <w:p>
      <w:pPr>
        <w:pStyle w:val="Heading1"/>
      </w:pPr>
      <w:r>
        <w:rPr>
          <w:rFonts w:ascii="Times New Roman" w:cs="Times New Roman" w:eastAsia="Times New Roman" w:hAnsi="Times New Roman"/>
          <w:b/>
          <w:bCs/>
          <w:caps/>
          <w:sz w:val="26"/>
          <w:szCs w:val="26"/>
        </w:rPr>
        <w:t xml:space="preserve">10. PRIVATE-TO-PRIVATE CONNECTIVITY AND THIRD-PARTY INTEGRATION: THE HARDEST CASE</w:t>
      </w:r>
    </w:p>
    <w:p>
      <w:pPr>
        <w:pStyle w:val="Heading2"/>
      </w:pPr>
      <w:r>
        <w:rPr>
          <w:rFonts w:ascii="Times New Roman" w:cs="Times New Roman" w:eastAsia="Times New Roman" w:hAnsi="Times New Roman"/>
          <w:b/>
          <w:bCs/>
          <w:sz w:val="22"/>
          <w:szCs w:val="22"/>
        </w:rPr>
        <w:t xml:space="preserve">10.1 Why This Case Breaks Common ZTNA Assumptions</w:t>
      </w:r>
    </w:p>
    <w:p>
      <w:pPr>
        <w:spacing w:after="120" w:line="276" w:lineRule="exact"/>
        <w:jc w:val="both"/>
      </w:pPr>
      <w:r>
        <w:rPr>
          <w:rFonts w:ascii="Times New Roman" w:cs="Times New Roman" w:eastAsia="Times New Roman" w:hAnsi="Times New Roman"/>
          <w:sz w:val="22"/>
          <w:szCs w:val="22"/>
        </w:rPr>
        <w:t xml:space="preserve">Private-to-private integrations often require bi-directional connectivity, long-lived sessions, and non-HTTP protocols. They rely on IP allowlists, static API keys, or shared credentials. These assumptions conflict with per-request identity enforcement. Moreover, third parties may not adopt your IdP, token formats, or certificate authorities, making federation and trust establishment non-trivial.</w:t>
      </w:r>
    </w:p>
    <w:p>
      <w:pPr>
        <w:pStyle w:val="Heading2"/>
      </w:pPr>
      <w:r>
        <w:rPr>
          <w:rFonts w:ascii="Times New Roman" w:cs="Times New Roman" w:eastAsia="Times New Roman" w:hAnsi="Times New Roman"/>
          <w:b/>
          <w:bCs/>
          <w:sz w:val="22"/>
          <w:szCs w:val="22"/>
        </w:rPr>
        <w:t xml:space="preserve">10.2 Practical Trust Patterns</w:t>
      </w:r>
    </w:p>
    <w:p>
      <w:pPr>
        <w:spacing w:after="120" w:line="276" w:lineRule="exact"/>
        <w:jc w:val="both"/>
      </w:pPr>
      <w:r>
        <w:rPr>
          <w:rFonts w:ascii="Times New Roman" w:cs="Times New Roman" w:eastAsia="Times New Roman" w:hAnsi="Times New Roman"/>
          <w:sz w:val="22"/>
          <w:szCs w:val="22"/>
        </w:rPr>
        <w:t xml:space="preserve">The defensible baseline is to treat each third-party integration as its own security domain with explicit trust contracts. For machine integrations, mTLS with mutual authentication anchored in a dedicated CA (or cross-signed intermediate) can provide strong peer identity if lifecycle is managed. For human access, brokerage with IdP federation can provide strong authentication, but backend identity propagation may still be absent if legacy. Appendix I provides mTLS-based third-party integration patterns with scoped workload identities.</w:t>
      </w:r>
    </w:p>
    <w:p>
      <w:pPr>
        <w:spacing w:after="120" w:line="276" w:lineRule="exact"/>
        <w:jc w:val="both"/>
      </w:pPr>
      <w:r>
        <w:rPr>
          <w:rFonts w:ascii="Times New Roman" w:cs="Times New Roman" w:eastAsia="Times New Roman" w:hAnsi="Times New Roman"/>
          <w:i/>
          <w:iCs/>
          <w:sz w:val="20"/>
          <w:szCs w:val="20"/>
        </w:rPr>
        <w:t xml:space="preserve">For mTLS-based third-party integration patterns with scoped workload identities, see Appendix I.</w:t>
      </w:r>
    </w:p>
    <w:p>
      <w:pPr>
        <w:pStyle w:val="Heading2"/>
      </w:pPr>
      <w:r>
        <w:rPr>
          <w:rFonts w:ascii="Times New Roman" w:cs="Times New Roman" w:eastAsia="Times New Roman" w:hAnsi="Times New Roman"/>
          <w:b/>
          <w:bCs/>
          <w:sz w:val="22"/>
          <w:szCs w:val="22"/>
        </w:rPr>
        <w:t xml:space="preserve">10.3 Residual Risks and Controls</w:t>
      </w:r>
    </w:p>
    <w:p>
      <w:pPr>
        <w:spacing w:after="120" w:line="276" w:lineRule="exact"/>
        <w:jc w:val="both"/>
      </w:pPr>
      <w:r>
        <w:rPr>
          <w:rFonts w:ascii="Times New Roman" w:cs="Times New Roman" w:eastAsia="Times New Roman" w:hAnsi="Times New Roman"/>
          <w:sz w:val="22"/>
          <w:szCs w:val="22"/>
        </w:rPr>
        <w:t xml:space="preserve">Residual risks include credential replay inside partner networks, over-broad partner entitlements, and indirect escalation via trusted integration paths. Controls include scoped network paths, strict allowlists by service identity, rate limiting, protocol-aware inspection where feasible, and continuous telemetry with anomaly detection focused on integration-specific baselines.</w:t>
      </w:r>
    </w:p>
    <w:p>
      <w:pPr>
        <w:pStyle w:val="Heading1"/>
      </w:pPr>
      <w:r>
        <w:rPr>
          <w:rFonts w:ascii="Times New Roman" w:cs="Times New Roman" w:eastAsia="Times New Roman" w:hAnsi="Times New Roman"/>
          <w:b/>
          <w:bCs/>
          <w:caps/>
          <w:sz w:val="26"/>
          <w:szCs w:val="26"/>
        </w:rPr>
        <w:t xml:space="preserve">11. COMPARATIVE MODEL ANALYSIS: ZTNA, MICROSEGMENTATION, SASE/SSE, IBN, SECURE OBSCURED EDGE</w:t>
      </w:r>
    </w:p>
    <w:p>
      <w:pPr>
        <w:pStyle w:val="Heading2"/>
      </w:pPr>
      <w:r>
        <w:rPr>
          <w:rFonts w:ascii="Times New Roman" w:cs="Times New Roman" w:eastAsia="Times New Roman" w:hAnsi="Times New Roman"/>
          <w:b/>
          <w:bCs/>
          <w:sz w:val="22"/>
          <w:szCs w:val="22"/>
        </w:rPr>
        <w:t xml:space="preserve">11.1 ZTNA</w:t>
      </w:r>
    </w:p>
    <w:p>
      <w:pPr>
        <w:spacing w:after="120" w:line="276" w:lineRule="exact"/>
        <w:jc w:val="both"/>
      </w:pPr>
      <w:r>
        <w:rPr>
          <w:rFonts w:ascii="Times New Roman" w:cs="Times New Roman" w:eastAsia="Times New Roman" w:hAnsi="Times New Roman"/>
          <w:sz w:val="22"/>
          <w:szCs w:val="22"/>
        </w:rPr>
        <w:t xml:space="preserve">ZTNA primarily addresses user-to-application access mediation. Its strongest contributions are authentication strength, exposure reduction, and centralized access policy. It does not inherently deliver intra-application least privilege unless identity propagates and authorization is enforced downstream.</w:t>
      </w:r>
    </w:p>
    <w:p>
      <w:pPr>
        <w:spacing w:after="120" w:line="276" w:lineRule="exact"/>
        <w:jc w:val="both"/>
      </w:pPr>
      <w:r>
        <w:rPr>
          <w:rFonts w:ascii="Times New Roman" w:cs="Times New Roman" w:eastAsia="Times New Roman" w:hAnsi="Times New Roman"/>
          <w:i/>
          <w:iCs/>
          <w:sz w:val="20"/>
          <w:szCs w:val="20"/>
        </w:rPr>
        <w:t xml:space="preserve">For detailed ZTNA broker architecture, capabilities, and limitations, see Appendix L.</w:t>
      </w:r>
    </w:p>
    <w:p>
      <w:pPr>
        <w:pStyle w:val="Heading2"/>
      </w:pPr>
      <w:r>
        <w:rPr>
          <w:rFonts w:ascii="Times New Roman" w:cs="Times New Roman" w:eastAsia="Times New Roman" w:hAnsi="Times New Roman"/>
          <w:b/>
          <w:bCs/>
          <w:sz w:val="22"/>
          <w:szCs w:val="22"/>
        </w:rPr>
        <w:t xml:space="preserve">11.2 Microsegmentation</w:t>
      </w:r>
    </w:p>
    <w:p>
      <w:pPr>
        <w:spacing w:after="120" w:line="276" w:lineRule="exact"/>
        <w:jc w:val="both"/>
      </w:pPr>
      <w:r>
        <w:rPr>
          <w:rFonts w:ascii="Times New Roman" w:cs="Times New Roman" w:eastAsia="Times New Roman" w:hAnsi="Times New Roman"/>
          <w:sz w:val="22"/>
          <w:szCs w:val="22"/>
        </w:rPr>
        <w:t xml:space="preserve">Microsegmentation constrains east-west connectivity, reducing lateral movement at the network plane. It is powerful even for legacy systems because it does not require application changes. However, it enforces connectivity, not intent. A compromised workload with legitimate network access can still perform unauthorized actions if the application and data layers lack authorization controls.</w:t>
      </w:r>
    </w:p>
    <w:p>
      <w:pPr>
        <w:pStyle w:val="Heading2"/>
      </w:pPr>
      <w:r>
        <w:rPr>
          <w:rFonts w:ascii="Times New Roman" w:cs="Times New Roman" w:eastAsia="Times New Roman" w:hAnsi="Times New Roman"/>
          <w:b/>
          <w:bCs/>
          <w:sz w:val="22"/>
          <w:szCs w:val="22"/>
        </w:rPr>
        <w:t xml:space="preserve">11.3 SASE/SSE</w:t>
      </w:r>
    </w:p>
    <w:p>
      <w:pPr>
        <w:spacing w:after="120" w:line="276" w:lineRule="exact"/>
        <w:jc w:val="both"/>
      </w:pPr>
      <w:r>
        <w:rPr>
          <w:rFonts w:ascii="Times New Roman" w:cs="Times New Roman" w:eastAsia="Times New Roman" w:hAnsi="Times New Roman"/>
          <w:sz w:val="22"/>
          <w:szCs w:val="22"/>
        </w:rPr>
        <w:t xml:space="preserve">SASE/SSE centralizes policy enforcement in cloud-delivered services, often improving user-to-internet and user-to-SaaS controls. It overlaps with ZTNA for remote access, but does not solve private-to-private and non-HTTP legacy protocol challenges by default. Its value depends on routing feasibility, latency tolerance, and inspection needs.</w:t>
      </w:r>
    </w:p>
    <w:p>
      <w:pPr>
        <w:pStyle w:val="Heading2"/>
      </w:pPr>
      <w:r>
        <w:rPr>
          <w:rFonts w:ascii="Times New Roman" w:cs="Times New Roman" w:eastAsia="Times New Roman" w:hAnsi="Times New Roman"/>
          <w:b/>
          <w:bCs/>
          <w:sz w:val="22"/>
          <w:szCs w:val="22"/>
        </w:rPr>
        <w:t xml:space="preserve">11.4 Intent-Based Networking (IBN)</w:t>
      </w:r>
    </w:p>
    <w:p>
      <w:pPr>
        <w:spacing w:after="120" w:line="276" w:lineRule="exact"/>
        <w:jc w:val="both"/>
      </w:pPr>
      <w:r>
        <w:rPr>
          <w:rFonts w:ascii="Times New Roman" w:cs="Times New Roman" w:eastAsia="Times New Roman" w:hAnsi="Times New Roman"/>
          <w:sz w:val="22"/>
          <w:szCs w:val="22"/>
        </w:rPr>
        <w:t xml:space="preserve">IBN typically refers to automating network configurations based on high-level objectives. This can reduce operational errors and speed segmentation changes, but it does not compute business intent. Application-layer intent requires action visibility and identity claims at the point of enforcement.</w:t>
      </w:r>
    </w:p>
    <w:p>
      <w:pPr>
        <w:pStyle w:val="Heading2"/>
      </w:pPr>
      <w:r>
        <w:rPr>
          <w:rFonts w:ascii="Times New Roman" w:cs="Times New Roman" w:eastAsia="Times New Roman" w:hAnsi="Times New Roman"/>
          <w:b/>
          <w:bCs/>
          <w:sz w:val="22"/>
          <w:szCs w:val="22"/>
        </w:rPr>
        <w:t xml:space="preserve">11.5 Secure Obscured Edge</w:t>
      </w:r>
    </w:p>
    <w:p>
      <w:pPr>
        <w:spacing w:after="120" w:line="276" w:lineRule="exact"/>
        <w:jc w:val="both"/>
      </w:pPr>
      <w:r>
        <w:rPr>
          <w:rFonts w:ascii="Times New Roman" w:cs="Times New Roman" w:eastAsia="Times New Roman" w:hAnsi="Times New Roman"/>
          <w:sz w:val="22"/>
          <w:szCs w:val="22"/>
        </w:rPr>
        <w:t xml:space="preserve">Secure Obscured Edge approaches reduce discoverability by eliminating inbound exposure and requiring outbound-established tunnels. This reduces opportunistic scanning and some classes of direct exploitation. However, obscurity does not replace authentication or authorization. Once a credentialed actor is inside the tunnel, the same authorization and lateral movement questions apply.</w:t>
      </w:r>
    </w:p>
    <w:p>
      <w:pPr>
        <w:pStyle w:val="Heading1"/>
      </w:pPr>
      <w:r>
        <w:rPr>
          <w:rFonts w:ascii="Times New Roman" w:cs="Times New Roman" w:eastAsia="Times New Roman" w:hAnsi="Times New Roman"/>
          <w:b/>
          <w:bCs/>
          <w:caps/>
          <w:sz w:val="26"/>
          <w:szCs w:val="26"/>
        </w:rPr>
        <w:t xml:space="preserve">12. FAILURE MODES AND COUNTERARGUMENTS</w:t>
      </w:r>
    </w:p>
    <w:p>
      <w:pPr>
        <w:pStyle w:val="Heading2"/>
      </w:pPr>
      <w:r>
        <w:rPr>
          <w:rFonts w:ascii="Times New Roman" w:cs="Times New Roman" w:eastAsia="Times New Roman" w:hAnsi="Times New Roman"/>
          <w:b/>
          <w:bCs/>
          <w:sz w:val="22"/>
          <w:szCs w:val="22"/>
        </w:rPr>
        <w:t xml:space="preserve">12.1 "Brokerage is enough — why require downstream identity?"</w:t>
      </w:r>
    </w:p>
    <w:p>
      <w:pPr>
        <w:spacing w:after="120" w:line="276" w:lineRule="exact"/>
        <w:jc w:val="both"/>
      </w:pPr>
      <w:r>
        <w:rPr>
          <w:rFonts w:ascii="Times New Roman" w:cs="Times New Roman" w:eastAsia="Times New Roman" w:hAnsi="Times New Roman"/>
          <w:sz w:val="22"/>
          <w:szCs w:val="22"/>
        </w:rPr>
        <w:t xml:space="preserve">Brokerage can be sufficient for certain threat models: if the primary risk is unauthorized ingress and if backend systems are tightly segmented with minimal lateral paths, then brokered authentication may substantially reduce risk. The counterargument is that many high-impact incidents involve post-access abuse. Without downstream identity, you cannot implement least privilege at the data/action layer, and you cannot attribute actions cleanly. Therefore brokerage is necessary but not generally sufficient for high-assurance environments.</w:t>
      </w:r>
    </w:p>
    <w:p>
      <w:pPr>
        <w:spacing w:after="120" w:line="276" w:lineRule="exact"/>
        <w:jc w:val="both"/>
      </w:pPr>
      <w:r>
        <w:rPr>
          <w:rFonts w:ascii="Times New Roman" w:cs="Times New Roman" w:eastAsia="Times New Roman" w:hAnsi="Times New Roman"/>
          <w:i/>
          <w:iCs/>
          <w:sz w:val="20"/>
          <w:szCs w:val="20"/>
        </w:rPr>
        <w:t xml:space="preserve">For comparative blast radius, audit traceability, and policy enforcement analysis between brokered-only and identity-propagated architectures, see Appendix O.</w:t>
      </w:r>
    </w:p>
    <w:p>
      <w:pPr>
        <w:pStyle w:val="Heading2"/>
      </w:pPr>
      <w:r>
        <w:rPr>
          <w:rFonts w:ascii="Times New Roman" w:cs="Times New Roman" w:eastAsia="Times New Roman" w:hAnsi="Times New Roman"/>
          <w:b/>
          <w:bCs/>
          <w:sz w:val="22"/>
          <w:szCs w:val="22"/>
        </w:rPr>
        <w:t xml:space="preserve">12.2 "mTLS can carry user identity; JWT is redundant"</w:t>
      </w:r>
    </w:p>
    <w:p>
      <w:pPr>
        <w:spacing w:after="120" w:line="276" w:lineRule="exact"/>
        <w:jc w:val="both"/>
      </w:pPr>
      <w:r>
        <w:rPr>
          <w:rFonts w:ascii="Times New Roman" w:cs="Times New Roman" w:eastAsia="Times New Roman" w:hAnsi="Times New Roman"/>
          <w:sz w:val="22"/>
          <w:szCs w:val="22"/>
        </w:rPr>
        <w:t xml:space="preserve">Client certificates can authenticate users strongly, but do not naturally carry dynamic claims or session context. If the environment can support certificate issuance and revocation at user scale, and if authorization can be expressed using static identities, JWT may be minimized. However, most enterprises require dynamic claims (roles, scopes, elevation state) and federation with SaaS ecosystems, where JWT is a practical claim transport. A layered approach — certificate-based authentication feeding short-lived tokens — often provides both strength and flexibility.</w:t>
      </w:r>
    </w:p>
    <w:p>
      <w:pPr>
        <w:spacing w:after="120" w:line="276" w:lineRule="exact"/>
        <w:jc w:val="both"/>
      </w:pPr>
      <w:r>
        <w:rPr>
          <w:rFonts w:ascii="Times New Roman" w:cs="Times New Roman" w:eastAsia="Times New Roman" w:hAnsi="Times New Roman"/>
          <w:i/>
          <w:iCs/>
          <w:sz w:val="20"/>
          <w:szCs w:val="20"/>
        </w:rPr>
        <w:t xml:space="preserve">For detailed capabilities and non-capabilities of mTLS user identity encoding in SAN fields, see Appendix I.</w:t>
      </w:r>
    </w:p>
    <w:p>
      <w:pPr>
        <w:pStyle w:val="Heading2"/>
      </w:pPr>
      <w:r>
        <w:rPr>
          <w:rFonts w:ascii="Times New Roman" w:cs="Times New Roman" w:eastAsia="Times New Roman" w:hAnsi="Times New Roman"/>
          <w:b/>
          <w:bCs/>
          <w:sz w:val="22"/>
          <w:szCs w:val="22"/>
        </w:rPr>
        <w:t xml:space="preserve">12.3 "Zero Trust is impossible in legacy environments"</w:t>
      </w:r>
    </w:p>
    <w:p>
      <w:pPr>
        <w:spacing w:after="120" w:line="276" w:lineRule="exact"/>
        <w:jc w:val="both"/>
      </w:pPr>
      <w:r>
        <w:rPr>
          <w:rFonts w:ascii="Times New Roman" w:cs="Times New Roman" w:eastAsia="Times New Roman" w:hAnsi="Times New Roman"/>
          <w:sz w:val="22"/>
          <w:szCs w:val="22"/>
        </w:rPr>
        <w:t xml:space="preserve">The correct claim is narrower: identity-native Zero Trust is difficult without application support. Risk reduction via Zero Trust principles remains achievable through staged controls: exposure reduction, strong authentication, segmentation, selective workload identity, and focused modernization. The goal is not purity; it is measurable reduction in implicit trust and blast radius.</w:t>
      </w:r>
    </w:p>
    <w:p>
      <w:r>
        <w:br w:type="page"/>
      </w:r>
    </w:p>
    <w:p>
      <w:pPr>
        <w:pStyle w:val="Heading1"/>
      </w:pPr>
      <w:r>
        <w:rPr>
          <w:rFonts w:ascii="Times New Roman" w:cs="Times New Roman" w:eastAsia="Times New Roman" w:hAnsi="Times New Roman"/>
          <w:b/>
          <w:bCs/>
          <w:caps/>
          <w:sz w:val="26"/>
          <w:szCs w:val="26"/>
        </w:rPr>
        <w:t xml:space="preserve">PART VI — A PRESCRIPTIVE PROGRESSION MODEL</w:t>
      </w:r>
    </w:p>
    <w:p>
      <w:pPr>
        <w:pStyle w:val="Heading1"/>
      </w:pPr>
      <w:r>
        <w:rPr>
          <w:rFonts w:ascii="Times New Roman" w:cs="Times New Roman" w:eastAsia="Times New Roman" w:hAnsi="Times New Roman"/>
          <w:b/>
          <w:bCs/>
          <w:caps/>
          <w:sz w:val="26"/>
          <w:szCs w:val="26"/>
        </w:rPr>
        <w:t xml:space="preserve">13. A PRESCRIPTIVE PROGRESSION MODEL WITH MEASURABLE OUTCOMES</w:t>
      </w:r>
    </w:p>
    <w:p>
      <w:pPr>
        <w:spacing w:after="120" w:line="276" w:lineRule="exact"/>
        <w:jc w:val="both"/>
      </w:pPr>
      <w:r>
        <w:rPr>
          <w:rFonts w:ascii="Times New Roman" w:cs="Times New Roman" w:eastAsia="Times New Roman" w:hAnsi="Times New Roman"/>
          <w:sz w:val="22"/>
          <w:szCs w:val="22"/>
        </w:rPr>
        <w:t xml:space="preserve">The following five-phase model provides a structured path from perimeter-dependent architectures toward distributed identity-native enforcement. Each phase specifies measurable outcomes and key metrics.</w:t>
      </w:r>
    </w:p>
    <w:p>
      <w:pPr>
        <w:pStyle w:val="Heading2"/>
      </w:pPr>
      <w:r>
        <w:rPr>
          <w:rFonts w:ascii="Times New Roman" w:cs="Times New Roman" w:eastAsia="Times New Roman" w:hAnsi="Times New Roman"/>
          <w:b/>
          <w:bCs/>
          <w:sz w:val="22"/>
          <w:szCs w:val="22"/>
        </w:rPr>
        <w:t xml:space="preserve">13.1 Phase 1: Boundary Hardening and Exposure Reduction</w:t>
      </w:r>
    </w:p>
    <w:p>
      <w:pPr>
        <w:spacing w:after="120" w:line="276" w:lineRule="exact"/>
        <w:jc w:val="both"/>
      </w:pPr>
      <w:r>
        <w:rPr>
          <w:rFonts w:ascii="Times New Roman" w:cs="Times New Roman" w:eastAsia="Times New Roman" w:hAnsi="Times New Roman"/>
          <w:sz w:val="22"/>
          <w:szCs w:val="22"/>
        </w:rPr>
        <w:t xml:space="preserve">Outcomes: Eliminate broad VPN access; remove inbound exposure where possible; introduce centralized authentication; establish baseline telemetry.</w:t>
      </w:r>
    </w:p>
    <w:p>
      <w:pPr>
        <w:spacing w:after="120" w:line="276" w:lineRule="exact"/>
        <w:jc w:val="both"/>
      </w:pPr>
      <w:r>
        <w:rPr>
          <w:rFonts w:ascii="Times New Roman" w:cs="Times New Roman" w:eastAsia="Times New Roman" w:hAnsi="Times New Roman"/>
          <w:sz w:val="22"/>
          <w:szCs w:val="22"/>
        </w:rPr>
        <w:t xml:space="preserve">Metrics: Count of exposed services; VPN routes reduced; MFA coverage; time-to-revoke access; number of access paths per role.</w:t>
      </w:r>
    </w:p>
    <w:p>
      <w:pPr>
        <w:pStyle w:val="Heading2"/>
      </w:pPr>
      <w:r>
        <w:rPr>
          <w:rFonts w:ascii="Times New Roman" w:cs="Times New Roman" w:eastAsia="Times New Roman" w:hAnsi="Times New Roman"/>
          <w:b/>
          <w:bCs/>
          <w:sz w:val="22"/>
          <w:szCs w:val="22"/>
        </w:rPr>
        <w:t xml:space="preserve">13.2 Phase 2: Brokered Identity Enforcement for User-to-App Access</w:t>
      </w:r>
    </w:p>
    <w:p>
      <w:pPr>
        <w:spacing w:after="120" w:line="276" w:lineRule="exact"/>
        <w:jc w:val="both"/>
      </w:pPr>
      <w:r>
        <w:rPr>
          <w:rFonts w:ascii="Times New Roman" w:cs="Times New Roman" w:eastAsia="Times New Roman" w:hAnsi="Times New Roman"/>
          <w:sz w:val="22"/>
          <w:szCs w:val="22"/>
        </w:rPr>
        <w:t xml:space="preserve">Outcomes: Enforce identity at ingress with device posture gating; consolidate remote access pathways; implement session logging for administrative access.</w:t>
      </w:r>
    </w:p>
    <w:p>
      <w:pPr>
        <w:spacing w:after="120" w:line="276" w:lineRule="exact"/>
        <w:jc w:val="both"/>
      </w:pPr>
      <w:r>
        <w:rPr>
          <w:rFonts w:ascii="Times New Roman" w:cs="Times New Roman" w:eastAsia="Times New Roman" w:hAnsi="Times New Roman"/>
          <w:sz w:val="22"/>
          <w:szCs w:val="22"/>
        </w:rPr>
        <w:t xml:space="preserve">Metrics: Percentage of apps behind broker; number of direct admin entry points eliminated; session recording coverage.</w:t>
      </w:r>
    </w:p>
    <w:p>
      <w:pPr>
        <w:spacing w:after="120" w:line="276" w:lineRule="exact"/>
        <w:jc w:val="both"/>
      </w:pPr>
      <w:r>
        <w:rPr>
          <w:rFonts w:ascii="Times New Roman" w:cs="Times New Roman" w:eastAsia="Times New Roman" w:hAnsi="Times New Roman"/>
          <w:i/>
          <w:iCs/>
          <w:sz w:val="20"/>
          <w:szCs w:val="20"/>
        </w:rPr>
        <w:t xml:space="preserve">For implementation guidance on broker deployment, policy evaluation, and traffic proxying, see Appendix L.</w:t>
      </w:r>
    </w:p>
    <w:p>
      <w:pPr>
        <w:pStyle w:val="Heading2"/>
      </w:pPr>
      <w:r>
        <w:rPr>
          <w:rFonts w:ascii="Times New Roman" w:cs="Times New Roman" w:eastAsia="Times New Roman" w:hAnsi="Times New Roman"/>
          <w:b/>
          <w:bCs/>
          <w:sz w:val="22"/>
          <w:szCs w:val="22"/>
        </w:rPr>
        <w:t xml:space="preserve">13.3 Phase 3: Selective Workload Identity (mTLS) for Critical Integrations</w:t>
      </w:r>
    </w:p>
    <w:p>
      <w:pPr>
        <w:spacing w:after="120" w:line="276" w:lineRule="exact"/>
        <w:jc w:val="both"/>
      </w:pPr>
      <w:r>
        <w:rPr>
          <w:rFonts w:ascii="Times New Roman" w:cs="Times New Roman" w:eastAsia="Times New Roman" w:hAnsi="Times New Roman"/>
          <w:sz w:val="22"/>
          <w:szCs w:val="22"/>
        </w:rPr>
        <w:t xml:space="preserve">Outcomes: Strong peer authentication for high-risk service links and third-party machine integrations; begin automated certificate lifecycle.</w:t>
      </w:r>
    </w:p>
    <w:p>
      <w:pPr>
        <w:spacing w:after="120" w:line="276" w:lineRule="exact"/>
        <w:jc w:val="both"/>
      </w:pPr>
      <w:r>
        <w:rPr>
          <w:rFonts w:ascii="Times New Roman" w:cs="Times New Roman" w:eastAsia="Times New Roman" w:hAnsi="Times New Roman"/>
          <w:sz w:val="22"/>
          <w:szCs w:val="22"/>
        </w:rPr>
        <w:t xml:space="preserve">Metrics: Percent of critical links using mTLS; rotation frequency; certificate issuance latency; revocation SLA.</w:t>
      </w:r>
    </w:p>
    <w:p>
      <w:pPr>
        <w:spacing w:after="120" w:line="276" w:lineRule="exact"/>
        <w:jc w:val="both"/>
      </w:pPr>
      <w:r>
        <w:rPr>
          <w:rFonts w:ascii="Times New Roman" w:cs="Times New Roman" w:eastAsia="Times New Roman" w:hAnsi="Times New Roman"/>
          <w:i/>
          <w:iCs/>
          <w:sz w:val="20"/>
          <w:szCs w:val="20"/>
        </w:rPr>
        <w:t xml:space="preserve">For automated certificate lifecycle implementation patterns and workload identity deployment strategies, see Appendix I.</w:t>
      </w:r>
    </w:p>
    <w:p>
      <w:pPr>
        <w:pStyle w:val="Heading2"/>
      </w:pPr>
      <w:r>
        <w:rPr>
          <w:rFonts w:ascii="Times New Roman" w:cs="Times New Roman" w:eastAsia="Times New Roman" w:hAnsi="Times New Roman"/>
          <w:b/>
          <w:bCs/>
          <w:sz w:val="22"/>
          <w:szCs w:val="22"/>
        </w:rPr>
        <w:t xml:space="preserve">13.4 Phase 4: Targeted Application Modernization</w:t>
      </w:r>
    </w:p>
    <w:p>
      <w:pPr>
        <w:spacing w:after="120" w:line="276" w:lineRule="exact"/>
        <w:jc w:val="both"/>
      </w:pPr>
      <w:r>
        <w:rPr>
          <w:rFonts w:ascii="Times New Roman" w:cs="Times New Roman" w:eastAsia="Times New Roman" w:hAnsi="Times New Roman"/>
          <w:sz w:val="22"/>
          <w:szCs w:val="22"/>
        </w:rPr>
        <w:t xml:space="preserve">Outcomes: Introduce gateways or middleware that can validate tokens; implement per-request authorization for high-value actions; reduce shared service accounts.</w:t>
      </w:r>
    </w:p>
    <w:p>
      <w:pPr>
        <w:spacing w:after="120" w:line="276" w:lineRule="exact"/>
        <w:jc w:val="both"/>
      </w:pPr>
      <w:r>
        <w:rPr>
          <w:rFonts w:ascii="Times New Roman" w:cs="Times New Roman" w:eastAsia="Times New Roman" w:hAnsi="Times New Roman"/>
          <w:sz w:val="22"/>
          <w:szCs w:val="22"/>
        </w:rPr>
        <w:t xml:space="preserve">Metrics: Number of services validating JWT; authorization decision coverage; reduction of shared credentials; audit attribution completeness.</w:t>
      </w:r>
    </w:p>
    <w:p>
      <w:pPr>
        <w:spacing w:after="120" w:line="276" w:lineRule="exact"/>
        <w:jc w:val="both"/>
      </w:pPr>
      <w:r>
        <w:rPr>
          <w:rFonts w:ascii="Times New Roman" w:cs="Times New Roman" w:eastAsia="Times New Roman" w:hAnsi="Times New Roman"/>
          <w:sz w:val="22"/>
          <w:szCs w:val="22"/>
        </w:rPr>
        <w:t xml:space="preserve">For JWT validation integration patterns and per-request authorization implementation, see Appendices J and M.</w:t>
      </w:r>
    </w:p>
    <w:p>
      <w:pPr>
        <w:pStyle w:val="Heading2"/>
      </w:pPr>
      <w:r>
        <w:rPr>
          <w:rFonts w:ascii="Times New Roman" w:cs="Times New Roman" w:eastAsia="Times New Roman" w:hAnsi="Times New Roman"/>
          <w:b/>
          <w:bCs/>
          <w:sz w:val="22"/>
          <w:szCs w:val="22"/>
        </w:rPr>
        <w:t xml:space="preserve">13.5 Phase 5: Distributed Identity-Native Enforcement</w:t>
      </w:r>
    </w:p>
    <w:p>
      <w:pPr>
        <w:spacing w:after="120" w:line="276" w:lineRule="exact"/>
        <w:jc w:val="both"/>
      </w:pPr>
      <w:r>
        <w:rPr>
          <w:rFonts w:ascii="Times New Roman" w:cs="Times New Roman" w:eastAsia="Times New Roman" w:hAnsi="Times New Roman"/>
          <w:sz w:val="22"/>
          <w:szCs w:val="22"/>
        </w:rPr>
        <w:t xml:space="preserve">Outcomes: Identity propagation across tiers; token exchange per hop; policy-as-code; automated policy testing.</w:t>
      </w:r>
    </w:p>
    <w:p>
      <w:pPr>
        <w:spacing w:after="120" w:line="276" w:lineRule="exact"/>
        <w:jc w:val="both"/>
      </w:pPr>
      <w:r>
        <w:rPr>
          <w:rFonts w:ascii="Times New Roman" w:cs="Times New Roman" w:eastAsia="Times New Roman" w:hAnsi="Times New Roman"/>
          <w:sz w:val="22"/>
          <w:szCs w:val="22"/>
        </w:rPr>
        <w:t xml:space="preserve">Metrics: Per-tier enforcement coverage; policy change failure rate; mean time to diagnose authorization failures; least-privilege score (connectivity + privilege).</w:t>
      </w:r>
    </w:p>
    <w:p>
      <w:pPr>
        <w:spacing w:after="120" w:line="276" w:lineRule="exact"/>
        <w:jc w:val="both"/>
      </w:pPr>
      <w:r>
        <w:rPr>
          <w:rFonts w:ascii="Times New Roman" w:cs="Times New Roman" w:eastAsia="Times New Roman" w:hAnsi="Times New Roman"/>
          <w:sz w:val="22"/>
          <w:szCs w:val="22"/>
        </w:rPr>
        <w:t xml:space="preserve">For end-to-end identity propagation patterns including token exchange, database-level identity consumption, and distributed authorization, see Appendices G and H.</w:t>
      </w:r>
    </w:p>
    <w:p>
      <w:pPr>
        <w:pStyle w:val="Heading1"/>
      </w:pPr>
      <w:r>
        <w:rPr>
          <w:rFonts w:ascii="Times New Roman" w:cs="Times New Roman" w:eastAsia="Times New Roman" w:hAnsi="Times New Roman"/>
          <w:b/>
          <w:bCs/>
          <w:caps/>
          <w:sz w:val="26"/>
          <w:szCs w:val="26"/>
        </w:rPr>
        <w:t xml:space="preserve">14. VENDOR EVALUATION CRITERIA: TURNING CLAIMS INTO TESTABLE QUESTIONS</w:t>
      </w:r>
    </w:p>
    <w:p>
      <w:pPr>
        <w:spacing w:after="120" w:line="276" w:lineRule="exact"/>
        <w:jc w:val="both"/>
      </w:pPr>
      <w:r>
        <w:rPr>
          <w:rFonts w:ascii="Times New Roman" w:cs="Times New Roman" w:eastAsia="Times New Roman" w:hAnsi="Times New Roman"/>
          <w:b/>
          <w:bCs/>
          <w:sz w:val="22"/>
          <w:szCs w:val="22"/>
        </w:rPr>
        <w:t xml:space="preserve">A vendor evaluation should avoid feature checklists and instead test architectural properties. Key questions include: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Where is user identity validated — only at broker or also in backend?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Can the system support token exchange and audience scoping?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How does it integrate with IdP context sources, and what signals are first-party vs. third-party?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Does it provide workload identity automation, or does it assume PKI maturity?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What is the failure behavior — do outages fail open or fail closed?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How is broker blast radius constrained?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What is the operational burden of certificate and policy lifecycle?</w:t>
      </w:r>
    </w:p>
    <w:p>
      <w:pPr>
        <w:spacing w:after="120" w:line="276" w:lineRule="exact"/>
        <w:jc w:val="both"/>
      </w:pPr>
      <w:r>
        <w:rPr>
          <w:rFonts w:ascii="Times New Roman" w:cs="Times New Roman" w:eastAsia="Times New Roman" w:hAnsi="Times New Roman"/>
          <w:sz w:val="22"/>
          <w:szCs w:val="22"/>
        </w:rPr>
        <w:t xml:space="preserve">A defensible procurement process should include adversarial testing: attempt token replay, audience confusion, header injection, broker-to-backend pivoting, and policy bypass under partial telemetry conditions. The point is not to "break" the product; it is to map residual risk to your environment. State machines and flow analyses in Appendices I through J support the design of such test scenarios.</w:t>
      </w:r>
    </w:p>
    <w:p>
      <w:r>
        <w:br w:type="page"/>
      </w:r>
    </w:p>
    <w:p>
      <w:pPr>
        <w:pStyle w:val="Heading1"/>
      </w:pPr>
      <w:r>
        <w:rPr>
          <w:rFonts w:ascii="Times New Roman" w:cs="Times New Roman" w:eastAsia="Times New Roman" w:hAnsi="Times New Roman"/>
          <w:b/>
          <w:bCs/>
          <w:caps/>
          <w:sz w:val="26"/>
          <w:szCs w:val="26"/>
        </w:rPr>
        <w:t xml:space="preserve">PART VII — ARCHITECTURAL SYNTHESIS AND CONCLUSION</w:t>
      </w:r>
    </w:p>
    <w:p>
      <w:pPr>
        <w:spacing w:after="120" w:line="276" w:lineRule="exact"/>
        <w:jc w:val="both"/>
      </w:pPr>
      <w:r>
        <w:rPr>
          <w:rFonts w:ascii="Times New Roman" w:cs="Times New Roman" w:eastAsia="Times New Roman" w:hAnsi="Times New Roman"/>
          <w:sz w:val="22"/>
          <w:szCs w:val="22"/>
        </w:rPr>
        <w:t xml:space="preserve">The two frameworks presented in this paper — governed exposure infrastructure and identity-driven Zero Trust — address different layers of the same fundamental problem: how to enable third-party connectivity at enterprise scale without accumulating unmanaged risk. The governance model (Parts I–III) provides structural containment: every external connection exists within a bounded Tenant, delivered through a standardized service catalog, enforced through mediated exposure, and subject to deterministic lifecycle management. The identity architecture (Parts IV–VI) provides behavioral accountability: every actor, action, and authorization decision within those structural containers can be traced, validated, and enforced through decomposable identity primitives.</w:t>
      </w:r>
    </w:p>
    <w:p>
      <w:pPr>
        <w:spacing w:after="120" w:line="276" w:lineRule="exact"/>
        <w:jc w:val="both"/>
      </w:pPr>
      <w:r>
        <w:rPr>
          <w:rFonts w:ascii="Times New Roman" w:cs="Times New Roman" w:eastAsia="Times New Roman" w:hAnsi="Times New Roman"/>
          <w:sz w:val="22"/>
          <w:szCs w:val="22"/>
        </w:rPr>
        <w:t xml:space="preserve">These layers are complementary and mutually reinforcing. Governed exposure infrastructure without identity enforcement creates structurally sound containers that remain operationally opaque — the platform knows which Tenants exist and which services are declared, but cannot reason about whether authenticated actors are performing authorized actions at application and data boundaries. Conversely, identity-native Zero Trust without governance infrastructure creates per-request accountability that lacks structural containment — identity controls may be rigorously enforced within individual application stacks, but without Tenant isolation, lifecycle discipline, and catalog enforcement, the organizational boundaries around those identity controls erode incrementally as connectivity accumulates.</w:t>
      </w:r>
    </w:p>
    <w:p>
      <w:pPr>
        <w:spacing w:after="120" w:line="276" w:lineRule="exact"/>
        <w:jc w:val="both"/>
      </w:pPr>
      <w:r>
        <w:rPr>
          <w:rFonts w:ascii="Times New Roman" w:cs="Times New Roman" w:eastAsia="Times New Roman" w:hAnsi="Times New Roman"/>
          <w:sz w:val="22"/>
          <w:szCs w:val="22"/>
        </w:rPr>
        <w:t xml:space="preserve">The unified model resolves this tension. The Tenant provides the structural isolation within which identity controls operate. The service catalog defines the capabilities against which identity-bound access decisions are evaluated. Mediated service exposure provides the enforcement points at which identity validation occurs. Lifecycle management ensures that both the structural container and the identity bindings within it are reviewed, renewed, or retired together. When a Tenant is decommissioned, not only are routing contexts and transport constructs removed, but the associated identity stores, trust anchors, and authorization policies are eliminated as well — achieving deterministic reversibility across both governance and identity planes.</w:t>
      </w:r>
    </w:p>
    <w:p>
      <w:pPr>
        <w:spacing w:after="120" w:line="276" w:lineRule="exact"/>
        <w:jc w:val="both"/>
      </w:pPr>
      <w:r>
        <w:rPr>
          <w:rFonts w:ascii="Times New Roman" w:cs="Times New Roman" w:eastAsia="Times New Roman" w:hAnsi="Times New Roman"/>
          <w:sz w:val="22"/>
          <w:szCs w:val="22"/>
        </w:rPr>
        <w:t xml:space="preserve">The prescriptive progression model in Part VI aligns naturally with this synthesis. Early phases (boundary hardening, brokered identity enforcement) correspond to establishing the governed exposure infrastructure — eliminating broad VPN access, deploying Tenant-scoped mediation, and centralizing authentication. Later phases (selective workload identity, targeted application modernization, distributed identity-native enforcement) correspond to deepening identity maturity within the structural containers that governance has already established. Organizations do not need to choose between governance discipline and identity maturity; they advance both in coordinated stages, with each phase building on the assurance provided by the previous one.</w:t>
      </w:r>
    </w:p>
    <w:p>
      <w:pPr>
        <w:spacing w:after="120" w:line="276" w:lineRule="exact"/>
        <w:jc w:val="both"/>
      </w:pPr>
      <w:r>
        <w:rPr>
          <w:rFonts w:ascii="Times New Roman" w:cs="Times New Roman" w:eastAsia="Times New Roman" w:hAnsi="Times New Roman"/>
          <w:sz w:val="22"/>
          <w:szCs w:val="22"/>
        </w:rPr>
        <w:t xml:space="preserve">The technical appendices in this unified edition provide implementation-level detail for both domains. Appendices A through H specify the governed exposure infrastructure: structural isolation invariants, transport discipline, dual-proxy mediation, inspection architecture, lifecycle automation, extensibility guardrails, administrative separation, and functional validation evidence. Appendices I through O specify the identity architecture: mTLS certificate lifecycle and handshake state machines, JWT issuance and per-request validation flows, IdP context aggregation, broker request processing, per-request authorization with intent derivation, multi-tier identity propagation with database-level enforcement, and end-to-end architectural comparisons between brokered legacy and ZT-native models. Together, these appendices form a comprehensive reference for architects and engineers implementing the unified framework.</w:t>
      </w:r>
    </w:p>
    <w:p>
      <w:pPr>
        <w:spacing w:after="120" w:line="276" w:lineRule="exact"/>
        <w:jc w:val="both"/>
      </w:pPr>
      <w:r>
        <w:rPr>
          <w:rFonts w:ascii="Times New Roman" w:cs="Times New Roman" w:eastAsia="Times New Roman" w:hAnsi="Times New Roman"/>
          <w:sz w:val="22"/>
          <w:szCs w:val="22"/>
        </w:rPr>
        <w:t xml:space="preserve">The central claim of this paper is that enterprise third-party connectivity can be transformed from an accumulation of ungoverned network artifacts into a structured, identity-aware, lifecycle-managed capability — but only when governance infrastructure and identity enforcement are designed as a unified system rather than as independent initiatives. Neither structural containment alone nor identity validation alone is sufficient. The combination — governed exposure domains populated with identity-native controls, subject to lifecycle discipline, and delivered through a product-agnostic service catalog — provides the architectural foundation for connectivity that is simultaneously agile, accountable, and reversible.</w:t>
      </w:r>
    </w:p>
    <w:p>
      <w:pPr>
        <w:pStyle w:val="Heading2"/>
      </w:pPr>
      <w:r>
        <w:rPr>
          <w:rFonts w:ascii="Times New Roman" w:cs="Times New Roman" w:eastAsia="Times New Roman" w:hAnsi="Times New Roman"/>
          <w:b/>
          <w:bCs/>
          <w:sz w:val="22"/>
          <w:szCs w:val="22"/>
        </w:rPr>
        <w:t xml:space="preserve">Conclusion</w:t>
      </w:r>
    </w:p>
    <w:p>
      <w:pPr>
        <w:spacing w:after="120" w:line="276" w:lineRule="exact"/>
        <w:jc w:val="both"/>
      </w:pPr>
      <w:r>
        <w:rPr>
          <w:rFonts w:ascii="Times New Roman" w:cs="Times New Roman" w:eastAsia="Times New Roman" w:hAnsi="Times New Roman"/>
          <w:sz w:val="22"/>
          <w:szCs w:val="22"/>
        </w:rPr>
        <w:t xml:space="preserve">Forrester's Zero Trust framing [1] and Google's BeyondCorp implementation [2] are consistent in philosophy but divergent in feasibility across legacy estates. The central mistake in most programs is treating brokerage as identity-native enforcement. Brokerage is valuable; it is not equivalent. A credible Zero Trust program decomposes identity layers, states which layers are achievable without application change, and invests in governance maturity so that deeper identity-native controls can be adopted selectively without destabilizing operations.</w:t>
      </w:r>
    </w:p>
    <w:p>
      <w:pPr>
        <w:spacing w:after="120" w:line="276" w:lineRule="exact"/>
        <w:jc w:val="both"/>
      </w:pPr>
      <w:r>
        <w:rPr>
          <w:rFonts w:ascii="Times New Roman" w:cs="Times New Roman" w:eastAsia="Times New Roman" w:hAnsi="Times New Roman"/>
          <w:sz w:val="22"/>
          <w:szCs w:val="22"/>
        </w:rPr>
        <w:t xml:space="preserve">Brokerage is valuable; it is not equivalent to identity-native enforcement. A credible Zero Trust program decomposes identity layers and states which are achievable without application change.</w:t>
      </w:r>
    </w:p>
    <w:p>
      <w:pPr>
        <w:spacing w:after="120" w:line="276" w:lineRule="exact"/>
        <w:jc w:val="both"/>
      </w:pPr>
      <w:r>
        <w:rPr>
          <w:rFonts w:ascii="Times New Roman" w:cs="Times New Roman" w:eastAsia="Times New Roman" w:hAnsi="Times New Roman"/>
          <w:sz w:val="22"/>
          <w:szCs w:val="22"/>
        </w:rPr>
        <w:t xml:space="preserve">The technical appendices in this integrated edition provide the implementation-level detail — state machines, issuance flows, validation flows, and architectural comparisons — needed to move from conceptual framework to operational deployment. Readers should treat the main body and appendices as a unified reference rather than separate documents.</w:t>
      </w:r>
    </w:p>
    <w:p>
      <w:r>
        <w:br w:type="page"/>
      </w:r>
    </w:p>
    <w:p>
      <w:pPr>
        <w:pStyle w:val="Heading1"/>
      </w:pPr>
      <w:r>
        <w:rPr>
          <w:rFonts w:ascii="Times New Roman" w:cs="Times New Roman" w:eastAsia="Times New Roman" w:hAnsi="Times New Roman"/>
          <w:b/>
          <w:bCs/>
          <w:caps/>
          <w:sz w:val="26"/>
          <w:szCs w:val="26"/>
        </w:rPr>
        <w:t xml:space="preserve">REFERENCES</w:t>
      </w:r>
    </w:p>
    <w:p>
      <w:pPr>
        <w:spacing w:after="60"/>
        <w:ind w:left="360" w:hanging="360"/>
      </w:pPr>
      <w:r>
        <w:rPr>
          <w:rFonts w:ascii="Times New Roman" w:cs="Times New Roman" w:eastAsia="Times New Roman" w:hAnsi="Times New Roman"/>
          <w:sz w:val="20"/>
          <w:szCs w:val="20"/>
        </w:rPr>
        <w:t xml:space="preserve">[1] John Kindervag, "Applying Zero Trust to the Extended Enterprise," Forrester Research, 2011.</w:t>
      </w:r>
    </w:p>
    <w:p>
      <w:pPr>
        <w:spacing w:after="60"/>
        <w:ind w:left="360" w:hanging="360"/>
      </w:pPr>
      <w:r>
        <w:rPr>
          <w:rFonts w:ascii="Times New Roman" w:cs="Times New Roman" w:eastAsia="Times New Roman" w:hAnsi="Times New Roman"/>
          <w:sz w:val="20"/>
          <w:szCs w:val="20"/>
        </w:rPr>
        <w:t xml:space="preserve">[2] Rory Ward and Betsy Beyer, "BeyondCorp: A New Approach to Enterprise Security," USENIX ;login:, Vol. 39, No. 6, 2014.</w:t>
      </w:r>
    </w:p>
    <w:p>
      <w:pPr>
        <w:spacing w:after="60"/>
        <w:ind w:left="360" w:hanging="360"/>
      </w:pPr>
      <w:r>
        <w:rPr>
          <w:rFonts w:ascii="Times New Roman" w:cs="Times New Roman" w:eastAsia="Times New Roman" w:hAnsi="Times New Roman"/>
          <w:sz w:val="20"/>
          <w:szCs w:val="20"/>
        </w:rPr>
        <w:t xml:space="preserve">[3] NIST Special Publication 800-207, "Zero Trust Architecture," Rose, S. et al., 2020.</w:t>
      </w:r>
    </w:p>
    <w:p>
      <w:pPr>
        <w:spacing w:after="60"/>
        <w:ind w:left="360" w:hanging="360"/>
      </w:pPr>
      <w:r>
        <w:rPr>
          <w:rFonts w:ascii="Times New Roman" w:cs="Times New Roman" w:eastAsia="Times New Roman" w:hAnsi="Times New Roman"/>
          <w:sz w:val="20"/>
          <w:szCs w:val="20"/>
        </w:rPr>
        <w:t xml:space="preserve">[4] IETF RFC 7519, "JSON Web Token (JWT)," Jones, M., Bradley, J. &amp; Sakimura, N., 2015.</w:t>
      </w:r>
    </w:p>
    <w:p>
      <w:pPr>
        <w:spacing w:after="60"/>
        <w:ind w:left="360" w:hanging="360"/>
      </w:pPr>
      <w:r>
        <w:rPr>
          <w:rFonts w:ascii="Times New Roman" w:cs="Times New Roman" w:eastAsia="Times New Roman" w:hAnsi="Times New Roman"/>
          <w:sz w:val="20"/>
          <w:szCs w:val="20"/>
        </w:rPr>
        <w:t xml:space="preserve">[5] IETF RFC 8693, "OAuth 2.0 Token Exchange," Jones, M. et al., 2020.</w:t>
      </w:r>
    </w:p>
    <w:p>
      <w:pPr>
        <w:spacing w:after="60"/>
        <w:ind w:left="360" w:hanging="360"/>
      </w:pPr>
      <w:r>
        <w:rPr>
          <w:rFonts w:ascii="Times New Roman" w:cs="Times New Roman" w:eastAsia="Times New Roman" w:hAnsi="Times New Roman"/>
          <w:sz w:val="20"/>
          <w:szCs w:val="20"/>
        </w:rPr>
        <w:t xml:space="preserve">[6] SPIFFE Project, "Secure Production Identity Framework for Everyone," Cloud Native Computing Foundation, 2023.</w:t>
      </w:r>
    </w:p>
    <w:p>
      <w:pPr>
        <w:spacing w:after="60"/>
        <w:ind w:left="360" w:hanging="360"/>
      </w:pPr>
      <w:r>
        <w:rPr>
          <w:rFonts w:ascii="Times New Roman" w:cs="Times New Roman" w:eastAsia="Times New Roman" w:hAnsi="Times New Roman"/>
          <w:sz w:val="20"/>
          <w:szCs w:val="20"/>
        </w:rPr>
        <w:t xml:space="preserve">[7] FIDO Alliance, "FIDO2 Specification: Web Authentication (WebAuthn) and CTAP," 2021.</w:t>
      </w:r>
    </w:p>
    <w:p>
      <w:pPr>
        <w:spacing w:after="60"/>
        <w:ind w:left="360" w:hanging="360"/>
      </w:pPr>
      <w:r>
        <w:rPr>
          <w:rFonts w:ascii="Times New Roman" w:cs="Times New Roman" w:eastAsia="Times New Roman" w:hAnsi="Times New Roman"/>
          <w:sz w:val="20"/>
          <w:szCs w:val="20"/>
        </w:rPr>
        <w:t xml:space="preserve">[8] NIST SP 800-57 Rev. 5, "Recommendations for Key Management — Part 1: General," 2019.</w:t>
      </w:r>
    </w:p>
    <w:p>
      <w:r>
        <w:br w:type="page"/>
      </w:r>
    </w:p>
    <w:p>
      <w:pPr>
        <w:pStyle w:val="Heading1"/>
      </w:pPr>
      <w:r>
        <w:rPr>
          <w:rFonts w:ascii="Times New Roman" w:cs="Times New Roman" w:eastAsia="Times New Roman" w:hAnsi="Times New Roman"/>
          <w:b/>
          <w:bCs/>
          <w:caps/>
          <w:sz w:val="26"/>
          <w:szCs w:val="26"/>
        </w:rPr>
        <w:t xml:space="preserve">APPENDICES — GOVERNED EXPOSURE INFRASTRUCTURE</w:t>
      </w:r>
    </w:p>
    <w:p>
      <w:pPr>
        <w:spacing w:after="120" w:line="276" w:lineRule="exact"/>
        <w:jc w:val="both"/>
      </w:pPr>
      <w:r>
        <w:rPr>
          <w:rFonts w:ascii="Times New Roman" w:cs="Times New Roman" w:eastAsia="Times New Roman" w:hAnsi="Times New Roman"/>
          <w:sz w:val="22"/>
          <w:szCs w:val="22"/>
        </w:rPr>
        <w:t xml:space="preserve">The following appendices provide detailed technical specifications, failure mode analysis, validation criteria, and proof of implementation for each architectural component. These appendices are intended for network architects, security engineers, platform implementers, and technical auditors who need to understand the precise mechanisms through which governance intent becomes enforceable system behavior.</w:t>
      </w:r>
    </w:p>
    <w:p>
      <w:r>
        <w:br w:type="page"/>
      </w:r>
    </w:p>
    <w:p>
      <w:pPr>
        <w:pStyle w:val="Heading1"/>
      </w:pPr>
      <w:r>
        <w:rPr>
          <w:rFonts w:ascii="Times New Roman" w:cs="Times New Roman" w:eastAsia="Times New Roman" w:hAnsi="Times New Roman"/>
          <w:b/>
          <w:bCs/>
          <w:caps/>
          <w:sz w:val="26"/>
          <w:szCs w:val="26"/>
        </w:rPr>
        <w:t xml:space="preserve">APPENDIX A — STRUCTURAL ISOLATION: FAILURE MODES AND FUNCTIONAL INVARIANTS</w:t>
      </w:r>
    </w:p>
    <w:p>
      <w:pPr>
        <w:pStyle w:val="Heading2"/>
      </w:pPr>
      <w:r>
        <w:rPr>
          <w:rFonts w:ascii="Times New Roman" w:cs="Times New Roman" w:eastAsia="Times New Roman" w:hAnsi="Times New Roman"/>
          <w:b/>
          <w:bCs/>
          <w:sz w:val="22"/>
          <w:szCs w:val="22"/>
        </w:rPr>
        <w:t xml:space="preserve">A.1 Why Flat Segmentation Fails at Scale</w:t>
      </w:r>
    </w:p>
    <w:p>
      <w:pPr>
        <w:spacing w:after="120" w:line="276" w:lineRule="exact"/>
        <w:jc w:val="both"/>
      </w:pPr>
      <w:r>
        <w:rPr>
          <w:rFonts w:ascii="Times New Roman" w:cs="Times New Roman" w:eastAsia="Times New Roman" w:hAnsi="Times New Roman"/>
          <w:sz w:val="22"/>
          <w:szCs w:val="22"/>
        </w:rPr>
        <w:t xml:space="preserve">Traditional enterprise network design assumes shared adjacency with segmentation enforced through policy. VLANs, VRFs, firewall rule sets, and ACLs are layered over a common routing substrate. In small-scale environments, this model is manageable. At enterprise scale with dozens or hundreds of third-party integrations, it becomes structurally fragile.</w:t>
      </w:r>
    </w:p>
    <w:p>
      <w:pPr>
        <w:spacing w:after="120" w:line="276" w:lineRule="exact"/>
        <w:jc w:val="both"/>
      </w:pPr>
      <w:r>
        <w:rPr>
          <w:rFonts w:ascii="Times New Roman" w:cs="Times New Roman" w:eastAsia="Times New Roman" w:hAnsi="Times New Roman"/>
          <w:b/>
          <w:bCs/>
          <w:sz w:val="22"/>
          <w:szCs w:val="22"/>
        </w:rPr>
        <w:t xml:space="preserve">Flat adjacency architectures fail for three primary reasons:</w:t>
      </w:r>
    </w:p>
    <w:p>
      <w:pPr>
        <w:spacing w:after="120" w:line="276" w:lineRule="exact"/>
        <w:jc w:val="both"/>
      </w:pPr>
      <w:r>
        <w:rPr>
          <w:rFonts w:ascii="Times New Roman" w:cs="Times New Roman" w:eastAsia="Times New Roman" w:hAnsi="Times New Roman"/>
          <w:b/>
          <w:bCs/>
          <w:sz w:val="22"/>
          <w:szCs w:val="22"/>
        </w:rPr>
        <w:t xml:space="preserve">Policy Complexity Grows Faster Than Assurance</w:t>
      </w:r>
    </w:p>
    <w:p>
      <w:pPr>
        <w:spacing w:after="120" w:line="276" w:lineRule="exact"/>
        <w:jc w:val="both"/>
      </w:pPr>
      <w:r>
        <w:rPr>
          <w:rFonts w:ascii="Times New Roman" w:cs="Times New Roman" w:eastAsia="Times New Roman" w:hAnsi="Times New Roman"/>
          <w:sz w:val="22"/>
          <w:szCs w:val="22"/>
        </w:rPr>
        <w:t xml:space="preserve">Each new integration adds rules. Each exception adds conditional logic. Over time, firewall policies become asymmetric, overlapping, and difficult to reason about. Assurance becomes dependent on configuration review rather than architectural containment.</w:t>
      </w:r>
    </w:p>
    <w:p>
      <w:pPr>
        <w:spacing w:after="120" w:line="276" w:lineRule="exact"/>
        <w:jc w:val="both"/>
      </w:pPr>
      <w:r>
        <w:rPr>
          <w:rFonts w:ascii="Times New Roman" w:cs="Times New Roman" w:eastAsia="Times New Roman" w:hAnsi="Times New Roman"/>
          <w:b/>
          <w:bCs/>
          <w:sz w:val="22"/>
          <w:szCs w:val="22"/>
        </w:rPr>
        <w:t xml:space="preserve">Route Inheritance Becomes Implicit</w:t>
      </w:r>
    </w:p>
    <w:p>
      <w:pPr>
        <w:spacing w:after="120" w:line="276" w:lineRule="exact"/>
        <w:jc w:val="both"/>
      </w:pPr>
      <w:r>
        <w:rPr>
          <w:rFonts w:ascii="Times New Roman" w:cs="Times New Roman" w:eastAsia="Times New Roman" w:hAnsi="Times New Roman"/>
          <w:sz w:val="22"/>
          <w:szCs w:val="22"/>
        </w:rPr>
        <w:t xml:space="preserve">When routing domains are shared, route import/export rules become a source of adjacency leakage. Even minor configuration drift can introduce unintended reachability.</w:t>
      </w:r>
    </w:p>
    <w:p>
      <w:pPr>
        <w:spacing w:after="120" w:line="276" w:lineRule="exact"/>
        <w:jc w:val="both"/>
      </w:pPr>
      <w:r>
        <w:rPr>
          <w:rFonts w:ascii="Times New Roman" w:cs="Times New Roman" w:eastAsia="Times New Roman" w:hAnsi="Times New Roman"/>
          <w:b/>
          <w:bCs/>
          <w:sz w:val="22"/>
          <w:szCs w:val="22"/>
        </w:rPr>
        <w:t xml:space="preserve">Blast Radius Expands With Density</w:t>
      </w:r>
    </w:p>
    <w:p>
      <w:pPr>
        <w:spacing w:after="120" w:line="276" w:lineRule="exact"/>
        <w:jc w:val="both"/>
      </w:pPr>
      <w:r>
        <w:rPr>
          <w:rFonts w:ascii="Times New Roman" w:cs="Times New Roman" w:eastAsia="Times New Roman" w:hAnsi="Times New Roman"/>
          <w:sz w:val="22"/>
          <w:szCs w:val="22"/>
        </w:rPr>
        <w:t xml:space="preserve">When tenants coexist within shared adjacency domains, compromise of one tenant can potentially expose lateral paths into others, especially where shared inspection or routing planes exist.</w:t>
      </w:r>
    </w:p>
    <w:p>
      <w:pPr>
        <w:spacing w:after="120" w:line="276" w:lineRule="exact"/>
        <w:jc w:val="both"/>
      </w:pPr>
      <w:r>
        <w:rPr>
          <w:rFonts w:ascii="Times New Roman" w:cs="Times New Roman" w:eastAsia="Times New Roman" w:hAnsi="Times New Roman"/>
          <w:sz w:val="22"/>
          <w:szCs w:val="22"/>
        </w:rPr>
        <w:t xml:space="preserve">The core issue is this: segmentation implemented through filtering over shared adjacency is probabilistic at scale.</w:t>
      </w:r>
    </w:p>
    <w:p>
      <w:pPr>
        <w:spacing w:after="120" w:line="276" w:lineRule="exact"/>
        <w:jc w:val="both"/>
      </w:pPr>
      <w:r>
        <w:rPr>
          <w:rFonts w:ascii="Times New Roman" w:cs="Times New Roman" w:eastAsia="Times New Roman" w:hAnsi="Times New Roman"/>
          <w:sz w:val="22"/>
          <w:szCs w:val="22"/>
        </w:rPr>
        <w:t xml:space="preserve">Structural containment must replace policy-dependent separation.</w:t>
      </w:r>
    </w:p>
    <w:p>
      <w:pPr>
        <w:pStyle w:val="Heading2"/>
      </w:pPr>
      <w:r>
        <w:rPr>
          <w:rFonts w:ascii="Times New Roman" w:cs="Times New Roman" w:eastAsia="Times New Roman" w:hAnsi="Times New Roman"/>
          <w:b/>
          <w:bCs/>
          <w:sz w:val="22"/>
          <w:szCs w:val="22"/>
        </w:rPr>
        <w:t xml:space="preserve">A.2 Structural Isolation as an Architectural Invariant</w:t>
      </w:r>
    </w:p>
    <w:p>
      <w:pPr>
        <w:spacing w:after="120" w:line="276" w:lineRule="exact"/>
        <w:jc w:val="both"/>
      </w:pPr>
      <w:r>
        <w:rPr>
          <w:rFonts w:ascii="Times New Roman" w:cs="Times New Roman" w:eastAsia="Times New Roman" w:hAnsi="Times New Roman"/>
          <w:b/>
          <w:bCs/>
          <w:sz w:val="22"/>
          <w:szCs w:val="22"/>
        </w:rPr>
        <w:t xml:space="preserve">Structural isolation requires that:</w:t>
      </w:r>
    </w:p>
    <w:p>
      <w:pPr>
        <w:spacing w:after="120" w:line="276" w:lineRule="exact"/>
        <w:jc w:val="both"/>
      </w:pPr>
      <w:r>
        <w:rPr>
          <w:rFonts w:ascii="Times New Roman" w:cs="Times New Roman" w:eastAsia="Times New Roman" w:hAnsi="Times New Roman"/>
          <w:sz w:val="22"/>
          <w:szCs w:val="22"/>
        </w:rPr>
        <w:t xml:space="preserve">Each Tenant exists within a discrete forwarding and routing context</w:t>
      </w:r>
    </w:p>
    <w:p>
      <w:pPr>
        <w:spacing w:after="120" w:line="276" w:lineRule="exact"/>
        <w:jc w:val="both"/>
      </w:pPr>
      <w:r>
        <w:rPr>
          <w:rFonts w:ascii="Times New Roman" w:cs="Times New Roman" w:eastAsia="Times New Roman" w:hAnsi="Times New Roman"/>
          <w:sz w:val="22"/>
          <w:szCs w:val="22"/>
        </w:rPr>
        <w:t xml:space="preserve">No Tenant inherits adjacency to another by default</w:t>
      </w:r>
    </w:p>
    <w:p>
      <w:pPr>
        <w:spacing w:after="120" w:line="276" w:lineRule="exact"/>
        <w:jc w:val="both"/>
      </w:pPr>
      <w:r>
        <w:rPr>
          <w:rFonts w:ascii="Times New Roman" w:cs="Times New Roman" w:eastAsia="Times New Roman" w:hAnsi="Times New Roman"/>
          <w:sz w:val="22"/>
          <w:szCs w:val="22"/>
        </w:rPr>
        <w:t xml:space="preserve">Internal enterprise networks are not reachable without explicit mediation constructs</w:t>
      </w:r>
    </w:p>
    <w:p>
      <w:pPr>
        <w:spacing w:after="120" w:line="276" w:lineRule="exact"/>
        <w:jc w:val="both"/>
      </w:pPr>
      <w:r>
        <w:rPr>
          <w:rFonts w:ascii="Times New Roman" w:cs="Times New Roman" w:eastAsia="Times New Roman" w:hAnsi="Times New Roman"/>
          <w:sz w:val="22"/>
          <w:szCs w:val="22"/>
        </w:rPr>
        <w:t xml:space="preserve">Route propagation boundaries are deterministic and constrained</w:t>
      </w:r>
    </w:p>
    <w:p>
      <w:pPr>
        <w:spacing w:after="120" w:line="276" w:lineRule="exact"/>
        <w:jc w:val="both"/>
      </w:pPr>
      <w:r>
        <w:rPr>
          <w:rFonts w:ascii="Times New Roman" w:cs="Times New Roman" w:eastAsia="Times New Roman" w:hAnsi="Times New Roman"/>
          <w:b/>
          <w:bCs/>
          <w:sz w:val="22"/>
          <w:szCs w:val="22"/>
        </w:rPr>
        <w:t xml:space="preserve">The isolation invariant can be stated precisely:</w:t>
      </w:r>
    </w:p>
    <w:p>
      <w:pPr>
        <w:spacing w:after="120" w:line="276" w:lineRule="exact"/>
        <w:jc w:val="both"/>
      </w:pPr>
      <w:r>
        <w:rPr>
          <w:rFonts w:ascii="Times New Roman" w:cs="Times New Roman" w:eastAsia="Times New Roman" w:hAnsi="Times New Roman"/>
          <w:sz w:val="22"/>
          <w:szCs w:val="22"/>
        </w:rPr>
        <w:t xml:space="preserve">If no mediation construct exists between Tenant A and Tenant B, then no packet originating in A can reach B.</w:t>
      </w:r>
    </w:p>
    <w:p>
      <w:pPr>
        <w:spacing w:after="120" w:line="276" w:lineRule="exact"/>
        <w:jc w:val="both"/>
      </w:pPr>
      <w:r>
        <w:rPr>
          <w:rFonts w:ascii="Times New Roman" w:cs="Times New Roman" w:eastAsia="Times New Roman" w:hAnsi="Times New Roman"/>
          <w:b/>
          <w:bCs/>
          <w:sz w:val="22"/>
          <w:szCs w:val="22"/>
        </w:rPr>
        <w:t xml:space="preserve">This must hold regardless of:</w:t>
      </w:r>
    </w:p>
    <w:p>
      <w:pPr>
        <w:spacing w:after="120" w:line="276" w:lineRule="exact"/>
        <w:jc w:val="both"/>
      </w:pPr>
      <w:r>
        <w:rPr>
          <w:rFonts w:ascii="Times New Roman" w:cs="Times New Roman" w:eastAsia="Times New Roman" w:hAnsi="Times New Roman"/>
          <w:sz w:val="22"/>
          <w:szCs w:val="22"/>
        </w:rPr>
        <w:t xml:space="preserve">Number of tenants</w:t>
      </w:r>
    </w:p>
    <w:p>
      <w:pPr>
        <w:spacing w:after="120" w:line="276" w:lineRule="exact"/>
        <w:jc w:val="both"/>
      </w:pPr>
      <w:r>
        <w:rPr>
          <w:rFonts w:ascii="Times New Roman" w:cs="Times New Roman" w:eastAsia="Times New Roman" w:hAnsi="Times New Roman"/>
          <w:sz w:val="22"/>
          <w:szCs w:val="22"/>
        </w:rPr>
        <w:t xml:space="preserve">Policy volume</w:t>
      </w:r>
    </w:p>
    <w:p>
      <w:pPr>
        <w:spacing w:after="120" w:line="276" w:lineRule="exact"/>
        <w:jc w:val="both"/>
      </w:pPr>
      <w:r>
        <w:rPr>
          <w:rFonts w:ascii="Times New Roman" w:cs="Times New Roman" w:eastAsia="Times New Roman" w:hAnsi="Times New Roman"/>
          <w:sz w:val="22"/>
          <w:szCs w:val="22"/>
        </w:rPr>
        <w:t xml:space="preserve">Operator variability</w:t>
      </w:r>
    </w:p>
    <w:p>
      <w:pPr>
        <w:spacing w:after="120" w:line="276" w:lineRule="exact"/>
        <w:jc w:val="both"/>
      </w:pPr>
      <w:r>
        <w:rPr>
          <w:rFonts w:ascii="Times New Roman" w:cs="Times New Roman" w:eastAsia="Times New Roman" w:hAnsi="Times New Roman"/>
          <w:sz w:val="22"/>
          <w:szCs w:val="22"/>
        </w:rPr>
        <w:t xml:space="preserve">Routing table scale</w:t>
      </w:r>
    </w:p>
    <w:p>
      <w:pPr>
        <w:spacing w:after="120" w:line="276" w:lineRule="exact"/>
        <w:jc w:val="both"/>
      </w:pPr>
      <w:r>
        <w:rPr>
          <w:rFonts w:ascii="Times New Roman" w:cs="Times New Roman" w:eastAsia="Times New Roman" w:hAnsi="Times New Roman"/>
          <w:sz w:val="22"/>
          <w:szCs w:val="22"/>
        </w:rPr>
        <w:t xml:space="preserve">Isolation must be topology-enforced, not policy-hoped.</w:t>
      </w:r>
    </w:p>
    <w:p>
      <w:pPr>
        <w:pStyle w:val="Heading2"/>
      </w:pPr>
      <w:r>
        <w:rPr>
          <w:rFonts w:ascii="Times New Roman" w:cs="Times New Roman" w:eastAsia="Times New Roman" w:hAnsi="Times New Roman"/>
          <w:b/>
          <w:bCs/>
          <w:sz w:val="22"/>
          <w:szCs w:val="22"/>
        </w:rPr>
        <w:t xml:space="preserve">A.3 Implementation Requirements</w:t>
      </w:r>
    </w:p>
    <w:p>
      <w:pPr>
        <w:spacing w:after="120" w:line="276" w:lineRule="exact"/>
        <w:jc w:val="both"/>
      </w:pPr>
      <w:r>
        <w:rPr>
          <w:rFonts w:ascii="Times New Roman" w:cs="Times New Roman" w:eastAsia="Times New Roman" w:hAnsi="Times New Roman"/>
          <w:b/>
          <w:bCs/>
          <w:sz w:val="22"/>
          <w:szCs w:val="22"/>
        </w:rPr>
        <w:t xml:space="preserve">An implementation delivers structural isolation through:</w:t>
      </w:r>
    </w:p>
    <w:p>
      <w:pPr>
        <w:spacing w:after="120" w:line="276" w:lineRule="exact"/>
        <w:jc w:val="both"/>
      </w:pPr>
      <w:r>
        <w:rPr>
          <w:rFonts w:ascii="Times New Roman" w:cs="Times New Roman" w:eastAsia="Times New Roman" w:hAnsi="Times New Roman"/>
          <w:b/>
          <w:bCs/>
          <w:sz w:val="22"/>
          <w:szCs w:val="22"/>
        </w:rPr>
        <w:t xml:space="preserve">Per-Tenant Routing Domains</w:t>
      </w:r>
    </w:p>
    <w:p>
      <w:pPr>
        <w:spacing w:after="120" w:line="276" w:lineRule="exact"/>
        <w:jc w:val="both"/>
      </w:pPr>
      <w:r>
        <w:rPr>
          <w:rFonts w:ascii="Times New Roman" w:cs="Times New Roman" w:eastAsia="Times New Roman" w:hAnsi="Times New Roman"/>
          <w:sz w:val="22"/>
          <w:szCs w:val="22"/>
        </w:rPr>
        <w:t xml:space="preserve">Each tenant operates within an isolated routing context analogous to VRF or network namespace constructs. No routing information is shared between tenant contexts by default.</w:t>
      </w:r>
    </w:p>
    <w:p>
      <w:pPr>
        <w:spacing w:after="120" w:line="276" w:lineRule="exact"/>
        <w:jc w:val="both"/>
      </w:pPr>
      <w:r>
        <w:rPr>
          <w:rFonts w:ascii="Times New Roman" w:cs="Times New Roman" w:eastAsia="Times New Roman" w:hAnsi="Times New Roman"/>
          <w:b/>
          <w:bCs/>
          <w:sz w:val="22"/>
          <w:szCs w:val="22"/>
        </w:rPr>
        <w:t xml:space="preserve">Per-Tenant Forwarding Contexts</w:t>
      </w:r>
    </w:p>
    <w:p>
      <w:pPr>
        <w:spacing w:after="120" w:line="276" w:lineRule="exact"/>
        <w:jc w:val="both"/>
      </w:pPr>
      <w:r>
        <w:rPr>
          <w:rFonts w:ascii="Times New Roman" w:cs="Times New Roman" w:eastAsia="Times New Roman" w:hAnsi="Times New Roman"/>
          <w:sz w:val="22"/>
          <w:szCs w:val="22"/>
        </w:rPr>
        <w:t xml:space="preserve">Forwarding decisions occur within tenant-scoped tables. Packets cannot traverse from one tenant context to another without explicit mediation.</w:t>
      </w:r>
    </w:p>
    <w:p>
      <w:pPr>
        <w:spacing w:after="120" w:line="276" w:lineRule="exact"/>
        <w:jc w:val="both"/>
      </w:pPr>
      <w:r>
        <w:rPr>
          <w:rFonts w:ascii="Times New Roman" w:cs="Times New Roman" w:eastAsia="Times New Roman" w:hAnsi="Times New Roman"/>
          <w:b/>
          <w:bCs/>
          <w:sz w:val="22"/>
          <w:szCs w:val="22"/>
        </w:rPr>
        <w:t xml:space="preserve">Tenant-Specific IP Addressing Domains</w:t>
      </w:r>
    </w:p>
    <w:p>
      <w:pPr>
        <w:spacing w:after="120" w:line="276" w:lineRule="exact"/>
        <w:jc w:val="both"/>
      </w:pPr>
      <w:r>
        <w:rPr>
          <w:rFonts w:ascii="Times New Roman" w:cs="Times New Roman" w:eastAsia="Times New Roman" w:hAnsi="Times New Roman"/>
          <w:sz w:val="22"/>
          <w:szCs w:val="22"/>
        </w:rPr>
        <w:t xml:space="preserve">Address space may overlap between tenants without conflict because forwarding contexts are isolated.</w:t>
      </w:r>
    </w:p>
    <w:p>
      <w:pPr>
        <w:spacing w:after="120" w:line="276" w:lineRule="exact"/>
        <w:jc w:val="both"/>
      </w:pPr>
      <w:r>
        <w:rPr>
          <w:rFonts w:ascii="Times New Roman" w:cs="Times New Roman" w:eastAsia="Times New Roman" w:hAnsi="Times New Roman"/>
          <w:b/>
          <w:bCs/>
          <w:sz w:val="22"/>
          <w:szCs w:val="22"/>
        </w:rPr>
        <w:t xml:space="preserve">Tenant-Specific Enforcement Chains</w:t>
      </w:r>
    </w:p>
    <w:p>
      <w:pPr>
        <w:spacing w:after="120" w:line="276" w:lineRule="exact"/>
        <w:jc w:val="both"/>
      </w:pPr>
      <w:r>
        <w:rPr>
          <w:rFonts w:ascii="Times New Roman" w:cs="Times New Roman" w:eastAsia="Times New Roman" w:hAnsi="Times New Roman"/>
          <w:sz w:val="22"/>
          <w:szCs w:val="22"/>
        </w:rPr>
        <w:t xml:space="preserve">Security policy, filtering, and mediation constructs are instantiated per tenant and cannot be inadvertently shared.</w:t>
      </w:r>
    </w:p>
    <w:p>
      <w:pPr>
        <w:pStyle w:val="Heading2"/>
      </w:pPr>
      <w:r>
        <w:rPr>
          <w:rFonts w:ascii="Times New Roman" w:cs="Times New Roman" w:eastAsia="Times New Roman" w:hAnsi="Times New Roman"/>
          <w:b/>
          <w:bCs/>
          <w:sz w:val="22"/>
          <w:szCs w:val="22"/>
        </w:rPr>
        <w:t xml:space="preserve">A.4 Validation Criteria</w:t>
      </w:r>
    </w:p>
    <w:p>
      <w:pPr>
        <w:spacing w:after="120" w:line="276" w:lineRule="exact"/>
        <w:jc w:val="both"/>
      </w:pPr>
      <w:r>
        <w:rPr>
          <w:rFonts w:ascii="Times New Roman" w:cs="Times New Roman" w:eastAsia="Times New Roman" w:hAnsi="Times New Roman"/>
          <w:b/>
          <w:bCs/>
          <w:sz w:val="22"/>
          <w:szCs w:val="22"/>
        </w:rPr>
        <w:t xml:space="preserve">An implementation satisfies structural isolation if:</w:t>
      </w:r>
    </w:p>
    <w:p>
      <w:pPr>
        <w:spacing w:after="120" w:line="276" w:lineRule="exact"/>
        <w:jc w:val="both"/>
      </w:pPr>
      <w:r>
        <w:rPr>
          <w:rFonts w:ascii="Times New Roman" w:cs="Times New Roman" w:eastAsia="Times New Roman" w:hAnsi="Times New Roman"/>
          <w:sz w:val="22"/>
          <w:szCs w:val="22"/>
        </w:rPr>
        <w:t xml:space="preserve">Removal of mediation constructs immediately eliminates reachability</w:t>
      </w:r>
    </w:p>
    <w:p>
      <w:pPr>
        <w:spacing w:after="120" w:line="276" w:lineRule="exact"/>
        <w:jc w:val="both"/>
      </w:pPr>
      <w:r>
        <w:rPr>
          <w:rFonts w:ascii="Times New Roman" w:cs="Times New Roman" w:eastAsia="Times New Roman" w:hAnsi="Times New Roman"/>
          <w:sz w:val="22"/>
          <w:szCs w:val="22"/>
        </w:rPr>
        <w:t xml:space="preserve">No shared routing context exists where tenants can observe each other's routes</w:t>
      </w:r>
    </w:p>
    <w:p>
      <w:pPr>
        <w:spacing w:after="120" w:line="276" w:lineRule="exact"/>
        <w:jc w:val="both"/>
      </w:pPr>
      <w:r>
        <w:rPr>
          <w:rFonts w:ascii="Times New Roman" w:cs="Times New Roman" w:eastAsia="Times New Roman" w:hAnsi="Times New Roman"/>
          <w:sz w:val="22"/>
          <w:szCs w:val="22"/>
        </w:rPr>
        <w:t xml:space="preserve">Administrative error in one tenant cannot introduce adjacency to another</w:t>
      </w:r>
    </w:p>
    <w:p>
      <w:pPr>
        <w:spacing w:after="120" w:line="276" w:lineRule="exact"/>
        <w:jc w:val="both"/>
      </w:pPr>
      <w:r>
        <w:rPr>
          <w:rFonts w:ascii="Times New Roman" w:cs="Times New Roman" w:eastAsia="Times New Roman" w:hAnsi="Times New Roman"/>
          <w:sz w:val="22"/>
          <w:szCs w:val="22"/>
        </w:rPr>
        <w:t xml:space="preserve">Packet capture within one tenant cannot observe traffic belonging to another</w:t>
      </w:r>
    </w:p>
    <w:p>
      <w:pPr>
        <w:spacing w:after="120" w:line="276" w:lineRule="exact"/>
        <w:jc w:val="both"/>
      </w:pPr>
      <w:r>
        <w:rPr>
          <w:rFonts w:ascii="Times New Roman" w:cs="Times New Roman" w:eastAsia="Times New Roman" w:hAnsi="Times New Roman"/>
          <w:sz w:val="22"/>
          <w:szCs w:val="22"/>
        </w:rPr>
        <w:t xml:space="preserve">Structural containment is the foundation upon which all other capabilities depend.</w:t>
      </w:r>
    </w:p>
    <w:p>
      <w:r>
        <w:br w:type="page"/>
      </w:r>
    </w:p>
    <w:p>
      <w:pPr>
        <w:pStyle w:val="Heading1"/>
      </w:pPr>
      <w:r>
        <w:rPr>
          <w:rFonts w:ascii="Times New Roman" w:cs="Times New Roman" w:eastAsia="Times New Roman" w:hAnsi="Times New Roman"/>
          <w:b/>
          <w:bCs/>
          <w:caps/>
          <w:sz w:val="26"/>
          <w:szCs w:val="26"/>
        </w:rPr>
        <w:t xml:space="preserve">APPENDIX B — TRANSPORT: ENCRYPTION WITHOUT TRUST EXPANSION</w:t>
      </w:r>
    </w:p>
    <w:p>
      <w:pPr>
        <w:pStyle w:val="Heading2"/>
      </w:pPr>
      <w:r>
        <w:rPr>
          <w:rFonts w:ascii="Times New Roman" w:cs="Times New Roman" w:eastAsia="Times New Roman" w:hAnsi="Times New Roman"/>
          <w:b/>
          <w:bCs/>
          <w:sz w:val="22"/>
          <w:szCs w:val="22"/>
        </w:rPr>
        <w:t xml:space="preserve">B.1 The Conflation Problem</w:t>
      </w:r>
    </w:p>
    <w:p>
      <w:pPr>
        <w:spacing w:after="120" w:line="276" w:lineRule="exact"/>
        <w:jc w:val="both"/>
      </w:pPr>
      <w:r>
        <w:rPr>
          <w:rFonts w:ascii="Times New Roman" w:cs="Times New Roman" w:eastAsia="Times New Roman" w:hAnsi="Times New Roman"/>
          <w:sz w:val="22"/>
          <w:szCs w:val="22"/>
        </w:rPr>
        <w:t xml:space="preserve">Historically, enterprises equated secure tunnels with secure exposure. An IPsec tunnel or VPN connection was treated as sufficient proof of control. In practice, tunnels become durable routing conduits. Over time:</w:t>
      </w:r>
    </w:p>
    <w:p>
      <w:pPr>
        <w:spacing w:after="120" w:line="276" w:lineRule="exact"/>
        <w:jc w:val="both"/>
      </w:pPr>
      <w:r>
        <w:rPr>
          <w:rFonts w:ascii="Times New Roman" w:cs="Times New Roman" w:eastAsia="Times New Roman" w:hAnsi="Times New Roman"/>
          <w:sz w:val="22"/>
          <w:szCs w:val="22"/>
        </w:rPr>
        <w:t xml:space="preserve">Additional routes are advertised</w:t>
      </w:r>
    </w:p>
    <w:p>
      <w:pPr>
        <w:spacing w:after="120" w:line="276" w:lineRule="exact"/>
        <w:jc w:val="both"/>
      </w:pPr>
      <w:r>
        <w:rPr>
          <w:rFonts w:ascii="Times New Roman" w:cs="Times New Roman" w:eastAsia="Times New Roman" w:hAnsi="Times New Roman"/>
          <w:sz w:val="22"/>
          <w:szCs w:val="22"/>
        </w:rPr>
        <w:t xml:space="preserve">Additional firewall exceptions are granted</w:t>
      </w:r>
    </w:p>
    <w:p>
      <w:pPr>
        <w:spacing w:after="120" w:line="276" w:lineRule="exact"/>
        <w:jc w:val="both"/>
      </w:pPr>
      <w:r>
        <w:rPr>
          <w:rFonts w:ascii="Times New Roman" w:cs="Times New Roman" w:eastAsia="Times New Roman" w:hAnsi="Times New Roman"/>
          <w:sz w:val="22"/>
          <w:szCs w:val="22"/>
        </w:rPr>
        <w:t xml:space="preserve">Scope drifts incrementally</w:t>
      </w:r>
    </w:p>
    <w:p>
      <w:pPr>
        <w:spacing w:after="120" w:line="276" w:lineRule="exact"/>
        <w:jc w:val="both"/>
      </w:pPr>
      <w:r>
        <w:rPr>
          <w:rFonts w:ascii="Times New Roman" w:cs="Times New Roman" w:eastAsia="Times New Roman" w:hAnsi="Times New Roman"/>
          <w:sz w:val="22"/>
          <w:szCs w:val="22"/>
        </w:rPr>
        <w:t xml:space="preserve">Encryption protects data in transit. It does not constrain reachability.</w:t>
      </w:r>
    </w:p>
    <w:p>
      <w:pPr>
        <w:spacing w:after="120" w:line="276" w:lineRule="exact"/>
        <w:jc w:val="both"/>
      </w:pPr>
      <w:r>
        <w:rPr>
          <w:rFonts w:ascii="Times New Roman" w:cs="Times New Roman" w:eastAsia="Times New Roman" w:hAnsi="Times New Roman"/>
          <w:sz w:val="22"/>
          <w:szCs w:val="22"/>
        </w:rPr>
        <w:t xml:space="preserve">When transport and authorization are conflated, scope expands without architectural review.</w:t>
      </w:r>
    </w:p>
    <w:p>
      <w:pPr>
        <w:pStyle w:val="Heading2"/>
      </w:pPr>
      <w:r>
        <w:rPr>
          <w:rFonts w:ascii="Times New Roman" w:cs="Times New Roman" w:eastAsia="Times New Roman" w:hAnsi="Times New Roman"/>
          <w:b/>
          <w:bCs/>
          <w:sz w:val="22"/>
          <w:szCs w:val="22"/>
        </w:rPr>
        <w:t xml:space="preserve">B.2 Transport as a Subordinate Capability</w:t>
      </w:r>
    </w:p>
    <w:p>
      <w:pPr>
        <w:spacing w:after="120" w:line="276" w:lineRule="exact"/>
        <w:jc w:val="both"/>
      </w:pPr>
      <w:r>
        <w:rPr>
          <w:rFonts w:ascii="Times New Roman" w:cs="Times New Roman" w:eastAsia="Times New Roman" w:hAnsi="Times New Roman"/>
          <w:b/>
          <w:bCs/>
          <w:sz w:val="22"/>
          <w:szCs w:val="22"/>
        </w:rPr>
        <w:t xml:space="preserve">In the governed exposure model:</w:t>
      </w:r>
    </w:p>
    <w:p>
      <w:pPr>
        <w:spacing w:after="120" w:line="276" w:lineRule="exact"/>
        <w:jc w:val="both"/>
      </w:pPr>
      <w:r>
        <w:rPr>
          <w:rFonts w:ascii="Times New Roman" w:cs="Times New Roman" w:eastAsia="Times New Roman" w:hAnsi="Times New Roman"/>
          <w:sz w:val="22"/>
          <w:szCs w:val="22"/>
        </w:rPr>
        <w:t xml:space="preserve">Transport is bound to Tenant context</w:t>
      </w:r>
    </w:p>
    <w:p>
      <w:pPr>
        <w:spacing w:after="120" w:line="276" w:lineRule="exact"/>
        <w:jc w:val="both"/>
      </w:pPr>
      <w:r>
        <w:rPr>
          <w:rFonts w:ascii="Times New Roman" w:cs="Times New Roman" w:eastAsia="Times New Roman" w:hAnsi="Times New Roman"/>
          <w:sz w:val="22"/>
          <w:szCs w:val="22"/>
        </w:rPr>
        <w:t xml:space="preserve">Route advertisement is constrained to declared service endpoints</w:t>
      </w:r>
    </w:p>
    <w:p>
      <w:pPr>
        <w:spacing w:after="120" w:line="276" w:lineRule="exact"/>
        <w:jc w:val="both"/>
      </w:pPr>
      <w:r>
        <w:rPr>
          <w:rFonts w:ascii="Times New Roman" w:cs="Times New Roman" w:eastAsia="Times New Roman" w:hAnsi="Times New Roman"/>
          <w:sz w:val="22"/>
          <w:szCs w:val="22"/>
        </w:rPr>
        <w:t xml:space="preserve">Transport establishment does not automatically populate routing tables</w:t>
      </w:r>
    </w:p>
    <w:p>
      <w:pPr>
        <w:spacing w:after="120" w:line="276" w:lineRule="exact"/>
        <w:jc w:val="both"/>
      </w:pPr>
      <w:r>
        <w:rPr>
          <w:rFonts w:ascii="Times New Roman" w:cs="Times New Roman" w:eastAsia="Times New Roman" w:hAnsi="Times New Roman"/>
          <w:sz w:val="22"/>
          <w:szCs w:val="22"/>
        </w:rPr>
        <w:t xml:space="preserve">Tunnel teardown removes adjacency completely</w:t>
      </w:r>
    </w:p>
    <w:p>
      <w:pPr>
        <w:spacing w:after="120" w:line="276" w:lineRule="exact"/>
        <w:jc w:val="both"/>
      </w:pPr>
      <w:r>
        <w:rPr>
          <w:rFonts w:ascii="Times New Roman" w:cs="Times New Roman" w:eastAsia="Times New Roman" w:hAnsi="Times New Roman"/>
          <w:b/>
          <w:bCs/>
          <w:sz w:val="22"/>
          <w:szCs w:val="22"/>
        </w:rPr>
        <w:t xml:space="preserve">The invariant is:</w:t>
      </w:r>
    </w:p>
    <w:p>
      <w:pPr>
        <w:spacing w:after="120" w:line="276" w:lineRule="exact"/>
        <w:jc w:val="both"/>
      </w:pPr>
      <w:r>
        <w:rPr>
          <w:rFonts w:ascii="Times New Roman" w:cs="Times New Roman" w:eastAsia="Times New Roman" w:hAnsi="Times New Roman"/>
          <w:sz w:val="22"/>
          <w:szCs w:val="22"/>
        </w:rPr>
        <w:t xml:space="preserve">Transport enables communication but does not define what is reachable. Authorization is defined exclusively by mediation constructs.</w:t>
      </w:r>
    </w:p>
    <w:p>
      <w:pPr>
        <w:pStyle w:val="Heading2"/>
      </w:pPr>
      <w:r>
        <w:rPr>
          <w:rFonts w:ascii="Times New Roman" w:cs="Times New Roman" w:eastAsia="Times New Roman" w:hAnsi="Times New Roman"/>
          <w:b/>
          <w:bCs/>
          <w:sz w:val="22"/>
          <w:szCs w:val="22"/>
        </w:rPr>
        <w:t xml:space="preserve">B.3 Implementation Requirements</w:t>
      </w:r>
    </w:p>
    <w:p>
      <w:pPr>
        <w:spacing w:after="120" w:line="276" w:lineRule="exact"/>
        <w:jc w:val="both"/>
      </w:pPr>
      <w:r>
        <w:rPr>
          <w:rFonts w:ascii="Times New Roman" w:cs="Times New Roman" w:eastAsia="Times New Roman" w:hAnsi="Times New Roman"/>
          <w:b/>
          <w:bCs/>
          <w:sz w:val="22"/>
          <w:szCs w:val="22"/>
        </w:rPr>
        <w:t xml:space="preserve">Tenant-Bound Encrypted Tunnels</w:t>
      </w:r>
    </w:p>
    <w:p>
      <w:pPr>
        <w:spacing w:after="120" w:line="276" w:lineRule="exact"/>
        <w:jc w:val="both"/>
      </w:pPr>
      <w:r>
        <w:rPr>
          <w:rFonts w:ascii="Times New Roman" w:cs="Times New Roman" w:eastAsia="Times New Roman" w:hAnsi="Times New Roman"/>
          <w:sz w:val="22"/>
          <w:szCs w:val="22"/>
        </w:rPr>
        <w:t xml:space="preserve">Secure transport mechanisms (IPsec, WireGuard, TLS-based tunnels) are instantiated within tenant routing contexts. Each tunnel terminates into its associated tenant domain and does not provide adjacency to other tenants or core networks by default.</w:t>
      </w:r>
    </w:p>
    <w:p>
      <w:pPr>
        <w:spacing w:after="120" w:line="276" w:lineRule="exact"/>
        <w:jc w:val="both"/>
      </w:pPr>
      <w:r>
        <w:rPr>
          <w:rFonts w:ascii="Times New Roman" w:cs="Times New Roman" w:eastAsia="Times New Roman" w:hAnsi="Times New Roman"/>
          <w:sz w:val="22"/>
          <w:szCs w:val="22"/>
        </w:rPr>
        <w:t xml:space="preserve">Transport establishment is bound to tenant lifecycle: tunnels are provisioned as part of tenant instantiation and removed during tenant teardown.</w:t>
      </w:r>
    </w:p>
    <w:p>
      <w:pPr>
        <w:spacing w:after="120" w:line="276" w:lineRule="exact"/>
        <w:jc w:val="both"/>
      </w:pPr>
      <w:r>
        <w:rPr>
          <w:rFonts w:ascii="Times New Roman" w:cs="Times New Roman" w:eastAsia="Times New Roman" w:hAnsi="Times New Roman"/>
          <w:b/>
          <w:bCs/>
          <w:sz w:val="22"/>
          <w:szCs w:val="22"/>
        </w:rPr>
        <w:t xml:space="preserve">Route-Based Tunnel Interfaces</w:t>
      </w:r>
    </w:p>
    <w:p>
      <w:pPr>
        <w:spacing w:after="120" w:line="276" w:lineRule="exact"/>
        <w:jc w:val="both"/>
      </w:pPr>
      <w:r>
        <w:rPr>
          <w:rFonts w:ascii="Times New Roman" w:cs="Times New Roman" w:eastAsia="Times New Roman" w:hAnsi="Times New Roman"/>
          <w:sz w:val="22"/>
          <w:szCs w:val="22"/>
        </w:rPr>
        <w:t xml:space="preserve">Transport tunnels are implemented as routable interfaces (VTI, WireGuard interface) rather than policy-based encryption selectors. This approach:</w:t>
      </w:r>
    </w:p>
    <w:p>
      <w:pPr>
        <w:spacing w:after="120" w:line="276" w:lineRule="exact"/>
        <w:jc w:val="both"/>
      </w:pPr>
      <w:r>
        <w:rPr>
          <w:rFonts w:ascii="Times New Roman" w:cs="Times New Roman" w:eastAsia="Times New Roman" w:hAnsi="Times New Roman"/>
          <w:sz w:val="22"/>
          <w:szCs w:val="22"/>
        </w:rPr>
        <w:t xml:space="preserve">Simplifies integration with routing protocols (BGP, OSPF) for dynamic reachability</w:t>
      </w:r>
    </w:p>
    <w:p>
      <w:pPr>
        <w:spacing w:after="120" w:line="276" w:lineRule="exact"/>
        <w:jc w:val="both"/>
      </w:pPr>
      <w:r>
        <w:rPr>
          <w:rFonts w:ascii="Times New Roman" w:cs="Times New Roman" w:eastAsia="Times New Roman" w:hAnsi="Times New Roman"/>
          <w:sz w:val="22"/>
          <w:szCs w:val="22"/>
        </w:rPr>
        <w:t xml:space="preserve">Enables consistent traffic engineering and path control</w:t>
      </w:r>
    </w:p>
    <w:p>
      <w:pPr>
        <w:spacing w:after="120" w:line="276" w:lineRule="exact"/>
        <w:jc w:val="both"/>
      </w:pPr>
      <w:r>
        <w:rPr>
          <w:rFonts w:ascii="Times New Roman" w:cs="Times New Roman" w:eastAsia="Times New Roman" w:hAnsi="Times New Roman"/>
          <w:sz w:val="22"/>
          <w:szCs w:val="22"/>
        </w:rPr>
        <w:t xml:space="preserve">Supports multi-vendor interoperability (Cisco IOS, Arista EOS, strongSwan, etc.)</w:t>
      </w:r>
    </w:p>
    <w:p>
      <w:pPr>
        <w:spacing w:after="120" w:line="276" w:lineRule="exact"/>
        <w:jc w:val="both"/>
      </w:pPr>
      <w:r>
        <w:rPr>
          <w:rFonts w:ascii="Times New Roman" w:cs="Times New Roman" w:eastAsia="Times New Roman" w:hAnsi="Times New Roman"/>
          <w:sz w:val="22"/>
          <w:szCs w:val="22"/>
        </w:rPr>
        <w:t xml:space="preserve">Allows deterministic interface-level lifecycle management</w:t>
      </w:r>
    </w:p>
    <w:p>
      <w:pPr>
        <w:spacing w:after="120" w:line="276" w:lineRule="exact"/>
        <w:jc w:val="both"/>
      </w:pPr>
      <w:r>
        <w:rPr>
          <w:rFonts w:ascii="Times New Roman" w:cs="Times New Roman" w:eastAsia="Times New Roman" w:hAnsi="Times New Roman"/>
          <w:sz w:val="22"/>
          <w:szCs w:val="22"/>
        </w:rPr>
        <w:t xml:space="preserve">Route-based tunnels become first-class routing constructs within tenant contexts, while remaining isolated from other tenants and the core network.</w:t>
      </w:r>
    </w:p>
    <w:p>
      <w:pPr>
        <w:spacing w:after="120" w:line="276" w:lineRule="exact"/>
        <w:jc w:val="both"/>
      </w:pPr>
      <w:r>
        <w:rPr>
          <w:rFonts w:ascii="Times New Roman" w:cs="Times New Roman" w:eastAsia="Times New Roman" w:hAnsi="Times New Roman"/>
          <w:b/>
          <w:bCs/>
          <w:sz w:val="22"/>
          <w:szCs w:val="22"/>
        </w:rPr>
        <w:t xml:space="preserve">Route Filtering at Tunnel Boundaries</w:t>
      </w:r>
    </w:p>
    <w:p>
      <w:pPr>
        <w:spacing w:after="120" w:line="276" w:lineRule="exact"/>
        <w:jc w:val="both"/>
      </w:pPr>
      <w:r>
        <w:rPr>
          <w:rFonts w:ascii="Times New Roman" w:cs="Times New Roman" w:eastAsia="Times New Roman" w:hAnsi="Times New Roman"/>
          <w:sz w:val="22"/>
          <w:szCs w:val="22"/>
        </w:rPr>
        <w:t xml:space="preserve">Only explicitly declared prefixes are permitted for advertisement across tunnel endpoints. Route acceptance is controlled by allow-lists tied to service declarations.</w:t>
      </w:r>
    </w:p>
    <w:p>
      <w:pPr>
        <w:spacing w:after="120" w:line="276" w:lineRule="exact"/>
        <w:jc w:val="both"/>
      </w:pPr>
      <w:r>
        <w:rPr>
          <w:rFonts w:ascii="Times New Roman" w:cs="Times New Roman" w:eastAsia="Times New Roman" w:hAnsi="Times New Roman"/>
          <w:sz w:val="22"/>
          <w:szCs w:val="22"/>
        </w:rPr>
        <w:t xml:space="preserve">Dynamic routing protocols (BGP) exchange reachability information across tunnel interfaces, but prefix filters enforce that only tenant-declared service endpoints are accepted. This prevents unauthorized route propagation and adjacency expansion.</w:t>
      </w:r>
    </w:p>
    <w:p>
      <w:pPr>
        <w:spacing w:after="120" w:line="276" w:lineRule="exact"/>
        <w:jc w:val="both"/>
      </w:pPr>
      <w:r>
        <w:rPr>
          <w:rFonts w:ascii="Times New Roman" w:cs="Times New Roman" w:eastAsia="Times New Roman" w:hAnsi="Times New Roman"/>
          <w:b/>
          <w:bCs/>
          <w:sz w:val="22"/>
          <w:szCs w:val="22"/>
        </w:rPr>
        <w:t xml:space="preserve">No Automatic Route Import to Core or Cross-Tenant</w:t>
      </w:r>
    </w:p>
    <w:p>
      <w:pPr>
        <w:spacing w:after="120" w:line="276" w:lineRule="exact"/>
        <w:jc w:val="both"/>
      </w:pPr>
      <w:r>
        <w:rPr>
          <w:rFonts w:ascii="Times New Roman" w:cs="Times New Roman" w:eastAsia="Times New Roman" w:hAnsi="Times New Roman"/>
          <w:sz w:val="22"/>
          <w:szCs w:val="22"/>
        </w:rPr>
        <w:t xml:space="preserve">Tunnel establishment does not trigger automatic route propagation into core routing tables or other tenant contexts. Tenant routing domains remain isolated; connectivity to internal applications is mediated, not routed.</w:t>
      </w:r>
    </w:p>
    <w:p>
      <w:pPr>
        <w:spacing w:after="120" w:line="276" w:lineRule="exact"/>
        <w:jc w:val="both"/>
      </w:pPr>
      <w:r>
        <w:rPr>
          <w:rFonts w:ascii="Times New Roman" w:cs="Times New Roman" w:eastAsia="Times New Roman" w:hAnsi="Times New Roman"/>
          <w:b/>
          <w:bCs/>
          <w:sz w:val="22"/>
          <w:szCs w:val="22"/>
        </w:rPr>
        <w:t xml:space="preserve">Deterministic Teardown</w:t>
      </w:r>
    </w:p>
    <w:p>
      <w:pPr>
        <w:spacing w:after="120" w:line="276" w:lineRule="exact"/>
        <w:jc w:val="both"/>
      </w:pPr>
      <w:r>
        <w:rPr>
          <w:rFonts w:ascii="Times New Roman" w:cs="Times New Roman" w:eastAsia="Times New Roman" w:hAnsi="Times New Roman"/>
          <w:sz w:val="22"/>
          <w:szCs w:val="22"/>
        </w:rPr>
        <w:t xml:space="preserve">Removal of transport constructs eliminates all associated routing state without leaving residual adjacency. Tunnel deletion triggers:</w:t>
      </w:r>
    </w:p>
    <w:p>
      <w:pPr>
        <w:spacing w:after="120" w:line="276" w:lineRule="exact"/>
        <w:jc w:val="both"/>
      </w:pPr>
      <w:r>
        <w:rPr>
          <w:rFonts w:ascii="Times New Roman" w:cs="Times New Roman" w:eastAsia="Times New Roman" w:hAnsi="Times New Roman"/>
          <w:sz w:val="22"/>
          <w:szCs w:val="22"/>
        </w:rPr>
        <w:t xml:space="preserve">Removal of tunnel interface from tenant routing context</w:t>
      </w:r>
    </w:p>
    <w:p>
      <w:pPr>
        <w:spacing w:after="120" w:line="276" w:lineRule="exact"/>
        <w:jc w:val="both"/>
      </w:pPr>
      <w:r>
        <w:rPr>
          <w:rFonts w:ascii="Times New Roman" w:cs="Times New Roman" w:eastAsia="Times New Roman" w:hAnsi="Times New Roman"/>
          <w:sz w:val="22"/>
          <w:szCs w:val="22"/>
        </w:rPr>
        <w:t xml:space="preserve">Withdrawal of all routes learned via that tunnel</w:t>
      </w:r>
    </w:p>
    <w:p>
      <w:pPr>
        <w:spacing w:after="120" w:line="276" w:lineRule="exact"/>
        <w:jc w:val="both"/>
      </w:pPr>
      <w:r>
        <w:rPr>
          <w:rFonts w:ascii="Times New Roman" w:cs="Times New Roman" w:eastAsia="Times New Roman" w:hAnsi="Times New Roman"/>
          <w:sz w:val="22"/>
          <w:szCs w:val="22"/>
        </w:rPr>
        <w:t xml:space="preserve">Cleanup of associated forwarding state and session tables</w:t>
      </w:r>
    </w:p>
    <w:p>
      <w:pPr>
        <w:pStyle w:val="Heading2"/>
      </w:pPr>
      <w:r>
        <w:rPr>
          <w:rFonts w:ascii="Times New Roman" w:cs="Times New Roman" w:eastAsia="Times New Roman" w:hAnsi="Times New Roman"/>
          <w:b/>
          <w:bCs/>
          <w:sz w:val="22"/>
          <w:szCs w:val="22"/>
        </w:rPr>
        <w:t xml:space="preserve">B.4 Failure Modes Prevented</w:t>
      </w:r>
    </w:p>
    <w:p>
      <w:pPr>
        <w:spacing w:after="120" w:line="276" w:lineRule="exact"/>
        <w:jc w:val="both"/>
      </w:pPr>
      <w:r>
        <w:rPr>
          <w:rFonts w:ascii="Times New Roman" w:cs="Times New Roman" w:eastAsia="Times New Roman" w:hAnsi="Times New Roman"/>
          <w:b/>
          <w:bCs/>
          <w:sz w:val="22"/>
          <w:szCs w:val="22"/>
        </w:rPr>
        <w:t xml:space="preserve">By decoupling transport from scope:</w:t>
      </w:r>
    </w:p>
    <w:p>
      <w:pPr>
        <w:spacing w:after="120" w:line="276" w:lineRule="exact"/>
        <w:jc w:val="both"/>
      </w:pPr>
      <w:r>
        <w:rPr>
          <w:rFonts w:ascii="Times New Roman" w:cs="Times New Roman" w:eastAsia="Times New Roman" w:hAnsi="Times New Roman"/>
          <w:sz w:val="22"/>
          <w:szCs w:val="22"/>
        </w:rPr>
        <w:t xml:space="preserve">Unauthorized route expansion is prevented</w:t>
      </w:r>
    </w:p>
    <w:p>
      <w:pPr>
        <w:spacing w:after="120" w:line="276" w:lineRule="exact"/>
        <w:jc w:val="both"/>
      </w:pPr>
      <w:r>
        <w:rPr>
          <w:rFonts w:ascii="Times New Roman" w:cs="Times New Roman" w:eastAsia="Times New Roman" w:hAnsi="Times New Roman"/>
          <w:sz w:val="22"/>
          <w:szCs w:val="22"/>
        </w:rPr>
        <w:t xml:space="preserve">Encryption cannot silently expand adjacency</w:t>
      </w:r>
    </w:p>
    <w:p>
      <w:pPr>
        <w:spacing w:after="120" w:line="276" w:lineRule="exact"/>
        <w:jc w:val="both"/>
      </w:pPr>
      <w:r>
        <w:rPr>
          <w:rFonts w:ascii="Times New Roman" w:cs="Times New Roman" w:eastAsia="Times New Roman" w:hAnsi="Times New Roman"/>
          <w:sz w:val="22"/>
          <w:szCs w:val="22"/>
        </w:rPr>
        <w:t xml:space="preserve">Tunnel reuse across tenants is disallowed</w:t>
      </w:r>
    </w:p>
    <w:p>
      <w:pPr>
        <w:spacing w:after="120" w:line="276" w:lineRule="exact"/>
        <w:jc w:val="both"/>
      </w:pPr>
      <w:r>
        <w:rPr>
          <w:rFonts w:ascii="Times New Roman" w:cs="Times New Roman" w:eastAsia="Times New Roman" w:hAnsi="Times New Roman"/>
          <w:sz w:val="22"/>
          <w:szCs w:val="22"/>
        </w:rPr>
        <w:t xml:space="preserve">Residual routing state cannot persist after teardown</w:t>
      </w:r>
    </w:p>
    <w:p>
      <w:pPr>
        <w:pStyle w:val="Heading2"/>
      </w:pPr>
      <w:r>
        <w:rPr>
          <w:rFonts w:ascii="Times New Roman" w:cs="Times New Roman" w:eastAsia="Times New Roman" w:hAnsi="Times New Roman"/>
          <w:b/>
          <w:bCs/>
          <w:sz w:val="22"/>
          <w:szCs w:val="22"/>
        </w:rPr>
        <w:t xml:space="preserve">B.5 Validation Criteria</w:t>
      </w:r>
    </w:p>
    <w:p>
      <w:pPr>
        <w:spacing w:after="120" w:line="276" w:lineRule="exact"/>
        <w:jc w:val="both"/>
      </w:pPr>
      <w:r>
        <w:rPr>
          <w:rFonts w:ascii="Times New Roman" w:cs="Times New Roman" w:eastAsia="Times New Roman" w:hAnsi="Times New Roman"/>
          <w:b/>
          <w:bCs/>
          <w:sz w:val="22"/>
          <w:szCs w:val="22"/>
        </w:rPr>
        <w:t xml:space="preserve">An implementation satisfies transport discipline if:</w:t>
      </w:r>
    </w:p>
    <w:p>
      <w:pPr>
        <w:spacing w:after="120" w:line="276" w:lineRule="exact"/>
        <w:jc w:val="both"/>
      </w:pPr>
      <w:r>
        <w:rPr>
          <w:rFonts w:ascii="Times New Roman" w:cs="Times New Roman" w:eastAsia="Times New Roman" w:hAnsi="Times New Roman"/>
          <w:sz w:val="22"/>
          <w:szCs w:val="22"/>
        </w:rPr>
        <w:t xml:space="preserve">Establishing transport alone does not produce end-to-end reachability to internal applications</w:t>
      </w:r>
    </w:p>
    <w:p>
      <w:pPr>
        <w:spacing w:after="120" w:line="276" w:lineRule="exact"/>
        <w:jc w:val="both"/>
      </w:pPr>
      <w:r>
        <w:rPr>
          <w:rFonts w:ascii="Times New Roman" w:cs="Times New Roman" w:eastAsia="Times New Roman" w:hAnsi="Times New Roman"/>
          <w:sz w:val="22"/>
          <w:szCs w:val="22"/>
        </w:rPr>
        <w:t xml:space="preserve">Declared endpoints are enforced at routing boundaries via prefix filters</w:t>
      </w:r>
    </w:p>
    <w:p>
      <w:pPr>
        <w:spacing w:after="120" w:line="276" w:lineRule="exact"/>
        <w:jc w:val="both"/>
      </w:pPr>
      <w:r>
        <w:rPr>
          <w:rFonts w:ascii="Times New Roman" w:cs="Times New Roman" w:eastAsia="Times New Roman" w:hAnsi="Times New Roman"/>
          <w:sz w:val="22"/>
          <w:szCs w:val="22"/>
        </w:rPr>
        <w:t xml:space="preserve">Removal of transport eliminates adjacency deterministically and completely</w:t>
      </w:r>
    </w:p>
    <w:p>
      <w:pPr>
        <w:spacing w:after="120" w:line="276" w:lineRule="exact"/>
        <w:jc w:val="both"/>
      </w:pPr>
      <w:r>
        <w:rPr>
          <w:rFonts w:ascii="Times New Roman" w:cs="Times New Roman" w:eastAsia="Times New Roman" w:hAnsi="Times New Roman"/>
          <w:sz w:val="22"/>
          <w:szCs w:val="22"/>
        </w:rPr>
        <w:t xml:space="preserve">Route advertisements are filtered to allow-listed prefixes tied to service catalog declarations</w:t>
      </w:r>
    </w:p>
    <w:p>
      <w:pPr>
        <w:spacing w:after="120" w:line="276" w:lineRule="exact"/>
        <w:jc w:val="both"/>
      </w:pPr>
      <w:r>
        <w:rPr>
          <w:rFonts w:ascii="Times New Roman" w:cs="Times New Roman" w:eastAsia="Times New Roman" w:hAnsi="Times New Roman"/>
          <w:sz w:val="22"/>
          <w:szCs w:val="22"/>
        </w:rPr>
        <w:t xml:space="preserve">Route-based tunnel interfaces integrate with tenant routing protocols without leaking routes to other contexts</w:t>
      </w:r>
    </w:p>
    <w:p>
      <w:pPr>
        <w:spacing w:after="120" w:line="276" w:lineRule="exact"/>
        <w:jc w:val="both"/>
      </w:pPr>
      <w:r>
        <w:rPr>
          <w:rFonts w:ascii="Times New Roman" w:cs="Times New Roman" w:eastAsia="Times New Roman" w:hAnsi="Times New Roman"/>
          <w:sz w:val="22"/>
          <w:szCs w:val="22"/>
        </w:rPr>
        <w:t xml:space="preserve">Multi-vendor interoperability is maintained without compromising isolation or mediation requirements</w:t>
      </w:r>
    </w:p>
    <w:p>
      <w:pPr>
        <w:pStyle w:val="Heading2"/>
      </w:pPr>
      <w:r>
        <w:rPr>
          <w:rFonts w:ascii="Times New Roman" w:cs="Times New Roman" w:eastAsia="Times New Roman" w:hAnsi="Times New Roman"/>
          <w:b/>
          <w:bCs/>
          <w:sz w:val="22"/>
          <w:szCs w:val="22"/>
        </w:rPr>
        <w:t xml:space="preserve">B.6 Relationship to Business Governance Outcomes</w:t>
      </w:r>
    </w:p>
    <w:p>
      <w:pPr>
        <w:spacing w:after="120" w:line="276" w:lineRule="exact"/>
        <w:jc w:val="both"/>
      </w:pPr>
      <w:r>
        <w:rPr>
          <w:rFonts w:ascii="Times New Roman" w:cs="Times New Roman" w:eastAsia="Times New Roman" w:hAnsi="Times New Roman"/>
          <w:b/>
          <w:bCs/>
          <w:sz w:val="22"/>
          <w:szCs w:val="22"/>
        </w:rPr>
        <w:t xml:space="preserve">Transport discipline ensures that secure connectivity does not silently expand into unmanaged trust:</w:t>
      </w:r>
    </w:p>
    <w:p>
      <w:pPr>
        <w:spacing w:after="120" w:line="276" w:lineRule="exact"/>
        <w:jc w:val="both"/>
      </w:pPr>
      <w:r>
        <w:rPr>
          <w:rFonts w:ascii="Times New Roman" w:cs="Times New Roman" w:eastAsia="Times New Roman" w:hAnsi="Times New Roman"/>
          <w:b/>
          <w:bCs/>
          <w:sz w:val="22"/>
          <w:szCs w:val="22"/>
        </w:rPr>
        <w:t xml:space="preserve">Prevents Scope Creep</w:t>
      </w:r>
    </w:p>
    <w:p>
      <w:pPr>
        <w:spacing w:after="120" w:line="276" w:lineRule="exact"/>
        <w:jc w:val="both"/>
      </w:pPr>
      <w:r>
        <w:rPr>
          <w:rFonts w:ascii="Times New Roman" w:cs="Times New Roman" w:eastAsia="Times New Roman" w:hAnsi="Times New Roman"/>
          <w:sz w:val="22"/>
          <w:szCs w:val="22"/>
        </w:rPr>
        <w:t xml:space="preserve">By decoupling transport establishment from application reachability, the architecture prevents incremental expansion of access without governance review. A tunnel created for Application X cannot be repurposed for Application Y without explicit catalog modification.</w:t>
      </w:r>
    </w:p>
    <w:p>
      <w:pPr>
        <w:spacing w:after="120" w:line="276" w:lineRule="exact"/>
        <w:jc w:val="both"/>
      </w:pPr>
      <w:r>
        <w:rPr>
          <w:rFonts w:ascii="Times New Roman" w:cs="Times New Roman" w:eastAsia="Times New Roman" w:hAnsi="Times New Roman"/>
          <w:b/>
          <w:bCs/>
          <w:sz w:val="22"/>
          <w:szCs w:val="22"/>
        </w:rPr>
        <w:t xml:space="preserve">Enables Safe Vendor Interoperability</w:t>
      </w:r>
    </w:p>
    <w:p>
      <w:pPr>
        <w:spacing w:after="120" w:line="276" w:lineRule="exact"/>
        <w:jc w:val="both"/>
      </w:pPr>
      <w:r>
        <w:rPr>
          <w:rFonts w:ascii="Times New Roman" w:cs="Times New Roman" w:eastAsia="Times New Roman" w:hAnsi="Times New Roman"/>
          <w:sz w:val="22"/>
          <w:szCs w:val="22"/>
        </w:rPr>
        <w:t xml:space="preserve">Support for route-based tunnels and multi-vendor IPsec compatibility allows enterprises to connect third-party sites regardless of their infrastructure platform, without sacrificing containment or mediation discipline.</w:t>
      </w:r>
    </w:p>
    <w:p>
      <w:pPr>
        <w:spacing w:after="120" w:line="276" w:lineRule="exact"/>
        <w:jc w:val="both"/>
      </w:pPr>
      <w:r>
        <w:rPr>
          <w:rFonts w:ascii="Times New Roman" w:cs="Times New Roman" w:eastAsia="Times New Roman" w:hAnsi="Times New Roman"/>
          <w:b/>
          <w:bCs/>
          <w:sz w:val="22"/>
          <w:szCs w:val="22"/>
        </w:rPr>
        <w:t xml:space="preserve">Aligns Connectivity to Declared Purpose</w:t>
      </w:r>
    </w:p>
    <w:p>
      <w:pPr>
        <w:spacing w:after="120" w:line="276" w:lineRule="exact"/>
        <w:jc w:val="both"/>
      </w:pPr>
      <w:r>
        <w:rPr>
          <w:rFonts w:ascii="Times New Roman" w:cs="Times New Roman" w:eastAsia="Times New Roman" w:hAnsi="Times New Roman"/>
          <w:sz w:val="22"/>
          <w:szCs w:val="22"/>
        </w:rPr>
        <w:t xml:space="preserve">Route filtering tied to service catalog ensures that transport infrastructure serves only the applications declared in the tenant's governance record. This alignment makes connectivity auditable and revocable in response to changing business context.</w:t>
      </w:r>
    </w:p>
    <w:p>
      <w:pPr>
        <w:spacing w:after="120" w:line="276" w:lineRule="exact"/>
        <w:jc w:val="both"/>
      </w:pPr>
      <w:r>
        <w:rPr>
          <w:rFonts w:ascii="Times New Roman" w:cs="Times New Roman" w:eastAsia="Times New Roman" w:hAnsi="Times New Roman"/>
          <w:sz w:val="22"/>
          <w:szCs w:val="22"/>
        </w:rPr>
        <w:t xml:space="preserve">Transport is necessary infrastructure. It must never define trust.</w:t>
      </w:r>
    </w:p>
    <w:p>
      <w:r>
        <w:br w:type="page"/>
      </w:r>
    </w:p>
    <w:p>
      <w:pPr>
        <w:pStyle w:val="Heading1"/>
      </w:pPr>
      <w:r>
        <w:rPr>
          <w:rFonts w:ascii="Times New Roman" w:cs="Times New Roman" w:eastAsia="Times New Roman" w:hAnsi="Times New Roman"/>
          <w:b/>
          <w:bCs/>
          <w:caps/>
          <w:sz w:val="26"/>
          <w:szCs w:val="26"/>
        </w:rPr>
        <w:t xml:space="preserve">APPENDIX C — MEDIATION AND IDENTITY: FROM ADDRESS REACHABILITY TO CAPABILITY CONTROL</w:t>
      </w:r>
    </w:p>
    <w:p>
      <w:pPr>
        <w:pStyle w:val="Heading2"/>
      </w:pPr>
      <w:r>
        <w:rPr>
          <w:rFonts w:ascii="Times New Roman" w:cs="Times New Roman" w:eastAsia="Times New Roman" w:hAnsi="Times New Roman"/>
          <w:b/>
          <w:bCs/>
          <w:sz w:val="22"/>
          <w:szCs w:val="22"/>
        </w:rPr>
        <w:t xml:space="preserve">C.1 Network Adjacency as a Coarse Control Model</w:t>
      </w:r>
    </w:p>
    <w:p>
      <w:pPr>
        <w:spacing w:after="120" w:line="276" w:lineRule="exact"/>
        <w:jc w:val="both"/>
      </w:pPr>
      <w:r>
        <w:rPr>
          <w:rFonts w:ascii="Times New Roman" w:cs="Times New Roman" w:eastAsia="Times New Roman" w:hAnsi="Times New Roman"/>
          <w:sz w:val="22"/>
          <w:szCs w:val="22"/>
        </w:rPr>
        <w:t xml:space="preserve">IP-based reachability is inherently broad. Once a subnet is reachable, every host within it becomes a potential interaction surface unless filtered at higher layers.</w:t>
      </w:r>
    </w:p>
    <w:p>
      <w:pPr>
        <w:spacing w:after="120" w:line="276" w:lineRule="exact"/>
        <w:jc w:val="both"/>
      </w:pPr>
      <w:r>
        <w:rPr>
          <w:rFonts w:ascii="Times New Roman" w:cs="Times New Roman" w:eastAsia="Times New Roman" w:hAnsi="Times New Roman"/>
          <w:b/>
          <w:bCs/>
          <w:sz w:val="22"/>
          <w:szCs w:val="22"/>
        </w:rPr>
        <w:t xml:space="preserve">This model fails under:</w:t>
      </w:r>
    </w:p>
    <w:p>
      <w:pPr>
        <w:spacing w:after="120" w:line="276" w:lineRule="exact"/>
        <w:jc w:val="both"/>
      </w:pPr>
      <w:r>
        <w:rPr>
          <w:rFonts w:ascii="Times New Roman" w:cs="Times New Roman" w:eastAsia="Times New Roman" w:hAnsi="Times New Roman"/>
          <w:sz w:val="22"/>
          <w:szCs w:val="22"/>
        </w:rPr>
        <w:t xml:space="preserve">Lateral movement scenarios</w:t>
      </w:r>
    </w:p>
    <w:p>
      <w:pPr>
        <w:spacing w:after="120" w:line="276" w:lineRule="exact"/>
        <w:jc w:val="both"/>
      </w:pPr>
      <w:r>
        <w:rPr>
          <w:rFonts w:ascii="Times New Roman" w:cs="Times New Roman" w:eastAsia="Times New Roman" w:hAnsi="Times New Roman"/>
          <w:sz w:val="22"/>
          <w:szCs w:val="22"/>
        </w:rPr>
        <w:t xml:space="preserve">Application sprawl within internal networks</w:t>
      </w:r>
    </w:p>
    <w:p>
      <w:pPr>
        <w:spacing w:after="120" w:line="276" w:lineRule="exact"/>
        <w:jc w:val="both"/>
      </w:pPr>
      <w:r>
        <w:rPr>
          <w:rFonts w:ascii="Times New Roman" w:cs="Times New Roman" w:eastAsia="Times New Roman" w:hAnsi="Times New Roman"/>
          <w:sz w:val="22"/>
          <w:szCs w:val="22"/>
        </w:rPr>
        <w:t xml:space="preserve">Vendor compromise events</w:t>
      </w:r>
    </w:p>
    <w:p>
      <w:pPr>
        <w:spacing w:after="120" w:line="276" w:lineRule="exact"/>
        <w:jc w:val="both"/>
      </w:pPr>
      <w:r>
        <w:rPr>
          <w:rFonts w:ascii="Times New Roman" w:cs="Times New Roman" w:eastAsia="Times New Roman" w:hAnsi="Times New Roman"/>
          <w:sz w:val="22"/>
          <w:szCs w:val="22"/>
        </w:rPr>
        <w:t xml:space="preserve">Reachability is not capability.</w:t>
      </w:r>
    </w:p>
    <w:p>
      <w:pPr>
        <w:pStyle w:val="Heading2"/>
      </w:pPr>
      <w:r>
        <w:rPr>
          <w:rFonts w:ascii="Times New Roman" w:cs="Times New Roman" w:eastAsia="Times New Roman" w:hAnsi="Times New Roman"/>
          <w:b/>
          <w:bCs/>
          <w:sz w:val="22"/>
          <w:szCs w:val="22"/>
        </w:rPr>
        <w:t xml:space="preserve">C.2 Mediation as the Enforcement Core</w:t>
      </w:r>
    </w:p>
    <w:p>
      <w:pPr>
        <w:spacing w:after="120" w:line="276" w:lineRule="exact"/>
        <w:jc w:val="both"/>
      </w:pPr>
      <w:r>
        <w:rPr>
          <w:rFonts w:ascii="Times New Roman" w:cs="Times New Roman" w:eastAsia="Times New Roman" w:hAnsi="Times New Roman"/>
          <w:b/>
          <w:bCs/>
          <w:sz w:val="22"/>
          <w:szCs w:val="22"/>
        </w:rPr>
        <w:t xml:space="preserve">All third-party interaction must traverse mediation constructs that:</w:t>
      </w:r>
    </w:p>
    <w:p>
      <w:pPr>
        <w:spacing w:after="120" w:line="276" w:lineRule="exact"/>
        <w:jc w:val="both"/>
      </w:pPr>
      <w:r>
        <w:rPr>
          <w:rFonts w:ascii="Times New Roman" w:cs="Times New Roman" w:eastAsia="Times New Roman" w:hAnsi="Times New Roman"/>
          <w:sz w:val="22"/>
          <w:szCs w:val="22"/>
        </w:rPr>
        <w:t xml:space="preserve">Terminate sessions or proxy connections</w:t>
      </w:r>
    </w:p>
    <w:p>
      <w:pPr>
        <w:spacing w:after="120" w:line="276" w:lineRule="exact"/>
        <w:jc w:val="both"/>
      </w:pPr>
      <w:r>
        <w:rPr>
          <w:rFonts w:ascii="Times New Roman" w:cs="Times New Roman" w:eastAsia="Times New Roman" w:hAnsi="Times New Roman"/>
          <w:sz w:val="22"/>
          <w:szCs w:val="22"/>
        </w:rPr>
        <w:t xml:space="preserve">Enforce explicit allow-lists</w:t>
      </w:r>
    </w:p>
    <w:p>
      <w:pPr>
        <w:spacing w:after="120" w:line="276" w:lineRule="exact"/>
        <w:jc w:val="both"/>
      </w:pPr>
      <w:r>
        <w:rPr>
          <w:rFonts w:ascii="Times New Roman" w:cs="Times New Roman" w:eastAsia="Times New Roman" w:hAnsi="Times New Roman"/>
          <w:sz w:val="22"/>
          <w:szCs w:val="22"/>
        </w:rPr>
        <w:t xml:space="preserve">Constrain protocol semantics</w:t>
      </w:r>
    </w:p>
    <w:p>
      <w:pPr>
        <w:spacing w:after="120" w:line="276" w:lineRule="exact"/>
        <w:jc w:val="both"/>
      </w:pPr>
      <w:r>
        <w:rPr>
          <w:rFonts w:ascii="Times New Roman" w:cs="Times New Roman" w:eastAsia="Times New Roman" w:hAnsi="Times New Roman"/>
          <w:sz w:val="22"/>
          <w:szCs w:val="22"/>
        </w:rPr>
        <w:t xml:space="preserve">Restrict directionality</w:t>
      </w:r>
    </w:p>
    <w:p>
      <w:pPr>
        <w:spacing w:after="120" w:line="276" w:lineRule="exact"/>
        <w:jc w:val="both"/>
      </w:pPr>
      <w:r>
        <w:rPr>
          <w:rFonts w:ascii="Times New Roman" w:cs="Times New Roman" w:eastAsia="Times New Roman" w:hAnsi="Times New Roman"/>
          <w:sz w:val="22"/>
          <w:szCs w:val="22"/>
        </w:rPr>
        <w:t xml:space="preserve">Mediation replaces direct routing with capability enforcement.</w:t>
      </w:r>
    </w:p>
    <w:p>
      <w:pPr>
        <w:spacing w:after="120" w:line="276" w:lineRule="exact"/>
        <w:jc w:val="both"/>
      </w:pPr>
      <w:r>
        <w:rPr>
          <w:rFonts w:ascii="Times New Roman" w:cs="Times New Roman" w:eastAsia="Times New Roman" w:hAnsi="Times New Roman"/>
          <w:b/>
          <w:bCs/>
          <w:sz w:val="22"/>
          <w:szCs w:val="22"/>
        </w:rPr>
        <w:t xml:space="preserve">The invariant:</w:t>
      </w:r>
    </w:p>
    <w:p>
      <w:pPr>
        <w:spacing w:after="120" w:line="276" w:lineRule="exact"/>
        <w:jc w:val="both"/>
      </w:pPr>
      <w:r>
        <w:rPr>
          <w:rFonts w:ascii="Times New Roman" w:cs="Times New Roman" w:eastAsia="Times New Roman" w:hAnsi="Times New Roman"/>
          <w:sz w:val="22"/>
          <w:szCs w:val="22"/>
        </w:rPr>
        <w:t xml:space="preserve">External actors may access only declared capabilities, not network segments.</w:t>
      </w:r>
    </w:p>
    <w:p>
      <w:pPr>
        <w:pStyle w:val="Heading2"/>
      </w:pPr>
      <w:r>
        <w:rPr>
          <w:rFonts w:ascii="Times New Roman" w:cs="Times New Roman" w:eastAsia="Times New Roman" w:hAnsi="Times New Roman"/>
          <w:b/>
          <w:bCs/>
          <w:sz w:val="22"/>
          <w:szCs w:val="22"/>
        </w:rPr>
        <w:t xml:space="preserve">C.3 Namespace Preservation and Service Catalog Exposure</w:t>
      </w:r>
    </w:p>
    <w:p>
      <w:pPr>
        <w:spacing w:after="120" w:line="276" w:lineRule="exact"/>
        <w:jc w:val="both"/>
      </w:pPr>
      <w:r>
        <w:rPr>
          <w:rFonts w:ascii="Times New Roman" w:cs="Times New Roman" w:eastAsia="Times New Roman" w:hAnsi="Times New Roman"/>
          <w:b/>
          <w:bCs/>
          <w:sz w:val="22"/>
          <w:szCs w:val="22"/>
        </w:rPr>
        <w:t xml:space="preserve">Namespace Preservation Through DNS Mediation</w:t>
      </w:r>
    </w:p>
    <w:p>
      <w:pPr>
        <w:spacing w:after="120" w:line="276" w:lineRule="exact"/>
        <w:jc w:val="both"/>
      </w:pPr>
      <w:r>
        <w:rPr>
          <w:rFonts w:ascii="Times New Roman" w:cs="Times New Roman" w:eastAsia="Times New Roman" w:hAnsi="Times New Roman"/>
          <w:sz w:val="22"/>
          <w:szCs w:val="22"/>
        </w:rPr>
        <w:t xml:space="preserve">The architecture enables third-party users to reference internal applications using the same fully qualified domain names (FQDNs) as internal users, eliminating the need for alternate naming schemes or application reconfiguration.</w:t>
      </w:r>
    </w:p>
    <w:p>
      <w:pPr>
        <w:spacing w:after="120" w:line="276" w:lineRule="exact"/>
        <w:jc w:val="both"/>
      </w:pPr>
      <w:r>
        <w:rPr>
          <w:rFonts w:ascii="Times New Roman" w:cs="Times New Roman" w:eastAsia="Times New Roman" w:hAnsi="Times New Roman"/>
          <w:b/>
          <w:bCs/>
          <w:sz w:val="22"/>
          <w:szCs w:val="22"/>
        </w:rPr>
        <w:t xml:space="preserve">This is achieved through tenant-scoped DNS resolution services that:</w:t>
      </w:r>
    </w:p>
    <w:p>
      <w:pPr>
        <w:spacing w:after="120" w:line="276" w:lineRule="exact"/>
        <w:jc w:val="both"/>
      </w:pPr>
      <w:r>
        <w:rPr>
          <w:rFonts w:ascii="Times New Roman" w:cs="Times New Roman" w:eastAsia="Times New Roman" w:hAnsi="Times New Roman"/>
          <w:sz w:val="22"/>
          <w:szCs w:val="22"/>
        </w:rPr>
        <w:t xml:space="preserve">Forward authoritative zone queries to upstream enterprise DNS resolvers</w:t>
      </w:r>
    </w:p>
    <w:p>
      <w:pPr>
        <w:spacing w:after="120" w:line="276" w:lineRule="exact"/>
        <w:jc w:val="both"/>
      </w:pPr>
      <w:r>
        <w:rPr>
          <w:rFonts w:ascii="Times New Roman" w:cs="Times New Roman" w:eastAsia="Times New Roman" w:hAnsi="Times New Roman"/>
          <w:sz w:val="22"/>
          <w:szCs w:val="22"/>
        </w:rPr>
        <w:t xml:space="preserve">Selectively rewrite resolved addresses for catalog applications to tenant-local service endpoints</w:t>
      </w:r>
    </w:p>
    <w:p>
      <w:pPr>
        <w:spacing w:after="120" w:line="276" w:lineRule="exact"/>
        <w:jc w:val="both"/>
      </w:pPr>
      <w:r>
        <w:rPr>
          <w:rFonts w:ascii="Times New Roman" w:cs="Times New Roman" w:eastAsia="Times New Roman" w:hAnsi="Times New Roman"/>
          <w:sz w:val="22"/>
          <w:szCs w:val="22"/>
        </w:rPr>
        <w:t xml:space="preserve">Preserve original FQDN semantics while redirecting traffic through mediation constructs</w:t>
      </w:r>
    </w:p>
    <w:p>
      <w:pPr>
        <w:spacing w:after="120" w:line="276" w:lineRule="exact"/>
        <w:jc w:val="both"/>
      </w:pPr>
      <w:r>
        <w:rPr>
          <w:rFonts w:ascii="Times New Roman" w:cs="Times New Roman" w:eastAsia="Times New Roman" w:hAnsi="Times New Roman"/>
          <w:sz w:val="22"/>
          <w:szCs w:val="22"/>
        </w:rPr>
        <w:t xml:space="preserve">The outcome is controlled exposure without user-visible naming changes. External users connect to app.enterprise.com exactly as internal users do, but DNS resolution within the tenant context ensures traffic traverses tenant-scoped mediation and enforcement layers.</w:t>
      </w:r>
    </w:p>
    <w:p>
      <w:pPr>
        <w:spacing w:after="120" w:line="276" w:lineRule="exact"/>
        <w:jc w:val="both"/>
      </w:pPr>
      <w:r>
        <w:rPr>
          <w:rFonts w:ascii="Times New Roman" w:cs="Times New Roman" w:eastAsia="Times New Roman" w:hAnsi="Times New Roman"/>
          <w:b/>
          <w:bCs/>
          <w:sz w:val="22"/>
          <w:szCs w:val="22"/>
        </w:rPr>
        <w:t xml:space="preserve">Service Catalog as Explicit Capability Declaration</w:t>
      </w:r>
    </w:p>
    <w:p>
      <w:pPr>
        <w:spacing w:after="120" w:line="276" w:lineRule="exact"/>
        <w:jc w:val="both"/>
      </w:pPr>
      <w:r>
        <w:rPr>
          <w:rFonts w:ascii="Times New Roman" w:cs="Times New Roman" w:eastAsia="Times New Roman" w:hAnsi="Times New Roman"/>
          <w:sz w:val="22"/>
          <w:szCs w:val="22"/>
        </w:rPr>
        <w:t xml:space="preserve">Applications are exposed to third parties only when explicitly declared in the service catalog. Each catalog entry defines:</w:t>
      </w:r>
    </w:p>
    <w:p>
      <w:pPr>
        <w:spacing w:after="120" w:line="276" w:lineRule="exact"/>
        <w:jc w:val="both"/>
      </w:pPr>
      <w:r>
        <w:rPr>
          <w:rFonts w:ascii="Times New Roman" w:cs="Times New Roman" w:eastAsia="Times New Roman" w:hAnsi="Times New Roman"/>
          <w:sz w:val="22"/>
          <w:szCs w:val="22"/>
        </w:rPr>
        <w:t xml:space="preserve">Application FQDN and protocol requirements</w:t>
      </w:r>
    </w:p>
    <w:p>
      <w:pPr>
        <w:spacing w:after="120" w:line="276" w:lineRule="exact"/>
        <w:jc w:val="both"/>
      </w:pPr>
      <w:r>
        <w:rPr>
          <w:rFonts w:ascii="Times New Roman" w:cs="Times New Roman" w:eastAsia="Times New Roman" w:hAnsi="Times New Roman"/>
          <w:sz w:val="22"/>
          <w:szCs w:val="22"/>
        </w:rPr>
        <w:t xml:space="preserve">Dedicated tenant-local service endpoint (VIP or proxy listener)</w:t>
      </w:r>
    </w:p>
    <w:p>
      <w:pPr>
        <w:spacing w:after="120" w:line="276" w:lineRule="exact"/>
        <w:jc w:val="both"/>
      </w:pPr>
      <w:r>
        <w:rPr>
          <w:rFonts w:ascii="Times New Roman" w:cs="Times New Roman" w:eastAsia="Times New Roman" w:hAnsi="Times New Roman"/>
          <w:sz w:val="22"/>
          <w:szCs w:val="22"/>
        </w:rPr>
        <w:t xml:space="preserve">Authorization scope (which tenant users may access the application)</w:t>
      </w:r>
    </w:p>
    <w:p>
      <w:pPr>
        <w:spacing w:after="120" w:line="276" w:lineRule="exact"/>
        <w:jc w:val="both"/>
      </w:pPr>
      <w:r>
        <w:rPr>
          <w:rFonts w:ascii="Times New Roman" w:cs="Times New Roman" w:eastAsia="Times New Roman" w:hAnsi="Times New Roman"/>
          <w:sz w:val="22"/>
          <w:szCs w:val="22"/>
        </w:rPr>
        <w:t xml:space="preserve">Mediation requirements (protocol constraints, session inspection, logging)</w:t>
      </w:r>
    </w:p>
    <w:p>
      <w:pPr>
        <w:spacing w:after="120" w:line="276" w:lineRule="exact"/>
        <w:jc w:val="both"/>
      </w:pPr>
      <w:r>
        <w:rPr>
          <w:rFonts w:ascii="Times New Roman" w:cs="Times New Roman" w:eastAsia="Times New Roman" w:hAnsi="Times New Roman"/>
          <w:b/>
          <w:bCs/>
          <w:sz w:val="22"/>
          <w:szCs w:val="22"/>
        </w:rPr>
        <w:t xml:space="preserve">This model ensures that:</w:t>
      </w:r>
    </w:p>
    <w:p>
      <w:pPr>
        <w:spacing w:after="120" w:line="276" w:lineRule="exact"/>
        <w:jc w:val="both"/>
      </w:pPr>
      <w:r>
        <w:rPr>
          <w:rFonts w:ascii="Times New Roman" w:cs="Times New Roman" w:eastAsia="Times New Roman" w:hAnsi="Times New Roman"/>
          <w:sz w:val="22"/>
          <w:szCs w:val="22"/>
        </w:rPr>
        <w:t xml:space="preserve">No application becomes reachable by default</w:t>
      </w:r>
    </w:p>
    <w:p>
      <w:pPr>
        <w:spacing w:after="120" w:line="276" w:lineRule="exact"/>
        <w:jc w:val="both"/>
      </w:pPr>
      <w:r>
        <w:rPr>
          <w:rFonts w:ascii="Times New Roman" w:cs="Times New Roman" w:eastAsia="Times New Roman" w:hAnsi="Times New Roman"/>
          <w:sz w:val="22"/>
          <w:szCs w:val="22"/>
        </w:rPr>
        <w:t xml:space="preserve">Exposure is a deliberate governance decision</w:t>
      </w:r>
    </w:p>
    <w:p>
      <w:pPr>
        <w:spacing w:after="120" w:line="276" w:lineRule="exact"/>
        <w:jc w:val="both"/>
      </w:pPr>
      <w:r>
        <w:rPr>
          <w:rFonts w:ascii="Times New Roman" w:cs="Times New Roman" w:eastAsia="Times New Roman" w:hAnsi="Times New Roman"/>
          <w:sz w:val="22"/>
          <w:szCs w:val="22"/>
        </w:rPr>
        <w:t xml:space="preserve">Lateral exploration of the internal network is structurally prevented</w:t>
      </w:r>
    </w:p>
    <w:p>
      <w:pPr>
        <w:spacing w:after="120" w:line="276" w:lineRule="exact"/>
        <w:jc w:val="both"/>
      </w:pPr>
      <w:r>
        <w:rPr>
          <w:rFonts w:ascii="Times New Roman" w:cs="Times New Roman" w:eastAsia="Times New Roman" w:hAnsi="Times New Roman"/>
          <w:sz w:val="22"/>
          <w:szCs w:val="22"/>
        </w:rPr>
        <w:t xml:space="preserve">Service scope can be modified or revoked without altering underlying network topology</w:t>
      </w:r>
    </w:p>
    <w:p>
      <w:pPr>
        <w:spacing w:after="120" w:line="276" w:lineRule="exact"/>
        <w:jc w:val="both"/>
      </w:pPr>
      <w:r>
        <w:rPr>
          <w:rFonts w:ascii="Times New Roman" w:cs="Times New Roman" w:eastAsia="Times New Roman" w:hAnsi="Times New Roman"/>
          <w:b/>
          <w:bCs/>
          <w:sz w:val="22"/>
          <w:szCs w:val="22"/>
        </w:rPr>
        <w:t xml:space="preserve">Forward and Reverse Proxy Role Separation</w:t>
      </w:r>
    </w:p>
    <w:p>
      <w:pPr>
        <w:spacing w:after="120" w:line="276" w:lineRule="exact"/>
        <w:jc w:val="both"/>
      </w:pPr>
      <w:r>
        <w:rPr>
          <w:rFonts w:ascii="Times New Roman" w:cs="Times New Roman" w:eastAsia="Times New Roman" w:hAnsi="Times New Roman"/>
          <w:b/>
          <w:bCs/>
          <w:sz w:val="22"/>
          <w:szCs w:val="22"/>
        </w:rPr>
        <w:t xml:space="preserve">The architecture distinguishes between two mediation roles:</w:t>
      </w:r>
    </w:p>
    <w:p>
      <w:pPr>
        <w:spacing w:after="120" w:line="276" w:lineRule="exact"/>
        <w:jc w:val="both"/>
      </w:pPr>
      <w:r>
        <w:rPr>
          <w:rFonts w:ascii="Times New Roman" w:cs="Times New Roman" w:eastAsia="Times New Roman" w:hAnsi="Times New Roman"/>
          <w:sz w:val="22"/>
          <w:szCs w:val="22"/>
        </w:rPr>
        <w:t xml:space="preserve">Forward Proxy – Mediates tenant-initiated outbound connections to external resources (internet egress, SaaS platforms). Enforces policy on egress traffic, provides visibility into external service usage, and supports allow-list enforcement for permitted destinations.</w:t>
      </w:r>
    </w:p>
    <w:p>
      <w:pPr>
        <w:spacing w:after="120" w:line="276" w:lineRule="exact"/>
        <w:jc w:val="both"/>
      </w:pPr>
      <w:r>
        <w:rPr>
          <w:rFonts w:ascii="Times New Roman" w:cs="Times New Roman" w:eastAsia="Times New Roman" w:hAnsi="Times New Roman"/>
          <w:sz w:val="22"/>
          <w:szCs w:val="22"/>
        </w:rPr>
        <w:t xml:space="preserve">Reverse Proxy – Mediates external access to internal application capabilities. Terminates external sessions at the tenant boundary, enforces identity validation, applies per-application authorization, and proxies validated requests to internal endpoints.</w:t>
      </w:r>
    </w:p>
    <w:p>
      <w:pPr>
        <w:spacing w:after="120" w:line="276" w:lineRule="exact"/>
        <w:jc w:val="both"/>
      </w:pPr>
      <w:r>
        <w:rPr>
          <w:rFonts w:ascii="Times New Roman" w:cs="Times New Roman" w:eastAsia="Times New Roman" w:hAnsi="Times New Roman"/>
          <w:sz w:val="22"/>
          <w:szCs w:val="22"/>
        </w:rPr>
        <w:t xml:space="preserve">This separation ensures that mediation applies bidirectionally: inbound access to enterprise capabilities and outbound access to external services both traverse enforcement constructs with appropriate policy and visibility.</w:t>
      </w:r>
    </w:p>
    <w:p>
      <w:pPr>
        <w:pStyle w:val="Heading2"/>
      </w:pPr>
      <w:r>
        <w:rPr>
          <w:rFonts w:ascii="Times New Roman" w:cs="Times New Roman" w:eastAsia="Times New Roman" w:hAnsi="Times New Roman"/>
          <w:b/>
          <w:bCs/>
          <w:sz w:val="22"/>
          <w:szCs w:val="22"/>
        </w:rPr>
        <w:t xml:space="preserve">C.4 Implementation Requirements</w:t>
      </w:r>
    </w:p>
    <w:p>
      <w:pPr>
        <w:spacing w:after="120" w:line="276" w:lineRule="exact"/>
        <w:jc w:val="both"/>
      </w:pPr>
      <w:r>
        <w:rPr>
          <w:rFonts w:ascii="Times New Roman" w:cs="Times New Roman" w:eastAsia="Times New Roman" w:hAnsi="Times New Roman"/>
          <w:b/>
          <w:bCs/>
          <w:sz w:val="22"/>
          <w:szCs w:val="22"/>
        </w:rPr>
        <w:t xml:space="preserve">Dual-Proxy Mediation Architecture</w:t>
      </w:r>
    </w:p>
    <w:p>
      <w:pPr>
        <w:spacing w:after="120" w:line="276" w:lineRule="exact"/>
        <w:jc w:val="both"/>
      </w:pPr>
      <w:r>
        <w:rPr>
          <w:rFonts w:ascii="Times New Roman" w:cs="Times New Roman" w:eastAsia="Times New Roman" w:hAnsi="Times New Roman"/>
          <w:b/>
          <w:bCs/>
          <w:sz w:val="22"/>
          <w:szCs w:val="22"/>
        </w:rPr>
        <w:t xml:space="preserve">The platform implements a two-tier mediation model that replaces subnet adjacency with capability adjacency:</w:t>
      </w:r>
    </w:p>
    <w:p>
      <w:pPr>
        <w:spacing w:after="120" w:line="276" w:lineRule="exact"/>
        <w:jc w:val="both"/>
      </w:pPr>
      <w:r>
        <w:rPr>
          <w:rFonts w:ascii="Times New Roman" w:cs="Times New Roman" w:eastAsia="Times New Roman" w:hAnsi="Times New Roman"/>
          <w:sz w:val="22"/>
          <w:szCs w:val="22"/>
        </w:rPr>
        <w:t xml:space="preserve">Tier-1 Tenant Proxy – Terminates external connections within the tenant boundary, enforces identity validation, applies tenant-scoped policy, and provides the first layer of protocol mediation and inspection. This proxy operates entirely within the tenant routing context.</w:t>
      </w:r>
    </w:p>
    <w:p>
      <w:pPr>
        <w:spacing w:after="120" w:line="276" w:lineRule="exact"/>
        <w:jc w:val="both"/>
      </w:pPr>
      <w:r>
        <w:rPr>
          <w:rFonts w:ascii="Times New Roman" w:cs="Times New Roman" w:eastAsia="Times New Roman" w:hAnsi="Times New Roman"/>
          <w:sz w:val="22"/>
          <w:szCs w:val="22"/>
        </w:rPr>
        <w:t xml:space="preserve">Tier-2 Internal Proxy – Resides in the core network context, receives validated and authenticated requests from tier-1, and mediates access to internal application endpoints. This proxy enforces destination constraints and protocol-specific allow-lists.</w:t>
      </w:r>
    </w:p>
    <w:p>
      <w:pPr>
        <w:spacing w:after="120" w:line="276" w:lineRule="exact"/>
        <w:jc w:val="both"/>
      </w:pPr>
      <w:r>
        <w:rPr>
          <w:rFonts w:ascii="Times New Roman" w:cs="Times New Roman" w:eastAsia="Times New Roman" w:hAnsi="Times New Roman"/>
          <w:sz w:val="22"/>
          <w:szCs w:val="22"/>
        </w:rPr>
        <w:t xml:space="preserve">No direct routed path exists between external entities and internal networks. All flows traverse both mediation tiers.</w:t>
      </w:r>
    </w:p>
    <w:p>
      <w:pPr>
        <w:spacing w:after="120" w:line="276" w:lineRule="exact"/>
        <w:jc w:val="both"/>
      </w:pPr>
      <w:r>
        <w:rPr>
          <w:rFonts w:ascii="Times New Roman" w:cs="Times New Roman" w:eastAsia="Times New Roman" w:hAnsi="Times New Roman"/>
          <w:b/>
          <w:bCs/>
          <w:sz w:val="22"/>
          <w:szCs w:val="22"/>
        </w:rPr>
        <w:t xml:space="preserve">The traffic path is deterministic:</w:t>
      </w:r>
    </w:p>
    <w:p>
      <w:pPr>
        <w:spacing w:after="120" w:line="276" w:lineRule="exact"/>
        <w:jc w:val="both"/>
      </w:pPr>
      <w:r>
        <w:rPr>
          <w:rFonts w:ascii="Times New Roman" w:cs="Times New Roman" w:eastAsia="Times New Roman" w:hAnsi="Times New Roman"/>
          <w:sz w:val="22"/>
          <w:szCs w:val="22"/>
        </w:rPr>
        <w:t xml:space="preserve">External Entity → Tenant Ingress (Transport Layer) → Tier-1 Tenant Proxy (Identity + Policy) → Tier-2 Internal Proxy (Destination + Protocol) → Internal Application</w:t>
      </w:r>
    </w:p>
    <w:p>
      <w:pPr>
        <w:spacing w:after="120" w:line="276" w:lineRule="exact"/>
        <w:jc w:val="both"/>
      </w:pPr>
      <w:r>
        <w:rPr>
          <w:rFonts w:ascii="Times New Roman" w:cs="Times New Roman" w:eastAsia="Times New Roman" w:hAnsi="Times New Roman"/>
          <w:b/>
          <w:bCs/>
          <w:sz w:val="22"/>
          <w:szCs w:val="22"/>
        </w:rPr>
        <w:t xml:space="preserve">Service-Specific Allow-Lists</w:t>
      </w:r>
    </w:p>
    <w:p>
      <w:pPr>
        <w:spacing w:after="120" w:line="276" w:lineRule="exact"/>
        <w:jc w:val="both"/>
      </w:pPr>
      <w:r>
        <w:rPr>
          <w:rFonts w:ascii="Times New Roman" w:cs="Times New Roman" w:eastAsia="Times New Roman" w:hAnsi="Times New Roman"/>
          <w:sz w:val="22"/>
          <w:szCs w:val="22"/>
        </w:rPr>
        <w:t xml:space="preserve">Mediation constructs enforce per-application destination constraints. A tenant user authorized for access to Application X cannot pivot to Application Y, enumerate internal hosts, or explore broader network segments.</w:t>
      </w:r>
    </w:p>
    <w:p>
      <w:pPr>
        <w:spacing w:after="120" w:line="276" w:lineRule="exact"/>
        <w:jc w:val="both"/>
      </w:pPr>
      <w:r>
        <w:rPr>
          <w:rFonts w:ascii="Times New Roman" w:cs="Times New Roman" w:eastAsia="Times New Roman" w:hAnsi="Times New Roman"/>
          <w:sz w:val="22"/>
          <w:szCs w:val="22"/>
        </w:rPr>
        <w:t xml:space="preserve">Authorization is bound to declared capabilities, not to network reachability.</w:t>
      </w:r>
    </w:p>
    <w:p>
      <w:pPr>
        <w:spacing w:after="120" w:line="276" w:lineRule="exact"/>
        <w:jc w:val="both"/>
      </w:pPr>
      <w:r>
        <w:rPr>
          <w:rFonts w:ascii="Times New Roman" w:cs="Times New Roman" w:eastAsia="Times New Roman" w:hAnsi="Times New Roman"/>
          <w:b/>
          <w:bCs/>
          <w:sz w:val="22"/>
          <w:szCs w:val="22"/>
        </w:rPr>
        <w:t xml:space="preserve">Protocol Mediation and Constraint</w:t>
      </w:r>
    </w:p>
    <w:p>
      <w:pPr>
        <w:spacing w:after="120" w:line="276" w:lineRule="exact"/>
        <w:jc w:val="both"/>
      </w:pPr>
      <w:r>
        <w:rPr>
          <w:rFonts w:ascii="Times New Roman" w:cs="Times New Roman" w:eastAsia="Times New Roman" w:hAnsi="Times New Roman"/>
          <w:sz w:val="22"/>
          <w:szCs w:val="22"/>
        </w:rPr>
        <w:t xml:space="preserve">Proxies constrain protocol behavior to declared use cases (HTTP/S for web applications, SFTP for file transfer, etc.) and prevent:</w:t>
      </w:r>
    </w:p>
    <w:p>
      <w:pPr>
        <w:spacing w:after="120" w:line="276" w:lineRule="exact"/>
        <w:jc w:val="both"/>
      </w:pPr>
      <w:r>
        <w:rPr>
          <w:rFonts w:ascii="Times New Roman" w:cs="Times New Roman" w:eastAsia="Times New Roman" w:hAnsi="Times New Roman"/>
          <w:sz w:val="22"/>
          <w:szCs w:val="22"/>
        </w:rPr>
        <w:t xml:space="preserve">Protocol tunneling or encapsulation attacks</w:t>
      </w:r>
    </w:p>
    <w:p>
      <w:pPr>
        <w:spacing w:after="120" w:line="276" w:lineRule="exact"/>
        <w:jc w:val="both"/>
      </w:pPr>
      <w:r>
        <w:rPr>
          <w:rFonts w:ascii="Times New Roman" w:cs="Times New Roman" w:eastAsia="Times New Roman" w:hAnsi="Times New Roman"/>
          <w:sz w:val="22"/>
          <w:szCs w:val="22"/>
        </w:rPr>
        <w:t xml:space="preserve">Misuse of application protocols for lateral exploration</w:t>
      </w:r>
    </w:p>
    <w:p>
      <w:pPr>
        <w:spacing w:after="120" w:line="276" w:lineRule="exact"/>
        <w:jc w:val="both"/>
      </w:pPr>
      <w:r>
        <w:rPr>
          <w:rFonts w:ascii="Times New Roman" w:cs="Times New Roman" w:eastAsia="Times New Roman" w:hAnsi="Times New Roman"/>
          <w:sz w:val="22"/>
          <w:szCs w:val="22"/>
        </w:rPr>
        <w:t xml:space="preserve">Unapproved protocol usage within approved sessions</w:t>
      </w:r>
    </w:p>
    <w:p>
      <w:pPr>
        <w:spacing w:after="120" w:line="276" w:lineRule="exact"/>
        <w:jc w:val="both"/>
      </w:pPr>
      <w:r>
        <w:rPr>
          <w:rFonts w:ascii="Times New Roman" w:cs="Times New Roman" w:eastAsia="Times New Roman" w:hAnsi="Times New Roman"/>
          <w:sz w:val="22"/>
          <w:szCs w:val="22"/>
        </w:rPr>
        <w:t xml:space="preserve">Protocol mediation ensures that connectivity translates to service access, not network access.</w:t>
      </w:r>
    </w:p>
    <w:p>
      <w:pPr>
        <w:spacing w:after="120" w:line="276" w:lineRule="exact"/>
        <w:jc w:val="both"/>
      </w:pPr>
      <w:r>
        <w:rPr>
          <w:rFonts w:ascii="Times New Roman" w:cs="Times New Roman" w:eastAsia="Times New Roman" w:hAnsi="Times New Roman"/>
          <w:b/>
          <w:bCs/>
          <w:sz w:val="22"/>
          <w:szCs w:val="22"/>
        </w:rPr>
        <w:t xml:space="preserve">Per-Application Service Endpoints</w:t>
      </w:r>
    </w:p>
    <w:p>
      <w:pPr>
        <w:spacing w:after="120" w:line="276" w:lineRule="exact"/>
        <w:jc w:val="both"/>
      </w:pPr>
      <w:r>
        <w:rPr>
          <w:rFonts w:ascii="Times New Roman" w:cs="Times New Roman" w:eastAsia="Times New Roman" w:hAnsi="Times New Roman"/>
          <w:sz w:val="22"/>
          <w:szCs w:val="22"/>
        </w:rPr>
        <w:t xml:space="preserve">Each catalog application is assigned a dedicated tenant-local service endpoint (typically a virtual IP address and port combination). These endpoints:</w:t>
      </w:r>
    </w:p>
    <w:p>
      <w:pPr>
        <w:spacing w:after="120" w:line="276" w:lineRule="exact"/>
        <w:jc w:val="both"/>
      </w:pPr>
      <w:r>
        <w:rPr>
          <w:rFonts w:ascii="Times New Roman" w:cs="Times New Roman" w:eastAsia="Times New Roman" w:hAnsi="Times New Roman"/>
          <w:sz w:val="22"/>
          <w:szCs w:val="22"/>
        </w:rPr>
        <w:t xml:space="preserve">Exist only within the tenant routing context</w:t>
      </w:r>
    </w:p>
    <w:p>
      <w:pPr>
        <w:spacing w:after="120" w:line="276" w:lineRule="exact"/>
        <w:jc w:val="both"/>
      </w:pPr>
      <w:r>
        <w:rPr>
          <w:rFonts w:ascii="Times New Roman" w:cs="Times New Roman" w:eastAsia="Times New Roman" w:hAnsi="Times New Roman"/>
          <w:sz w:val="22"/>
          <w:szCs w:val="22"/>
        </w:rPr>
        <w:t xml:space="preserve">Are announced via DNS rewrite to tenant users</w:t>
      </w:r>
    </w:p>
    <w:p>
      <w:pPr>
        <w:spacing w:after="120" w:line="276" w:lineRule="exact"/>
        <w:jc w:val="both"/>
      </w:pPr>
      <w:r>
        <w:rPr>
          <w:rFonts w:ascii="Times New Roman" w:cs="Times New Roman" w:eastAsia="Times New Roman" w:hAnsi="Times New Roman"/>
          <w:sz w:val="22"/>
          <w:szCs w:val="22"/>
        </w:rPr>
        <w:t xml:space="preserve">Terminate at tier-1 mediation constructs</w:t>
      </w:r>
    </w:p>
    <w:p>
      <w:pPr>
        <w:spacing w:after="120" w:line="276" w:lineRule="exact"/>
        <w:jc w:val="both"/>
      </w:pPr>
      <w:r>
        <w:rPr>
          <w:rFonts w:ascii="Times New Roman" w:cs="Times New Roman" w:eastAsia="Times New Roman" w:hAnsi="Times New Roman"/>
          <w:sz w:val="22"/>
          <w:szCs w:val="22"/>
        </w:rPr>
        <w:t xml:space="preserve">Enforce per-application authorization and logging</w:t>
      </w:r>
    </w:p>
    <w:p>
      <w:pPr>
        <w:spacing w:after="120" w:line="276" w:lineRule="exact"/>
        <w:jc w:val="both"/>
      </w:pPr>
      <w:r>
        <w:rPr>
          <w:rFonts w:ascii="Times New Roman" w:cs="Times New Roman" w:eastAsia="Times New Roman" w:hAnsi="Times New Roman"/>
          <w:sz w:val="22"/>
          <w:szCs w:val="22"/>
        </w:rPr>
        <w:t xml:space="preserve">This design ensures that service exposure is granular, auditable, and independently controllable.</w:t>
      </w:r>
    </w:p>
    <w:p>
      <w:pPr>
        <w:pStyle w:val="Heading2"/>
      </w:pPr>
      <w:r>
        <w:rPr>
          <w:rFonts w:ascii="Times New Roman" w:cs="Times New Roman" w:eastAsia="Times New Roman" w:hAnsi="Times New Roman"/>
          <w:b/>
          <w:bCs/>
          <w:sz w:val="22"/>
          <w:szCs w:val="22"/>
        </w:rPr>
        <w:t xml:space="preserve">C.5 Identity Binding</w:t>
      </w:r>
    </w:p>
    <w:p>
      <w:pPr>
        <w:spacing w:after="120" w:line="276" w:lineRule="exact"/>
        <w:jc w:val="both"/>
      </w:pPr>
      <w:r>
        <w:rPr>
          <w:rFonts w:ascii="Times New Roman" w:cs="Times New Roman" w:eastAsia="Times New Roman" w:hAnsi="Times New Roman"/>
          <w:sz w:val="22"/>
          <w:szCs w:val="22"/>
        </w:rPr>
        <w:t xml:space="preserve">Where protocols allow, identity must be cryptographically verified and bound to the Tenant context.</w:t>
      </w:r>
    </w:p>
    <w:p>
      <w:pPr>
        <w:spacing w:after="120" w:line="276" w:lineRule="exact"/>
        <w:jc w:val="both"/>
      </w:pPr>
      <w:r>
        <w:rPr>
          <w:rFonts w:ascii="Times New Roman" w:cs="Times New Roman" w:eastAsia="Times New Roman" w:hAnsi="Times New Roman"/>
          <w:b/>
          <w:bCs/>
          <w:sz w:val="22"/>
          <w:szCs w:val="22"/>
        </w:rPr>
        <w:t xml:space="preserve">Mutual TLS (mTLS) Identity Enforcement</w:t>
      </w:r>
    </w:p>
    <w:p>
      <w:pPr>
        <w:spacing w:after="120" w:line="276" w:lineRule="exact"/>
        <w:jc w:val="both"/>
      </w:pPr>
      <w:r>
        <w:rPr>
          <w:rFonts w:ascii="Times New Roman" w:cs="Times New Roman" w:eastAsia="Times New Roman" w:hAnsi="Times New Roman"/>
          <w:sz w:val="22"/>
          <w:szCs w:val="22"/>
        </w:rPr>
        <w:t xml:space="preserve">Connections are authenticated using per-tenant certificates. Identity validation occurs at the tier-1 mediation layer.</w:t>
      </w:r>
    </w:p>
    <w:p>
      <w:pPr>
        <w:spacing w:after="120" w:line="276" w:lineRule="exact"/>
        <w:jc w:val="both"/>
      </w:pPr>
      <w:r>
        <w:rPr>
          <w:rFonts w:ascii="Times New Roman" w:cs="Times New Roman" w:eastAsia="Times New Roman" w:hAnsi="Times New Roman"/>
          <w:b/>
          <w:bCs/>
          <w:sz w:val="22"/>
          <w:szCs w:val="22"/>
        </w:rPr>
        <w:t xml:space="preserve">Certificate-Based Subject Validation</w:t>
      </w:r>
    </w:p>
    <w:p>
      <w:pPr>
        <w:spacing w:after="120" w:line="276" w:lineRule="exact"/>
        <w:jc w:val="both"/>
      </w:pPr>
      <w:r>
        <w:rPr>
          <w:rFonts w:ascii="Times New Roman" w:cs="Times New Roman" w:eastAsia="Times New Roman" w:hAnsi="Times New Roman"/>
          <w:sz w:val="22"/>
          <w:szCs w:val="22"/>
        </w:rPr>
        <w:t xml:space="preserve">Subject attributes within certificates are validated against tenant declarations. Invalid or expired certificates result in connection denial.</w:t>
      </w:r>
    </w:p>
    <w:p>
      <w:pPr>
        <w:spacing w:after="120" w:line="276" w:lineRule="exact"/>
        <w:jc w:val="both"/>
      </w:pPr>
      <w:r>
        <w:rPr>
          <w:rFonts w:ascii="Times New Roman" w:cs="Times New Roman" w:eastAsia="Times New Roman" w:hAnsi="Times New Roman"/>
          <w:b/>
          <w:bCs/>
          <w:sz w:val="22"/>
          <w:szCs w:val="22"/>
        </w:rPr>
        <w:t xml:space="preserve">Per-Tenant Trust Anchors</w:t>
      </w:r>
    </w:p>
    <w:p>
      <w:pPr>
        <w:spacing w:after="120" w:line="276" w:lineRule="exact"/>
        <w:jc w:val="both"/>
      </w:pPr>
      <w:r>
        <w:rPr>
          <w:rFonts w:ascii="Times New Roman" w:cs="Times New Roman" w:eastAsia="Times New Roman" w:hAnsi="Times New Roman"/>
          <w:sz w:val="22"/>
          <w:szCs w:val="22"/>
        </w:rPr>
        <w:t xml:space="preserve">Each tenant operates with a dedicated trust anchor or certificate authority scope, preventing credential replay across tenant boundaries.</w:t>
      </w:r>
    </w:p>
    <w:p>
      <w:pPr>
        <w:spacing w:after="120" w:line="276" w:lineRule="exact"/>
        <w:jc w:val="both"/>
      </w:pPr>
      <w:r>
        <w:rPr>
          <w:rFonts w:ascii="Times New Roman" w:cs="Times New Roman" w:eastAsia="Times New Roman" w:hAnsi="Times New Roman"/>
          <w:b/>
          <w:bCs/>
          <w:sz w:val="22"/>
          <w:szCs w:val="22"/>
        </w:rPr>
        <w:t xml:space="preserve">Identity-to-Capability Binding</w:t>
      </w:r>
    </w:p>
    <w:p>
      <w:pPr>
        <w:spacing w:after="120" w:line="276" w:lineRule="exact"/>
        <w:jc w:val="both"/>
      </w:pPr>
      <w:r>
        <w:rPr>
          <w:rFonts w:ascii="Times New Roman" w:cs="Times New Roman" w:eastAsia="Times New Roman" w:hAnsi="Times New Roman"/>
          <w:sz w:val="22"/>
          <w:szCs w:val="22"/>
        </w:rPr>
        <w:t xml:space="preserve">Access decisions correlate authenticated identity to declared service capabilities, ensuring actor-level accountability.</w:t>
      </w:r>
    </w:p>
    <w:p>
      <w:pPr>
        <w:spacing w:after="120" w:line="276" w:lineRule="exact"/>
        <w:jc w:val="both"/>
      </w:pPr>
      <w:r>
        <w:rPr>
          <w:rFonts w:ascii="Times New Roman" w:cs="Times New Roman" w:eastAsia="Times New Roman" w:hAnsi="Times New Roman"/>
          <w:b/>
          <w:bCs/>
          <w:sz w:val="22"/>
          <w:szCs w:val="22"/>
        </w:rPr>
        <w:t xml:space="preserve">Identity enforcement ensures:</w:t>
      </w:r>
    </w:p>
    <w:p>
      <w:pPr>
        <w:spacing w:after="120" w:line="276" w:lineRule="exact"/>
        <w:jc w:val="both"/>
      </w:pPr>
      <w:r>
        <w:rPr>
          <w:rFonts w:ascii="Times New Roman" w:cs="Times New Roman" w:eastAsia="Times New Roman" w:hAnsi="Times New Roman"/>
          <w:sz w:val="22"/>
          <w:szCs w:val="22"/>
        </w:rPr>
        <w:t xml:space="preserve">Actor-level accountability</w:t>
      </w:r>
    </w:p>
    <w:p>
      <w:pPr>
        <w:spacing w:after="120" w:line="276" w:lineRule="exact"/>
        <w:jc w:val="both"/>
      </w:pPr>
      <w:r>
        <w:rPr>
          <w:rFonts w:ascii="Times New Roman" w:cs="Times New Roman" w:eastAsia="Times New Roman" w:hAnsi="Times New Roman"/>
          <w:sz w:val="22"/>
          <w:szCs w:val="22"/>
        </w:rPr>
        <w:t xml:space="preserve">Revocation capability independent of network topology</w:t>
      </w:r>
    </w:p>
    <w:p>
      <w:pPr>
        <w:spacing w:after="120" w:line="276" w:lineRule="exact"/>
        <w:jc w:val="both"/>
      </w:pPr>
      <w:r>
        <w:rPr>
          <w:rFonts w:ascii="Times New Roman" w:cs="Times New Roman" w:eastAsia="Times New Roman" w:hAnsi="Times New Roman"/>
          <w:sz w:val="22"/>
          <w:szCs w:val="22"/>
        </w:rPr>
        <w:t xml:space="preserve">Traceability aligned to business ownership</w:t>
      </w:r>
    </w:p>
    <w:p>
      <w:pPr>
        <w:spacing w:after="120" w:line="276" w:lineRule="exact"/>
        <w:jc w:val="both"/>
      </w:pPr>
      <w:r>
        <w:rPr>
          <w:rFonts w:ascii="Times New Roman" w:cs="Times New Roman" w:eastAsia="Times New Roman" w:hAnsi="Times New Roman"/>
          <w:sz w:val="22"/>
          <w:szCs w:val="22"/>
        </w:rPr>
        <w:t xml:space="preserve">Without identity binding, exposure remains tied to location rather than subject.</w:t>
      </w:r>
    </w:p>
    <w:p>
      <w:pPr>
        <w:pStyle w:val="Heading2"/>
      </w:pPr>
      <w:r>
        <w:rPr>
          <w:rFonts w:ascii="Times New Roman" w:cs="Times New Roman" w:eastAsia="Times New Roman" w:hAnsi="Times New Roman"/>
          <w:b/>
          <w:bCs/>
          <w:sz w:val="22"/>
          <w:szCs w:val="22"/>
        </w:rPr>
        <w:t xml:space="preserve">C.6 Failure Modes Prevented</w:t>
      </w:r>
    </w:p>
    <w:p>
      <w:pPr>
        <w:spacing w:after="120" w:line="276" w:lineRule="exact"/>
        <w:jc w:val="both"/>
      </w:pPr>
      <w:r>
        <w:rPr>
          <w:rFonts w:ascii="Times New Roman" w:cs="Times New Roman" w:eastAsia="Times New Roman" w:hAnsi="Times New Roman"/>
          <w:b/>
          <w:bCs/>
          <w:sz w:val="22"/>
          <w:szCs w:val="22"/>
        </w:rPr>
        <w:t xml:space="preserve">The mediation and identity architecture prevents:</w:t>
      </w:r>
    </w:p>
    <w:p>
      <w:pPr>
        <w:spacing w:after="120" w:line="276" w:lineRule="exact"/>
        <w:jc w:val="both"/>
      </w:pPr>
      <w:r>
        <w:rPr>
          <w:rFonts w:ascii="Times New Roman" w:cs="Times New Roman" w:eastAsia="Times New Roman" w:hAnsi="Times New Roman"/>
          <w:sz w:val="22"/>
          <w:szCs w:val="22"/>
        </w:rPr>
        <w:t xml:space="preserve">Lateral exploration within internal subnets – No routed adjacency exists; tenants interact only with declared service endpoints</w:t>
      </w:r>
    </w:p>
    <w:p>
      <w:pPr>
        <w:spacing w:after="120" w:line="276" w:lineRule="exact"/>
        <w:jc w:val="both"/>
      </w:pPr>
      <w:r>
        <w:rPr>
          <w:rFonts w:ascii="Times New Roman" w:cs="Times New Roman" w:eastAsia="Times New Roman" w:hAnsi="Times New Roman"/>
          <w:sz w:val="22"/>
          <w:szCs w:val="22"/>
        </w:rPr>
        <w:t xml:space="preserve">Credential replay across tenants – Per-tenant trust anchors and certificate scopes prevent cross-tenant authentication</w:t>
      </w:r>
    </w:p>
    <w:p>
      <w:pPr>
        <w:spacing w:after="120" w:line="276" w:lineRule="exact"/>
        <w:jc w:val="both"/>
      </w:pPr>
      <w:r>
        <w:rPr>
          <w:rFonts w:ascii="Times New Roman" w:cs="Times New Roman" w:eastAsia="Times New Roman" w:hAnsi="Times New Roman"/>
          <w:sz w:val="22"/>
          <w:szCs w:val="22"/>
        </w:rPr>
        <w:t xml:space="preserve">Implicit trust based solely on source IP – Identity validation is cryptographic and session-bound</w:t>
      </w:r>
    </w:p>
    <w:p>
      <w:pPr>
        <w:spacing w:after="120" w:line="276" w:lineRule="exact"/>
        <w:jc w:val="both"/>
      </w:pPr>
      <w:r>
        <w:rPr>
          <w:rFonts w:ascii="Times New Roman" w:cs="Times New Roman" w:eastAsia="Times New Roman" w:hAnsi="Times New Roman"/>
          <w:sz w:val="22"/>
          <w:szCs w:val="22"/>
        </w:rPr>
        <w:t xml:space="preserve">Vendor compromise leading to unrestricted reach – Compromise of a tenant user grants access only to explicitly authorized applications, not to the broader network</w:t>
      </w:r>
    </w:p>
    <w:p>
      <w:pPr>
        <w:spacing w:after="120" w:line="276" w:lineRule="exact"/>
        <w:jc w:val="both"/>
      </w:pPr>
      <w:r>
        <w:rPr>
          <w:rFonts w:ascii="Times New Roman" w:cs="Times New Roman" w:eastAsia="Times New Roman" w:hAnsi="Times New Roman"/>
          <w:sz w:val="22"/>
          <w:szCs w:val="22"/>
        </w:rPr>
        <w:t xml:space="preserve">Protocol tunneling and misuse – Protocol mediation constrains session behavior to declared patterns</w:t>
      </w:r>
    </w:p>
    <w:p>
      <w:pPr>
        <w:spacing w:after="120" w:line="276" w:lineRule="exact"/>
        <w:jc w:val="both"/>
      </w:pPr>
      <w:r>
        <w:rPr>
          <w:rFonts w:ascii="Times New Roman" w:cs="Times New Roman" w:eastAsia="Times New Roman" w:hAnsi="Times New Roman"/>
          <w:sz w:val="22"/>
          <w:szCs w:val="22"/>
        </w:rPr>
        <w:t xml:space="preserve">DNS-based lateral discovery – Namespace preservation with DNS rewrite limits visibility to catalog applications only</w:t>
      </w:r>
    </w:p>
    <w:p>
      <w:pPr>
        <w:pStyle w:val="Heading2"/>
      </w:pPr>
      <w:r>
        <w:rPr>
          <w:rFonts w:ascii="Times New Roman" w:cs="Times New Roman" w:eastAsia="Times New Roman" w:hAnsi="Times New Roman"/>
          <w:b/>
          <w:bCs/>
          <w:sz w:val="22"/>
          <w:szCs w:val="22"/>
        </w:rPr>
        <w:t xml:space="preserve">C.7 Validation Criteria</w:t>
      </w:r>
    </w:p>
    <w:p>
      <w:pPr>
        <w:spacing w:after="120" w:line="276" w:lineRule="exact"/>
        <w:jc w:val="both"/>
      </w:pPr>
      <w:r>
        <w:rPr>
          <w:rFonts w:ascii="Times New Roman" w:cs="Times New Roman" w:eastAsia="Times New Roman" w:hAnsi="Times New Roman"/>
          <w:b/>
          <w:bCs/>
          <w:sz w:val="22"/>
          <w:szCs w:val="22"/>
        </w:rPr>
        <w:t xml:space="preserve">An implementation satisfies mediation and identity invariants if:</w:t>
      </w:r>
    </w:p>
    <w:p>
      <w:pPr>
        <w:spacing w:after="120" w:line="276" w:lineRule="exact"/>
        <w:jc w:val="both"/>
      </w:pPr>
      <w:r>
        <w:rPr>
          <w:rFonts w:ascii="Times New Roman" w:cs="Times New Roman" w:eastAsia="Times New Roman" w:hAnsi="Times New Roman"/>
          <w:sz w:val="22"/>
          <w:szCs w:val="22"/>
        </w:rPr>
        <w:t xml:space="preserve">Direct routed access to internal subnets is impossible</w:t>
      </w:r>
    </w:p>
    <w:p>
      <w:pPr>
        <w:spacing w:after="120" w:line="276" w:lineRule="exact"/>
        <w:jc w:val="both"/>
      </w:pPr>
      <w:r>
        <w:rPr>
          <w:rFonts w:ascii="Times New Roman" w:cs="Times New Roman" w:eastAsia="Times New Roman" w:hAnsi="Times New Roman"/>
          <w:sz w:val="22"/>
          <w:szCs w:val="22"/>
        </w:rPr>
        <w:t xml:space="preserve">All permitted flows traverse enforcement constructs</w:t>
      </w:r>
    </w:p>
    <w:p>
      <w:pPr>
        <w:spacing w:after="120" w:line="276" w:lineRule="exact"/>
        <w:jc w:val="both"/>
      </w:pPr>
      <w:r>
        <w:rPr>
          <w:rFonts w:ascii="Times New Roman" w:cs="Times New Roman" w:eastAsia="Times New Roman" w:hAnsi="Times New Roman"/>
          <w:sz w:val="22"/>
          <w:szCs w:val="22"/>
        </w:rPr>
        <w:t xml:space="preserve">Identity validation failures result in denial</w:t>
      </w:r>
    </w:p>
    <w:p>
      <w:pPr>
        <w:spacing w:after="120" w:line="276" w:lineRule="exact"/>
        <w:jc w:val="both"/>
      </w:pPr>
      <w:r>
        <w:rPr>
          <w:rFonts w:ascii="Times New Roman" w:cs="Times New Roman" w:eastAsia="Times New Roman" w:hAnsi="Times New Roman"/>
          <w:sz w:val="22"/>
          <w:szCs w:val="22"/>
        </w:rPr>
        <w:t xml:space="preserve">Audit logs associate identity with capability invocation</w:t>
      </w:r>
    </w:p>
    <w:p>
      <w:pPr>
        <w:spacing w:after="120" w:line="276" w:lineRule="exact"/>
        <w:jc w:val="both"/>
      </w:pPr>
      <w:r>
        <w:rPr>
          <w:rFonts w:ascii="Times New Roman" w:cs="Times New Roman" w:eastAsia="Times New Roman" w:hAnsi="Times New Roman"/>
          <w:sz w:val="22"/>
          <w:szCs w:val="22"/>
        </w:rPr>
        <w:t xml:space="preserve">DNS resolution within tenant context exposes only catalog applications</w:t>
      </w:r>
    </w:p>
    <w:p>
      <w:pPr>
        <w:spacing w:after="120" w:line="276" w:lineRule="exact"/>
        <w:jc w:val="both"/>
      </w:pPr>
      <w:r>
        <w:rPr>
          <w:rFonts w:ascii="Times New Roman" w:cs="Times New Roman" w:eastAsia="Times New Roman" w:hAnsi="Times New Roman"/>
          <w:sz w:val="22"/>
          <w:szCs w:val="22"/>
        </w:rPr>
        <w:t xml:space="preserve">Protocol usage is constrained to declared service patterns</w:t>
      </w:r>
    </w:p>
    <w:p>
      <w:pPr>
        <w:spacing w:after="120" w:line="276" w:lineRule="exact"/>
        <w:jc w:val="both"/>
      </w:pPr>
      <w:r>
        <w:rPr>
          <w:rFonts w:ascii="Times New Roman" w:cs="Times New Roman" w:eastAsia="Times New Roman" w:hAnsi="Times New Roman"/>
          <w:sz w:val="22"/>
          <w:szCs w:val="22"/>
        </w:rPr>
        <w:t xml:space="preserve">Per-application authorization is enforced independently of network-layer controls</w:t>
      </w:r>
    </w:p>
    <w:p>
      <w:pPr>
        <w:pStyle w:val="Heading2"/>
      </w:pPr>
      <w:r>
        <w:rPr>
          <w:rFonts w:ascii="Times New Roman" w:cs="Times New Roman" w:eastAsia="Times New Roman" w:hAnsi="Times New Roman"/>
          <w:b/>
          <w:bCs/>
          <w:sz w:val="22"/>
          <w:szCs w:val="22"/>
        </w:rPr>
        <w:t xml:space="preserve">C.8 Relationship to Business Governance Outcomes</w:t>
      </w:r>
    </w:p>
    <w:p>
      <w:pPr>
        <w:spacing w:after="120" w:line="276" w:lineRule="exact"/>
        <w:jc w:val="both"/>
      </w:pPr>
      <w:r>
        <w:rPr>
          <w:rFonts w:ascii="Times New Roman" w:cs="Times New Roman" w:eastAsia="Times New Roman" w:hAnsi="Times New Roman"/>
          <w:b/>
          <w:bCs/>
          <w:sz w:val="22"/>
          <w:szCs w:val="22"/>
        </w:rPr>
        <w:t xml:space="preserve">The mediation and identity architecture directly enforces business governance requirements:</w:t>
      </w:r>
    </w:p>
    <w:p>
      <w:pPr>
        <w:spacing w:after="120" w:line="276" w:lineRule="exact"/>
        <w:jc w:val="both"/>
      </w:pPr>
      <w:r>
        <w:rPr>
          <w:rFonts w:ascii="Times New Roman" w:cs="Times New Roman" w:eastAsia="Times New Roman" w:hAnsi="Times New Roman"/>
          <w:b/>
          <w:bCs/>
          <w:sz w:val="22"/>
          <w:szCs w:val="22"/>
        </w:rPr>
        <w:t xml:space="preserve">Accountability Alignment</w:t>
      </w:r>
    </w:p>
    <w:p>
      <w:pPr>
        <w:spacing w:after="120" w:line="276" w:lineRule="exact"/>
        <w:jc w:val="both"/>
      </w:pPr>
      <w:r>
        <w:rPr>
          <w:rFonts w:ascii="Times New Roman" w:cs="Times New Roman" w:eastAsia="Times New Roman" w:hAnsi="Times New Roman"/>
          <w:sz w:val="22"/>
          <w:szCs w:val="22"/>
        </w:rPr>
        <w:t xml:space="preserve">Identity binding ensures that access events can be traced to specific authenticated users, aligning technical enforcement with business ownership. When a tenant owner attests to the business need for connectivity, the architecture ensures that only authorized individuals within that tenant's scope can invoke declared capabilities.</w:t>
      </w:r>
    </w:p>
    <w:p>
      <w:pPr>
        <w:spacing w:after="120" w:line="276" w:lineRule="exact"/>
        <w:jc w:val="both"/>
      </w:pPr>
      <w:r>
        <w:rPr>
          <w:rFonts w:ascii="Times New Roman" w:cs="Times New Roman" w:eastAsia="Times New Roman" w:hAnsi="Times New Roman"/>
          <w:b/>
          <w:bCs/>
          <w:sz w:val="22"/>
          <w:szCs w:val="22"/>
        </w:rPr>
        <w:t xml:space="preserve">Least-Privilege Exposure</w:t>
      </w:r>
    </w:p>
    <w:p>
      <w:pPr>
        <w:spacing w:after="120" w:line="276" w:lineRule="exact"/>
        <w:jc w:val="both"/>
      </w:pPr>
      <w:r>
        <w:rPr>
          <w:rFonts w:ascii="Times New Roman" w:cs="Times New Roman" w:eastAsia="Times New Roman" w:hAnsi="Times New Roman"/>
          <w:sz w:val="22"/>
          <w:szCs w:val="22"/>
        </w:rPr>
        <w:t xml:space="preserve">Service catalog discipline ensures that third parties access only the applications required for their business function. This directly supports risk-proportional governance: exposure scope matches business justification.</w:t>
      </w:r>
    </w:p>
    <w:p>
      <w:pPr>
        <w:spacing w:after="120" w:line="276" w:lineRule="exact"/>
        <w:jc w:val="both"/>
      </w:pPr>
      <w:r>
        <w:rPr>
          <w:rFonts w:ascii="Times New Roman" w:cs="Times New Roman" w:eastAsia="Times New Roman" w:hAnsi="Times New Roman"/>
          <w:b/>
          <w:bCs/>
          <w:sz w:val="22"/>
          <w:szCs w:val="22"/>
        </w:rPr>
        <w:t xml:space="preserve">Lifecycle Responsiveness</w:t>
      </w:r>
    </w:p>
    <w:p>
      <w:pPr>
        <w:spacing w:after="120" w:line="276" w:lineRule="exact"/>
        <w:jc w:val="both"/>
      </w:pPr>
      <w:r>
        <w:rPr>
          <w:rFonts w:ascii="Times New Roman" w:cs="Times New Roman" w:eastAsia="Times New Roman" w:hAnsi="Times New Roman"/>
          <w:sz w:val="22"/>
          <w:szCs w:val="22"/>
        </w:rPr>
        <w:t xml:space="preserve">When business context changes (vendor relationship ends, application is retired, user leaves organization), identity and catalog constructs can be modified or revoked without altering network topology. This responsiveness prevents exposure from persisting beyond business need.</w:t>
      </w:r>
    </w:p>
    <w:p>
      <w:pPr>
        <w:spacing w:after="120" w:line="276" w:lineRule="exact"/>
        <w:jc w:val="both"/>
      </w:pPr>
      <w:r>
        <w:rPr>
          <w:rFonts w:ascii="Times New Roman" w:cs="Times New Roman" w:eastAsia="Times New Roman" w:hAnsi="Times New Roman"/>
          <w:b/>
          <w:bCs/>
          <w:sz w:val="22"/>
          <w:szCs w:val="22"/>
        </w:rPr>
        <w:t xml:space="preserve">Audit and Compliance Assurance</w:t>
      </w:r>
    </w:p>
    <w:p>
      <w:pPr>
        <w:spacing w:after="120" w:line="276" w:lineRule="exact"/>
        <w:jc w:val="both"/>
      </w:pPr>
      <w:r>
        <w:rPr>
          <w:rFonts w:ascii="Times New Roman" w:cs="Times New Roman" w:eastAsia="Times New Roman" w:hAnsi="Times New Roman"/>
          <w:sz w:val="22"/>
          <w:szCs w:val="22"/>
        </w:rPr>
        <w:t xml:space="preserve">Cryptographic identity combined with per-application logging creates an auditable record of who accessed what, when, and for what declared purpose. This traceability supports regulatory compliance, vendor management oversight, and security incident investigation.</w:t>
      </w:r>
    </w:p>
    <w:p>
      <w:pPr>
        <w:spacing w:after="120" w:line="276" w:lineRule="exact"/>
        <w:jc w:val="both"/>
      </w:pPr>
      <w:r>
        <w:rPr>
          <w:rFonts w:ascii="Times New Roman" w:cs="Times New Roman" w:eastAsia="Times New Roman" w:hAnsi="Times New Roman"/>
          <w:sz w:val="22"/>
          <w:szCs w:val="22"/>
        </w:rPr>
        <w:t xml:space="preserve">Mediation is the core of exposure control and the primary mechanism through which governance intent becomes enforceable system behavior.</w:t>
      </w:r>
    </w:p>
    <w:p>
      <w:r>
        <w:br w:type="page"/>
      </w:r>
    </w:p>
    <w:p>
      <w:pPr>
        <w:pStyle w:val="Heading1"/>
      </w:pPr>
      <w:r>
        <w:rPr>
          <w:rFonts w:ascii="Times New Roman" w:cs="Times New Roman" w:eastAsia="Times New Roman" w:hAnsi="Times New Roman"/>
          <w:b/>
          <w:bCs/>
          <w:caps/>
          <w:sz w:val="26"/>
          <w:szCs w:val="26"/>
        </w:rPr>
        <w:t xml:space="preserve">APPENDIX D — DETERMINISTIC VISIBILITY AND INSPECTION ARCHITECTURE</w:t>
      </w:r>
    </w:p>
    <w:p>
      <w:pPr>
        <w:pStyle w:val="Heading2"/>
      </w:pPr>
      <w:r>
        <w:rPr>
          <w:rFonts w:ascii="Times New Roman" w:cs="Times New Roman" w:eastAsia="Times New Roman" w:hAnsi="Times New Roman"/>
          <w:b/>
          <w:bCs/>
          <w:sz w:val="22"/>
          <w:szCs w:val="22"/>
        </w:rPr>
        <w:t xml:space="preserve">D.1 The Problem With Perimeter Inspection</w:t>
      </w:r>
    </w:p>
    <w:p>
      <w:pPr>
        <w:spacing w:after="120" w:line="276" w:lineRule="exact"/>
        <w:jc w:val="both"/>
      </w:pPr>
      <w:r>
        <w:rPr>
          <w:rFonts w:ascii="Times New Roman" w:cs="Times New Roman" w:eastAsia="Times New Roman" w:hAnsi="Times New Roman"/>
          <w:sz w:val="22"/>
          <w:szCs w:val="22"/>
        </w:rPr>
        <w:t xml:space="preserve">Perimeter inspection centralizes visibility but lacks context. It sees transport flows, not mediated capabilities. Distributed logging lacks consistency and correlation.</w:t>
      </w:r>
    </w:p>
    <w:p>
      <w:pPr>
        <w:spacing w:after="120" w:line="276" w:lineRule="exact"/>
        <w:jc w:val="both"/>
      </w:pPr>
      <w:r>
        <w:rPr>
          <w:rFonts w:ascii="Times New Roman" w:cs="Times New Roman" w:eastAsia="Times New Roman" w:hAnsi="Times New Roman"/>
          <w:sz w:val="22"/>
          <w:szCs w:val="22"/>
        </w:rPr>
        <w:t xml:space="preserve">Inspection without structural attachment points produces blind spots.</w:t>
      </w:r>
    </w:p>
    <w:p>
      <w:pPr>
        <w:pStyle w:val="Heading2"/>
      </w:pPr>
      <w:r>
        <w:rPr>
          <w:rFonts w:ascii="Times New Roman" w:cs="Times New Roman" w:eastAsia="Times New Roman" w:hAnsi="Times New Roman"/>
          <w:b/>
          <w:bCs/>
          <w:sz w:val="22"/>
          <w:szCs w:val="22"/>
        </w:rPr>
        <w:t xml:space="preserve">D.2 Deterministic Inspection Points</w:t>
      </w:r>
    </w:p>
    <w:p>
      <w:pPr>
        <w:spacing w:after="120" w:line="276" w:lineRule="exact"/>
        <w:jc w:val="both"/>
      </w:pPr>
      <w:r>
        <w:rPr>
          <w:rFonts w:ascii="Times New Roman" w:cs="Times New Roman" w:eastAsia="Times New Roman" w:hAnsi="Times New Roman"/>
          <w:b/>
          <w:bCs/>
          <w:sz w:val="22"/>
          <w:szCs w:val="22"/>
        </w:rPr>
        <w:t xml:space="preserve">Inspection must occur at defined locations within Tenant boundaries. These points must:</w:t>
      </w:r>
    </w:p>
    <w:p>
      <w:pPr>
        <w:spacing w:after="120" w:line="276" w:lineRule="exact"/>
        <w:jc w:val="both"/>
      </w:pPr>
      <w:r>
        <w:rPr>
          <w:rFonts w:ascii="Times New Roman" w:cs="Times New Roman" w:eastAsia="Times New Roman" w:hAnsi="Times New Roman"/>
          <w:sz w:val="22"/>
          <w:szCs w:val="22"/>
        </w:rPr>
        <w:t xml:space="preserve">Mirror traffic without altering routing semantics</w:t>
      </w:r>
    </w:p>
    <w:p>
      <w:pPr>
        <w:spacing w:after="120" w:line="276" w:lineRule="exact"/>
        <w:jc w:val="both"/>
      </w:pPr>
      <w:r>
        <w:rPr>
          <w:rFonts w:ascii="Times New Roman" w:cs="Times New Roman" w:eastAsia="Times New Roman" w:hAnsi="Times New Roman"/>
          <w:sz w:val="22"/>
          <w:szCs w:val="22"/>
        </w:rPr>
        <w:t xml:space="preserve">Log mediation decisions</w:t>
      </w:r>
    </w:p>
    <w:p>
      <w:pPr>
        <w:spacing w:after="120" w:line="276" w:lineRule="exact"/>
        <w:jc w:val="both"/>
      </w:pPr>
      <w:r>
        <w:rPr>
          <w:rFonts w:ascii="Times New Roman" w:cs="Times New Roman" w:eastAsia="Times New Roman" w:hAnsi="Times New Roman"/>
          <w:sz w:val="22"/>
          <w:szCs w:val="22"/>
        </w:rPr>
        <w:t xml:space="preserve">Preserve isolation boundaries</w:t>
      </w:r>
    </w:p>
    <w:p>
      <w:pPr>
        <w:spacing w:after="120" w:line="276" w:lineRule="exact"/>
        <w:jc w:val="both"/>
      </w:pPr>
      <w:r>
        <w:rPr>
          <w:rFonts w:ascii="Times New Roman" w:cs="Times New Roman" w:eastAsia="Times New Roman" w:hAnsi="Times New Roman"/>
          <w:sz w:val="22"/>
          <w:szCs w:val="22"/>
        </w:rPr>
        <w:t xml:space="preserve">Support export to enterprise analysis systems</w:t>
      </w:r>
    </w:p>
    <w:p>
      <w:pPr>
        <w:spacing w:after="120" w:line="276" w:lineRule="exact"/>
        <w:jc w:val="both"/>
      </w:pPr>
      <w:r>
        <w:rPr>
          <w:rFonts w:ascii="Times New Roman" w:cs="Times New Roman" w:eastAsia="Times New Roman" w:hAnsi="Times New Roman"/>
          <w:b/>
          <w:bCs/>
          <w:sz w:val="22"/>
          <w:szCs w:val="22"/>
        </w:rPr>
        <w:t xml:space="preserve">The invariant:</w:t>
      </w:r>
    </w:p>
    <w:p>
      <w:pPr>
        <w:spacing w:after="120" w:line="276" w:lineRule="exact"/>
        <w:jc w:val="both"/>
      </w:pPr>
      <w:r>
        <w:rPr>
          <w:rFonts w:ascii="Times New Roman" w:cs="Times New Roman" w:eastAsia="Times New Roman" w:hAnsi="Times New Roman"/>
          <w:sz w:val="22"/>
          <w:szCs w:val="22"/>
        </w:rPr>
        <w:t xml:space="preserve">Visibility must not alter exposure semantics.</w:t>
      </w:r>
    </w:p>
    <w:p>
      <w:pPr>
        <w:pStyle w:val="Heading2"/>
      </w:pPr>
      <w:r>
        <w:rPr>
          <w:rFonts w:ascii="Times New Roman" w:cs="Times New Roman" w:eastAsia="Times New Roman" w:hAnsi="Times New Roman"/>
          <w:b/>
          <w:bCs/>
          <w:sz w:val="22"/>
          <w:szCs w:val="22"/>
        </w:rPr>
        <w:t xml:space="preserve">D.3 Implementation Requirements</w:t>
      </w:r>
    </w:p>
    <w:p>
      <w:pPr>
        <w:spacing w:after="120" w:line="276" w:lineRule="exact"/>
        <w:jc w:val="both"/>
      </w:pPr>
      <w:r>
        <w:rPr>
          <w:rFonts w:ascii="Times New Roman" w:cs="Times New Roman" w:eastAsia="Times New Roman" w:hAnsi="Times New Roman"/>
          <w:b/>
          <w:bCs/>
          <w:sz w:val="22"/>
          <w:szCs w:val="22"/>
        </w:rPr>
        <w:t xml:space="preserve">Traffic Mirroring Hooks</w:t>
      </w:r>
    </w:p>
    <w:p>
      <w:pPr>
        <w:spacing w:after="120" w:line="276" w:lineRule="exact"/>
        <w:jc w:val="both"/>
      </w:pPr>
      <w:r>
        <w:rPr>
          <w:rFonts w:ascii="Times New Roman" w:cs="Times New Roman" w:eastAsia="Times New Roman" w:hAnsi="Times New Roman"/>
          <w:sz w:val="22"/>
          <w:szCs w:val="22"/>
        </w:rPr>
        <w:t xml:space="preserve">The platform provides defined points within tenant mediation layers where traffic can be mirrored or copied for inspection.</w:t>
      </w:r>
    </w:p>
    <w:p>
      <w:pPr>
        <w:spacing w:after="120" w:line="276" w:lineRule="exact"/>
        <w:jc w:val="both"/>
      </w:pPr>
      <w:r>
        <w:rPr>
          <w:rFonts w:ascii="Times New Roman" w:cs="Times New Roman" w:eastAsia="Times New Roman" w:hAnsi="Times New Roman"/>
          <w:b/>
          <w:bCs/>
          <w:sz w:val="22"/>
          <w:szCs w:val="22"/>
        </w:rPr>
        <w:t xml:space="preserve">Export Pipelines</w:t>
      </w:r>
    </w:p>
    <w:p>
      <w:pPr>
        <w:spacing w:after="120" w:line="276" w:lineRule="exact"/>
        <w:jc w:val="both"/>
      </w:pPr>
      <w:r>
        <w:rPr>
          <w:rFonts w:ascii="Times New Roman" w:cs="Times New Roman" w:eastAsia="Times New Roman" w:hAnsi="Times New Roman"/>
          <w:sz w:val="22"/>
          <w:szCs w:val="22"/>
        </w:rPr>
        <w:t xml:space="preserve">Mirrored traffic or telemetry is exported to enterprise SIEM, analysis platforms, or data lakes through dedicated export channels that respect tenant isolation.</w:t>
      </w:r>
    </w:p>
    <w:p>
      <w:pPr>
        <w:spacing w:after="120" w:line="276" w:lineRule="exact"/>
        <w:jc w:val="both"/>
      </w:pPr>
      <w:r>
        <w:rPr>
          <w:rFonts w:ascii="Times New Roman" w:cs="Times New Roman" w:eastAsia="Times New Roman" w:hAnsi="Times New Roman"/>
          <w:b/>
          <w:bCs/>
          <w:sz w:val="22"/>
          <w:szCs w:val="22"/>
        </w:rPr>
        <w:t xml:space="preserve">Inspection Addon Modules</w:t>
      </w:r>
    </w:p>
    <w:p>
      <w:pPr>
        <w:spacing w:after="120" w:line="276" w:lineRule="exact"/>
        <w:jc w:val="both"/>
      </w:pPr>
      <w:r>
        <w:rPr>
          <w:rFonts w:ascii="Times New Roman" w:cs="Times New Roman" w:eastAsia="Times New Roman" w:hAnsi="Times New Roman"/>
          <w:sz w:val="22"/>
          <w:szCs w:val="22"/>
        </w:rPr>
        <w:t xml:space="preserve">The architecture supports integration of inspection capabilities (DLP, malware scanning, protocol analysis) through controlled extension points.</w:t>
      </w:r>
    </w:p>
    <w:p>
      <w:pPr>
        <w:spacing w:after="120" w:line="276" w:lineRule="exact"/>
        <w:jc w:val="both"/>
      </w:pPr>
      <w:r>
        <w:rPr>
          <w:rFonts w:ascii="Times New Roman" w:cs="Times New Roman" w:eastAsia="Times New Roman" w:hAnsi="Times New Roman"/>
          <w:b/>
          <w:bCs/>
          <w:sz w:val="22"/>
          <w:szCs w:val="22"/>
        </w:rPr>
        <w:t xml:space="preserve">Policy-Controlled Activation</w:t>
      </w:r>
    </w:p>
    <w:p>
      <w:pPr>
        <w:spacing w:after="120" w:line="276" w:lineRule="exact"/>
        <w:jc w:val="both"/>
      </w:pPr>
      <w:r>
        <w:rPr>
          <w:rFonts w:ascii="Times New Roman" w:cs="Times New Roman" w:eastAsia="Times New Roman" w:hAnsi="Times New Roman"/>
          <w:sz w:val="22"/>
          <w:szCs w:val="22"/>
        </w:rPr>
        <w:t xml:space="preserve">Inspection is explicitly enabled per tenant based on policy requirements. It is not universally applied by default.</w:t>
      </w:r>
    </w:p>
    <w:p>
      <w:pPr>
        <w:pStyle w:val="Heading2"/>
      </w:pPr>
      <w:r>
        <w:rPr>
          <w:rFonts w:ascii="Times New Roman" w:cs="Times New Roman" w:eastAsia="Times New Roman" w:hAnsi="Times New Roman"/>
          <w:b/>
          <w:bCs/>
          <w:sz w:val="22"/>
          <w:szCs w:val="22"/>
        </w:rPr>
        <w:t xml:space="preserve">D.4 Failure Modes Prevented</w:t>
      </w:r>
    </w:p>
    <w:p>
      <w:pPr>
        <w:spacing w:after="120" w:line="276" w:lineRule="exact"/>
        <w:jc w:val="both"/>
      </w:pPr>
      <w:r>
        <w:rPr>
          <w:rFonts w:ascii="Times New Roman" w:cs="Times New Roman" w:eastAsia="Times New Roman" w:hAnsi="Times New Roman"/>
          <w:sz w:val="22"/>
          <w:szCs w:val="22"/>
        </w:rPr>
        <w:t xml:space="preserve">Undetected lateral movement within tenant scope</w:t>
      </w:r>
    </w:p>
    <w:p>
      <w:pPr>
        <w:spacing w:after="120" w:line="276" w:lineRule="exact"/>
        <w:jc w:val="both"/>
      </w:pPr>
      <w:r>
        <w:rPr>
          <w:rFonts w:ascii="Times New Roman" w:cs="Times New Roman" w:eastAsia="Times New Roman" w:hAnsi="Times New Roman"/>
          <w:sz w:val="22"/>
          <w:szCs w:val="22"/>
        </w:rPr>
        <w:t xml:space="preserve">Inspection bypass via alternate routes</w:t>
      </w:r>
    </w:p>
    <w:p>
      <w:pPr>
        <w:spacing w:after="120" w:line="276" w:lineRule="exact"/>
        <w:jc w:val="both"/>
      </w:pPr>
      <w:r>
        <w:rPr>
          <w:rFonts w:ascii="Times New Roman" w:cs="Times New Roman" w:eastAsia="Times New Roman" w:hAnsi="Times New Roman"/>
          <w:sz w:val="22"/>
          <w:szCs w:val="22"/>
        </w:rPr>
        <w:t xml:space="preserve">Loss of audit trace due to distributed logging inconsistencies</w:t>
      </w:r>
    </w:p>
    <w:p>
      <w:pPr>
        <w:pStyle w:val="Heading2"/>
      </w:pPr>
      <w:r>
        <w:rPr>
          <w:rFonts w:ascii="Times New Roman" w:cs="Times New Roman" w:eastAsia="Times New Roman" w:hAnsi="Times New Roman"/>
          <w:b/>
          <w:bCs/>
          <w:sz w:val="22"/>
          <w:szCs w:val="22"/>
        </w:rPr>
        <w:t xml:space="preserve">D.5 Validation Criteria</w:t>
      </w:r>
    </w:p>
    <w:p>
      <w:pPr>
        <w:spacing w:after="120" w:line="276" w:lineRule="exact"/>
        <w:jc w:val="both"/>
      </w:pPr>
      <w:r>
        <w:rPr>
          <w:rFonts w:ascii="Times New Roman" w:cs="Times New Roman" w:eastAsia="Times New Roman" w:hAnsi="Times New Roman"/>
          <w:b/>
          <w:bCs/>
          <w:sz w:val="22"/>
          <w:szCs w:val="22"/>
        </w:rPr>
        <w:t xml:space="preserve">An implementation satisfies visibility invariants if:</w:t>
      </w:r>
    </w:p>
    <w:p>
      <w:pPr>
        <w:spacing w:after="120" w:line="276" w:lineRule="exact"/>
        <w:jc w:val="both"/>
      </w:pPr>
      <w:r>
        <w:rPr>
          <w:rFonts w:ascii="Times New Roman" w:cs="Times New Roman" w:eastAsia="Times New Roman" w:hAnsi="Times New Roman"/>
          <w:sz w:val="22"/>
          <w:szCs w:val="22"/>
        </w:rPr>
        <w:t xml:space="preserve">Inspection can be enabled per Tenant without topology redesign</w:t>
      </w:r>
    </w:p>
    <w:p>
      <w:pPr>
        <w:spacing w:after="120" w:line="276" w:lineRule="exact"/>
        <w:jc w:val="both"/>
      </w:pPr>
      <w:r>
        <w:rPr>
          <w:rFonts w:ascii="Times New Roman" w:cs="Times New Roman" w:eastAsia="Times New Roman" w:hAnsi="Times New Roman"/>
          <w:sz w:val="22"/>
          <w:szCs w:val="22"/>
        </w:rPr>
        <w:t xml:space="preserve">Logging reflects mediation and identity outcomes</w:t>
      </w:r>
    </w:p>
    <w:p>
      <w:pPr>
        <w:spacing w:after="120" w:line="276" w:lineRule="exact"/>
        <w:jc w:val="both"/>
      </w:pPr>
      <w:r>
        <w:rPr>
          <w:rFonts w:ascii="Times New Roman" w:cs="Times New Roman" w:eastAsia="Times New Roman" w:hAnsi="Times New Roman"/>
          <w:sz w:val="22"/>
          <w:szCs w:val="22"/>
        </w:rPr>
        <w:t xml:space="preserve">Mirrored traffic cannot escape containment domains</w:t>
      </w:r>
    </w:p>
    <w:p>
      <w:pPr>
        <w:spacing w:after="120" w:line="276" w:lineRule="exact"/>
        <w:jc w:val="both"/>
      </w:pPr>
      <w:r>
        <w:rPr>
          <w:rFonts w:ascii="Times New Roman" w:cs="Times New Roman" w:eastAsia="Times New Roman" w:hAnsi="Times New Roman"/>
          <w:sz w:val="22"/>
          <w:szCs w:val="22"/>
        </w:rPr>
        <w:t xml:space="preserve">Disabling inspection does not alter routing behavior</w:t>
      </w:r>
    </w:p>
    <w:p>
      <w:pPr>
        <w:spacing w:after="120" w:line="276" w:lineRule="exact"/>
        <w:jc w:val="both"/>
      </w:pPr>
      <w:r>
        <w:rPr>
          <w:rFonts w:ascii="Times New Roman" w:cs="Times New Roman" w:eastAsia="Times New Roman" w:hAnsi="Times New Roman"/>
          <w:sz w:val="22"/>
          <w:szCs w:val="22"/>
        </w:rPr>
        <w:t xml:space="preserve">Inspection strengthens assurance without expanding exposure.</w:t>
      </w:r>
    </w:p>
    <w:p>
      <w:r>
        <w:br w:type="page"/>
      </w:r>
    </w:p>
    <w:p>
      <w:pPr>
        <w:pStyle w:val="Heading1"/>
      </w:pPr>
      <w:r>
        <w:rPr>
          <w:rFonts w:ascii="Times New Roman" w:cs="Times New Roman" w:eastAsia="Times New Roman" w:hAnsi="Times New Roman"/>
          <w:b/>
          <w:bCs/>
          <w:caps/>
          <w:sz w:val="26"/>
          <w:szCs w:val="26"/>
        </w:rPr>
        <w:t xml:space="preserve">APPENDIX E — LIFECYCLE ENFORCEMENT AND REVERSIBILITY</w:t>
      </w:r>
    </w:p>
    <w:p>
      <w:pPr>
        <w:pStyle w:val="Heading2"/>
      </w:pPr>
      <w:r>
        <w:rPr>
          <w:rFonts w:ascii="Times New Roman" w:cs="Times New Roman" w:eastAsia="Times New Roman" w:hAnsi="Times New Roman"/>
          <w:b/>
          <w:bCs/>
          <w:sz w:val="22"/>
          <w:szCs w:val="22"/>
        </w:rPr>
        <w:t xml:space="preserve">E.1 Accumulation as the Historical Failure Mode</w:t>
      </w:r>
    </w:p>
    <w:p>
      <w:pPr>
        <w:spacing w:after="120" w:line="276" w:lineRule="exact"/>
        <w:jc w:val="both"/>
      </w:pPr>
      <w:r>
        <w:rPr>
          <w:rFonts w:ascii="Times New Roman" w:cs="Times New Roman" w:eastAsia="Times New Roman" w:hAnsi="Times New Roman"/>
          <w:sz w:val="22"/>
          <w:szCs w:val="22"/>
        </w:rPr>
        <w:t xml:space="preserve">Provisioning is engineered. Decommissioning is avoided. Over years, exposure domains persist without active justification.</w:t>
      </w:r>
    </w:p>
    <w:p>
      <w:pPr>
        <w:spacing w:after="120" w:line="276" w:lineRule="exact"/>
        <w:jc w:val="both"/>
      </w:pPr>
      <w:r>
        <w:rPr>
          <w:rFonts w:ascii="Times New Roman" w:cs="Times New Roman" w:eastAsia="Times New Roman" w:hAnsi="Times New Roman"/>
          <w:sz w:val="22"/>
          <w:szCs w:val="22"/>
        </w:rPr>
        <w:t xml:space="preserve">Residual connectivity becomes latent risk.</w:t>
      </w:r>
    </w:p>
    <w:p>
      <w:pPr>
        <w:pStyle w:val="Heading2"/>
      </w:pPr>
      <w:r>
        <w:rPr>
          <w:rFonts w:ascii="Times New Roman" w:cs="Times New Roman" w:eastAsia="Times New Roman" w:hAnsi="Times New Roman"/>
          <w:b/>
          <w:bCs/>
          <w:sz w:val="22"/>
          <w:szCs w:val="22"/>
        </w:rPr>
        <w:t xml:space="preserve">E.2 Reversibility as Structural Discipline</w:t>
      </w:r>
    </w:p>
    <w:p>
      <w:pPr>
        <w:spacing w:after="120" w:line="276" w:lineRule="exact"/>
        <w:jc w:val="both"/>
      </w:pPr>
      <w:r>
        <w:rPr>
          <w:rFonts w:ascii="Times New Roman" w:cs="Times New Roman" w:eastAsia="Times New Roman" w:hAnsi="Times New Roman"/>
          <w:b/>
          <w:bCs/>
          <w:sz w:val="22"/>
          <w:szCs w:val="22"/>
        </w:rPr>
        <w:t xml:space="preserve">The architecture must enforce:</w:t>
      </w:r>
    </w:p>
    <w:p>
      <w:pPr>
        <w:spacing w:after="120" w:line="276" w:lineRule="exact"/>
        <w:jc w:val="both"/>
      </w:pPr>
      <w:r>
        <w:rPr>
          <w:rFonts w:ascii="Times New Roman" w:cs="Times New Roman" w:eastAsia="Times New Roman" w:hAnsi="Times New Roman"/>
          <w:sz w:val="22"/>
          <w:szCs w:val="22"/>
        </w:rPr>
        <w:t xml:space="preserve">Idempotent provisioning from authoritative state</w:t>
      </w:r>
    </w:p>
    <w:p>
      <w:pPr>
        <w:spacing w:after="120" w:line="276" w:lineRule="exact"/>
        <w:jc w:val="both"/>
      </w:pPr>
      <w:r>
        <w:rPr>
          <w:rFonts w:ascii="Times New Roman" w:cs="Times New Roman" w:eastAsia="Times New Roman" w:hAnsi="Times New Roman"/>
          <w:sz w:val="22"/>
          <w:szCs w:val="22"/>
        </w:rPr>
        <w:t xml:space="preserve">Deterministic teardown removing all constructs</w:t>
      </w:r>
    </w:p>
    <w:p>
      <w:pPr>
        <w:spacing w:after="120" w:line="276" w:lineRule="exact"/>
        <w:jc w:val="both"/>
      </w:pPr>
      <w:r>
        <w:rPr>
          <w:rFonts w:ascii="Times New Roman" w:cs="Times New Roman" w:eastAsia="Times New Roman" w:hAnsi="Times New Roman"/>
          <w:sz w:val="22"/>
          <w:szCs w:val="22"/>
        </w:rPr>
        <w:t xml:space="preserve">Suspension capability without partial dismantling</w:t>
      </w:r>
    </w:p>
    <w:p>
      <w:pPr>
        <w:spacing w:after="120" w:line="276" w:lineRule="exact"/>
        <w:jc w:val="both"/>
      </w:pPr>
      <w:r>
        <w:rPr>
          <w:rFonts w:ascii="Times New Roman" w:cs="Times New Roman" w:eastAsia="Times New Roman" w:hAnsi="Times New Roman"/>
          <w:sz w:val="22"/>
          <w:szCs w:val="22"/>
        </w:rPr>
        <w:t xml:space="preserve">Renewal requiring explicit reauthorization</w:t>
      </w:r>
    </w:p>
    <w:p>
      <w:pPr>
        <w:spacing w:after="120" w:line="276" w:lineRule="exact"/>
        <w:jc w:val="both"/>
      </w:pPr>
      <w:r>
        <w:rPr>
          <w:rFonts w:ascii="Times New Roman" w:cs="Times New Roman" w:eastAsia="Times New Roman" w:hAnsi="Times New Roman"/>
          <w:b/>
          <w:bCs/>
          <w:sz w:val="22"/>
          <w:szCs w:val="22"/>
        </w:rPr>
        <w:t xml:space="preserve">The invariant:</w:t>
      </w:r>
    </w:p>
    <w:p>
      <w:pPr>
        <w:spacing w:after="120" w:line="276" w:lineRule="exact"/>
        <w:jc w:val="both"/>
      </w:pPr>
      <w:r>
        <w:rPr>
          <w:rFonts w:ascii="Times New Roman" w:cs="Times New Roman" w:eastAsia="Times New Roman" w:hAnsi="Times New Roman"/>
          <w:sz w:val="22"/>
          <w:szCs w:val="22"/>
        </w:rPr>
        <w:t xml:space="preserve">Exposure persists only while declared.</w:t>
      </w:r>
    </w:p>
    <w:p>
      <w:pPr>
        <w:pStyle w:val="Heading2"/>
      </w:pPr>
      <w:r>
        <w:rPr>
          <w:rFonts w:ascii="Times New Roman" w:cs="Times New Roman" w:eastAsia="Times New Roman" w:hAnsi="Times New Roman"/>
          <w:b/>
          <w:bCs/>
          <w:sz w:val="22"/>
          <w:szCs w:val="22"/>
        </w:rPr>
        <w:t xml:space="preserve">E.3 Implementation Requirements</w:t>
      </w:r>
    </w:p>
    <w:p>
      <w:pPr>
        <w:spacing w:after="120" w:line="276" w:lineRule="exact"/>
        <w:jc w:val="both"/>
      </w:pPr>
      <w:r>
        <w:rPr>
          <w:rFonts w:ascii="Times New Roman" w:cs="Times New Roman" w:eastAsia="Times New Roman" w:hAnsi="Times New Roman"/>
          <w:b/>
          <w:bCs/>
          <w:sz w:val="22"/>
          <w:szCs w:val="22"/>
        </w:rPr>
        <w:t xml:space="preserve">Declarative Configuration Templates</w:t>
      </w:r>
    </w:p>
    <w:p>
      <w:pPr>
        <w:spacing w:after="120" w:line="276" w:lineRule="exact"/>
        <w:jc w:val="both"/>
      </w:pPr>
      <w:r>
        <w:rPr>
          <w:rFonts w:ascii="Times New Roman" w:cs="Times New Roman" w:eastAsia="Times New Roman" w:hAnsi="Times New Roman"/>
          <w:sz w:val="22"/>
          <w:szCs w:val="22"/>
        </w:rPr>
        <w:t xml:space="preserve">Tenant definitions are expressed in declarative configuration formats that serve as authoritative state. Provisioning applies this state idempotently.</w:t>
      </w:r>
    </w:p>
    <w:p>
      <w:pPr>
        <w:spacing w:after="120" w:line="276" w:lineRule="exact"/>
        <w:jc w:val="both"/>
      </w:pPr>
      <w:r>
        <w:rPr>
          <w:rFonts w:ascii="Times New Roman" w:cs="Times New Roman" w:eastAsia="Times New Roman" w:hAnsi="Times New Roman"/>
          <w:b/>
          <w:bCs/>
          <w:sz w:val="22"/>
          <w:szCs w:val="22"/>
        </w:rPr>
        <w:t xml:space="preserve">Lifecycle Orchestration</w:t>
      </w:r>
    </w:p>
    <w:p>
      <w:pPr>
        <w:spacing w:after="120" w:line="276" w:lineRule="exact"/>
        <w:jc w:val="both"/>
      </w:pPr>
      <w:r>
        <w:rPr>
          <w:rFonts w:ascii="Times New Roman" w:cs="Times New Roman" w:eastAsia="Times New Roman" w:hAnsi="Times New Roman"/>
          <w:sz w:val="22"/>
          <w:szCs w:val="22"/>
        </w:rPr>
        <w:t xml:space="preserve">Automated workflows manage tenant creation, modification, suspension, and deletion based on lifecycle events (expiration, ownership change, application retirement).</w:t>
      </w:r>
    </w:p>
    <w:p>
      <w:pPr>
        <w:spacing w:after="120" w:line="276" w:lineRule="exact"/>
        <w:jc w:val="both"/>
      </w:pPr>
      <w:r>
        <w:rPr>
          <w:rFonts w:ascii="Times New Roman" w:cs="Times New Roman" w:eastAsia="Times New Roman" w:hAnsi="Times New Roman"/>
          <w:b/>
          <w:bCs/>
          <w:sz w:val="22"/>
          <w:szCs w:val="22"/>
        </w:rPr>
        <w:t xml:space="preserve">Idempotent State Application</w:t>
      </w:r>
    </w:p>
    <w:p>
      <w:pPr>
        <w:spacing w:after="120" w:line="276" w:lineRule="exact"/>
        <w:jc w:val="both"/>
      </w:pPr>
      <w:r>
        <w:rPr>
          <w:rFonts w:ascii="Times New Roman" w:cs="Times New Roman" w:eastAsia="Times New Roman" w:hAnsi="Times New Roman"/>
          <w:sz w:val="22"/>
          <w:szCs w:val="22"/>
        </w:rPr>
        <w:t xml:space="preserve">Applying the same tenant configuration multiple times produces identical results without side effects or configuration drift.</w:t>
      </w:r>
    </w:p>
    <w:p>
      <w:pPr>
        <w:spacing w:after="120" w:line="276" w:lineRule="exact"/>
        <w:jc w:val="both"/>
      </w:pPr>
      <w:r>
        <w:rPr>
          <w:rFonts w:ascii="Times New Roman" w:cs="Times New Roman" w:eastAsia="Times New Roman" w:hAnsi="Times New Roman"/>
          <w:b/>
          <w:bCs/>
          <w:sz w:val="22"/>
          <w:szCs w:val="22"/>
        </w:rPr>
        <w:t xml:space="preserve">Deterministic Teardown Routines</w:t>
      </w:r>
    </w:p>
    <w:p>
      <w:pPr>
        <w:spacing w:after="120" w:line="276" w:lineRule="exact"/>
        <w:jc w:val="both"/>
      </w:pPr>
      <w:r>
        <w:rPr>
          <w:rFonts w:ascii="Times New Roman" w:cs="Times New Roman" w:eastAsia="Times New Roman" w:hAnsi="Times New Roman"/>
          <w:b/>
          <w:bCs/>
          <w:sz w:val="22"/>
          <w:szCs w:val="22"/>
        </w:rPr>
        <w:t xml:space="preserve">Deletion of a tenant triggers removal of:</w:t>
      </w:r>
    </w:p>
    <w:p>
      <w:pPr>
        <w:spacing w:after="120" w:line="276" w:lineRule="exact"/>
        <w:jc w:val="both"/>
      </w:pPr>
      <w:r>
        <w:rPr>
          <w:rFonts w:ascii="Times New Roman" w:cs="Times New Roman" w:eastAsia="Times New Roman" w:hAnsi="Times New Roman"/>
          <w:sz w:val="22"/>
          <w:szCs w:val="22"/>
        </w:rPr>
        <w:t xml:space="preserve">Routing contexts and forwarding tables</w:t>
      </w:r>
    </w:p>
    <w:p>
      <w:pPr>
        <w:spacing w:after="120" w:line="276" w:lineRule="exact"/>
        <w:jc w:val="both"/>
      </w:pPr>
      <w:r>
        <w:rPr>
          <w:rFonts w:ascii="Times New Roman" w:cs="Times New Roman" w:eastAsia="Times New Roman" w:hAnsi="Times New Roman"/>
          <w:sz w:val="22"/>
          <w:szCs w:val="22"/>
        </w:rPr>
        <w:t xml:space="preserve">Tunnel endpoints and transport state</w:t>
      </w:r>
    </w:p>
    <w:p>
      <w:pPr>
        <w:spacing w:after="120" w:line="276" w:lineRule="exact"/>
        <w:jc w:val="both"/>
      </w:pPr>
      <w:r>
        <w:rPr>
          <w:rFonts w:ascii="Times New Roman" w:cs="Times New Roman" w:eastAsia="Times New Roman" w:hAnsi="Times New Roman"/>
          <w:sz w:val="22"/>
          <w:szCs w:val="22"/>
        </w:rPr>
        <w:t xml:space="preserve">Mediation proxies and enforcement constructs</w:t>
      </w:r>
    </w:p>
    <w:p>
      <w:pPr>
        <w:spacing w:after="120" w:line="276" w:lineRule="exact"/>
        <w:jc w:val="both"/>
      </w:pPr>
      <w:r>
        <w:rPr>
          <w:rFonts w:ascii="Times New Roman" w:cs="Times New Roman" w:eastAsia="Times New Roman" w:hAnsi="Times New Roman"/>
          <w:sz w:val="22"/>
          <w:szCs w:val="22"/>
        </w:rPr>
        <w:t xml:space="preserve">Identity stores and certificate trust anchors</w:t>
      </w:r>
    </w:p>
    <w:p>
      <w:pPr>
        <w:spacing w:after="120" w:line="276" w:lineRule="exact"/>
        <w:jc w:val="both"/>
      </w:pPr>
      <w:r>
        <w:rPr>
          <w:rFonts w:ascii="Times New Roman" w:cs="Times New Roman" w:eastAsia="Times New Roman" w:hAnsi="Times New Roman"/>
          <w:sz w:val="22"/>
          <w:szCs w:val="22"/>
        </w:rPr>
        <w:t xml:space="preserve">Inspection hooks and telemetry export configurations</w:t>
      </w:r>
    </w:p>
    <w:p>
      <w:pPr>
        <w:spacing w:after="120" w:line="276" w:lineRule="exact"/>
        <w:jc w:val="both"/>
      </w:pPr>
      <w:r>
        <w:rPr>
          <w:rFonts w:ascii="Times New Roman" w:cs="Times New Roman" w:eastAsia="Times New Roman" w:hAnsi="Times New Roman"/>
          <w:sz w:val="22"/>
          <w:szCs w:val="22"/>
        </w:rPr>
        <w:t xml:space="preserve">No residual artifacts remain after teardown.</w:t>
      </w:r>
    </w:p>
    <w:p>
      <w:pPr>
        <w:pStyle w:val="Heading2"/>
      </w:pPr>
      <w:r>
        <w:rPr>
          <w:rFonts w:ascii="Times New Roman" w:cs="Times New Roman" w:eastAsia="Times New Roman" w:hAnsi="Times New Roman"/>
          <w:b/>
          <w:bCs/>
          <w:sz w:val="22"/>
          <w:szCs w:val="22"/>
        </w:rPr>
        <w:t xml:space="preserve">E.4 Failure Modes Prevented</w:t>
      </w:r>
    </w:p>
    <w:p>
      <w:pPr>
        <w:spacing w:after="120" w:line="276" w:lineRule="exact"/>
        <w:jc w:val="both"/>
      </w:pPr>
      <w:r>
        <w:rPr>
          <w:rFonts w:ascii="Times New Roman" w:cs="Times New Roman" w:eastAsia="Times New Roman" w:hAnsi="Times New Roman"/>
          <w:sz w:val="22"/>
          <w:szCs w:val="22"/>
        </w:rPr>
        <w:t xml:space="preserve">Orphaned tunnels</w:t>
      </w:r>
    </w:p>
    <w:p>
      <w:pPr>
        <w:spacing w:after="120" w:line="276" w:lineRule="exact"/>
        <w:jc w:val="both"/>
      </w:pPr>
      <w:r>
        <w:rPr>
          <w:rFonts w:ascii="Times New Roman" w:cs="Times New Roman" w:eastAsia="Times New Roman" w:hAnsi="Times New Roman"/>
          <w:sz w:val="22"/>
          <w:szCs w:val="22"/>
        </w:rPr>
        <w:t xml:space="preserve">Residual firewall rules</w:t>
      </w:r>
    </w:p>
    <w:p>
      <w:pPr>
        <w:spacing w:after="120" w:line="276" w:lineRule="exact"/>
        <w:jc w:val="both"/>
      </w:pPr>
      <w:r>
        <w:rPr>
          <w:rFonts w:ascii="Times New Roman" w:cs="Times New Roman" w:eastAsia="Times New Roman" w:hAnsi="Times New Roman"/>
          <w:sz w:val="22"/>
          <w:szCs w:val="22"/>
        </w:rPr>
        <w:t xml:space="preserve">Undocumented route propagation</w:t>
      </w:r>
    </w:p>
    <w:p>
      <w:pPr>
        <w:spacing w:after="120" w:line="276" w:lineRule="exact"/>
        <w:jc w:val="both"/>
      </w:pPr>
      <w:r>
        <w:rPr>
          <w:rFonts w:ascii="Times New Roman" w:cs="Times New Roman" w:eastAsia="Times New Roman" w:hAnsi="Times New Roman"/>
          <w:sz w:val="22"/>
          <w:szCs w:val="22"/>
        </w:rPr>
        <w:t xml:space="preserve">Persistent trust after business termination</w:t>
      </w:r>
    </w:p>
    <w:p>
      <w:pPr>
        <w:pStyle w:val="Heading2"/>
      </w:pPr>
      <w:r>
        <w:rPr>
          <w:rFonts w:ascii="Times New Roman" w:cs="Times New Roman" w:eastAsia="Times New Roman" w:hAnsi="Times New Roman"/>
          <w:b/>
          <w:bCs/>
          <w:sz w:val="22"/>
          <w:szCs w:val="22"/>
        </w:rPr>
        <w:t xml:space="preserve">E.5 Validation Criteria</w:t>
      </w:r>
    </w:p>
    <w:p>
      <w:pPr>
        <w:spacing w:after="120" w:line="276" w:lineRule="exact"/>
        <w:jc w:val="both"/>
      </w:pPr>
      <w:r>
        <w:rPr>
          <w:rFonts w:ascii="Times New Roman" w:cs="Times New Roman" w:eastAsia="Times New Roman" w:hAnsi="Times New Roman"/>
          <w:b/>
          <w:bCs/>
          <w:sz w:val="22"/>
          <w:szCs w:val="22"/>
        </w:rPr>
        <w:t xml:space="preserve">An implementation satisfies lifecycle invariants if:</w:t>
      </w:r>
    </w:p>
    <w:p>
      <w:pPr>
        <w:spacing w:after="120" w:line="276" w:lineRule="exact"/>
        <w:jc w:val="both"/>
      </w:pPr>
      <w:r>
        <w:rPr>
          <w:rFonts w:ascii="Times New Roman" w:cs="Times New Roman" w:eastAsia="Times New Roman" w:hAnsi="Times New Roman"/>
          <w:sz w:val="22"/>
          <w:szCs w:val="22"/>
        </w:rPr>
        <w:t xml:space="preserve">Complete removal of a Tenant eliminates all routing and mediation constructs</w:t>
      </w:r>
    </w:p>
    <w:p>
      <w:pPr>
        <w:spacing w:after="120" w:line="276" w:lineRule="exact"/>
        <w:jc w:val="both"/>
      </w:pPr>
      <w:r>
        <w:rPr>
          <w:rFonts w:ascii="Times New Roman" w:cs="Times New Roman" w:eastAsia="Times New Roman" w:hAnsi="Times New Roman"/>
          <w:sz w:val="22"/>
          <w:szCs w:val="22"/>
        </w:rPr>
        <w:t xml:space="preserve">Re-creation produces identical deterministic state</w:t>
      </w:r>
    </w:p>
    <w:p>
      <w:pPr>
        <w:spacing w:after="120" w:line="276" w:lineRule="exact"/>
        <w:jc w:val="both"/>
      </w:pPr>
      <w:r>
        <w:rPr>
          <w:rFonts w:ascii="Times New Roman" w:cs="Times New Roman" w:eastAsia="Times New Roman" w:hAnsi="Times New Roman"/>
          <w:sz w:val="22"/>
          <w:szCs w:val="22"/>
        </w:rPr>
        <w:t xml:space="preserve">Audit logs reflect lifecycle transitions</w:t>
      </w:r>
    </w:p>
    <w:p>
      <w:pPr>
        <w:spacing w:after="120" w:line="276" w:lineRule="exact"/>
        <w:jc w:val="both"/>
      </w:pPr>
      <w:r>
        <w:rPr>
          <w:rFonts w:ascii="Times New Roman" w:cs="Times New Roman" w:eastAsia="Times New Roman" w:hAnsi="Times New Roman"/>
          <w:sz w:val="22"/>
          <w:szCs w:val="22"/>
        </w:rPr>
        <w:t xml:space="preserve">Expiration without renewal results in enforced suspension</w:t>
      </w:r>
    </w:p>
    <w:p>
      <w:pPr>
        <w:spacing w:after="120" w:line="276" w:lineRule="exact"/>
        <w:jc w:val="both"/>
      </w:pPr>
      <w:r>
        <w:rPr>
          <w:rFonts w:ascii="Times New Roman" w:cs="Times New Roman" w:eastAsia="Times New Roman" w:hAnsi="Times New Roman"/>
          <w:sz w:val="22"/>
          <w:szCs w:val="22"/>
        </w:rPr>
        <w:t xml:space="preserve">Reversibility prevents systemic entropy.</w:t>
      </w:r>
    </w:p>
    <w:p>
      <w:r>
        <w:br w:type="page"/>
      </w:r>
    </w:p>
    <w:p>
      <w:pPr>
        <w:pStyle w:val="Heading1"/>
      </w:pPr>
      <w:r>
        <w:rPr>
          <w:rFonts w:ascii="Times New Roman" w:cs="Times New Roman" w:eastAsia="Times New Roman" w:hAnsi="Times New Roman"/>
          <w:b/>
          <w:bCs/>
          <w:caps/>
          <w:sz w:val="26"/>
          <w:szCs w:val="26"/>
        </w:rPr>
        <w:t xml:space="preserve">APPENDIX F — EXTENSIBILITY WITHOUT EROSION</w:t>
      </w:r>
    </w:p>
    <w:p>
      <w:pPr>
        <w:pStyle w:val="Heading2"/>
      </w:pPr>
      <w:r>
        <w:rPr>
          <w:rFonts w:ascii="Times New Roman" w:cs="Times New Roman" w:eastAsia="Times New Roman" w:hAnsi="Times New Roman"/>
          <w:b/>
          <w:bCs/>
          <w:sz w:val="22"/>
          <w:szCs w:val="22"/>
        </w:rPr>
        <w:t xml:space="preserve">F.1 The Extension Risk</w:t>
      </w:r>
    </w:p>
    <w:p>
      <w:pPr>
        <w:spacing w:after="120" w:line="276" w:lineRule="exact"/>
        <w:jc w:val="both"/>
      </w:pPr>
      <w:r>
        <w:rPr>
          <w:rFonts w:ascii="Times New Roman" w:cs="Times New Roman" w:eastAsia="Times New Roman" w:hAnsi="Times New Roman"/>
          <w:sz w:val="22"/>
          <w:szCs w:val="22"/>
        </w:rPr>
        <w:t xml:space="preserve">New protocols, inspection modules, and mediation types will be introduced over time. Without guardrails, these additions can bypass containment layers.</w:t>
      </w:r>
    </w:p>
    <w:p>
      <w:pPr>
        <w:pStyle w:val="Heading2"/>
      </w:pPr>
      <w:r>
        <w:rPr>
          <w:rFonts w:ascii="Times New Roman" w:cs="Times New Roman" w:eastAsia="Times New Roman" w:hAnsi="Times New Roman"/>
          <w:b/>
          <w:bCs/>
          <w:sz w:val="22"/>
          <w:szCs w:val="22"/>
        </w:rPr>
        <w:t xml:space="preserve">F.2 Guardrail-Enforced Extension Model</w:t>
      </w:r>
    </w:p>
    <w:p>
      <w:pPr>
        <w:spacing w:after="120" w:line="276" w:lineRule="exact"/>
        <w:jc w:val="both"/>
      </w:pPr>
      <w:r>
        <w:rPr>
          <w:rFonts w:ascii="Times New Roman" w:cs="Times New Roman" w:eastAsia="Times New Roman" w:hAnsi="Times New Roman"/>
          <w:b/>
          <w:bCs/>
          <w:sz w:val="22"/>
          <w:szCs w:val="22"/>
        </w:rPr>
        <w:t xml:space="preserve">Extensions must:</w:t>
      </w:r>
    </w:p>
    <w:p>
      <w:pPr>
        <w:spacing w:after="120" w:line="276" w:lineRule="exact"/>
        <w:jc w:val="both"/>
      </w:pPr>
      <w:r>
        <w:rPr>
          <w:rFonts w:ascii="Times New Roman" w:cs="Times New Roman" w:eastAsia="Times New Roman" w:hAnsi="Times New Roman"/>
          <w:sz w:val="22"/>
          <w:szCs w:val="22"/>
        </w:rPr>
        <w:t xml:space="preserve">Integrate through Tenant lifecycle hooks</w:t>
      </w:r>
    </w:p>
    <w:p>
      <w:pPr>
        <w:spacing w:after="120" w:line="276" w:lineRule="exact"/>
        <w:jc w:val="both"/>
      </w:pPr>
      <w:r>
        <w:rPr>
          <w:rFonts w:ascii="Times New Roman" w:cs="Times New Roman" w:eastAsia="Times New Roman" w:hAnsi="Times New Roman"/>
          <w:sz w:val="22"/>
          <w:szCs w:val="22"/>
        </w:rPr>
        <w:t xml:space="preserve">Inherit isolation and identity semantics</w:t>
      </w:r>
    </w:p>
    <w:p>
      <w:pPr>
        <w:spacing w:after="120" w:line="276" w:lineRule="exact"/>
        <w:jc w:val="both"/>
      </w:pPr>
      <w:r>
        <w:rPr>
          <w:rFonts w:ascii="Times New Roman" w:cs="Times New Roman" w:eastAsia="Times New Roman" w:hAnsi="Times New Roman"/>
          <w:sz w:val="22"/>
          <w:szCs w:val="22"/>
        </w:rPr>
        <w:t xml:space="preserve">Respect routing containment</w:t>
      </w:r>
    </w:p>
    <w:p>
      <w:pPr>
        <w:spacing w:after="120" w:line="276" w:lineRule="exact"/>
        <w:jc w:val="both"/>
      </w:pPr>
      <w:r>
        <w:rPr>
          <w:rFonts w:ascii="Times New Roman" w:cs="Times New Roman" w:eastAsia="Times New Roman" w:hAnsi="Times New Roman"/>
          <w:sz w:val="22"/>
          <w:szCs w:val="22"/>
        </w:rPr>
        <w:t xml:space="preserve">Avoid bypassing mediation constructs</w:t>
      </w:r>
    </w:p>
    <w:p>
      <w:pPr>
        <w:spacing w:after="120" w:line="276" w:lineRule="exact"/>
        <w:jc w:val="both"/>
      </w:pPr>
      <w:r>
        <w:rPr>
          <w:rFonts w:ascii="Times New Roman" w:cs="Times New Roman" w:eastAsia="Times New Roman" w:hAnsi="Times New Roman"/>
          <w:b/>
          <w:bCs/>
          <w:sz w:val="22"/>
          <w:szCs w:val="22"/>
        </w:rPr>
        <w:t xml:space="preserve">The invariant:</w:t>
      </w:r>
    </w:p>
    <w:p>
      <w:pPr>
        <w:spacing w:after="120" w:line="276" w:lineRule="exact"/>
        <w:jc w:val="both"/>
      </w:pPr>
      <w:r>
        <w:rPr>
          <w:rFonts w:ascii="Times New Roman" w:cs="Times New Roman" w:eastAsia="Times New Roman" w:hAnsi="Times New Roman"/>
          <w:sz w:val="22"/>
          <w:szCs w:val="22"/>
        </w:rPr>
        <w:t xml:space="preserve">No extension may operate outside Tenant structural context.</w:t>
      </w:r>
    </w:p>
    <w:p>
      <w:pPr>
        <w:pStyle w:val="Heading2"/>
      </w:pPr>
      <w:r>
        <w:rPr>
          <w:rFonts w:ascii="Times New Roman" w:cs="Times New Roman" w:eastAsia="Times New Roman" w:hAnsi="Times New Roman"/>
          <w:b/>
          <w:bCs/>
          <w:sz w:val="22"/>
          <w:szCs w:val="22"/>
        </w:rPr>
        <w:t xml:space="preserve">F.3 Implementation Requirements</w:t>
      </w:r>
    </w:p>
    <w:p>
      <w:pPr>
        <w:spacing w:after="120" w:line="276" w:lineRule="exact"/>
        <w:jc w:val="both"/>
      </w:pPr>
      <w:r>
        <w:rPr>
          <w:rFonts w:ascii="Times New Roman" w:cs="Times New Roman" w:eastAsia="Times New Roman" w:hAnsi="Times New Roman"/>
          <w:b/>
          <w:bCs/>
          <w:sz w:val="22"/>
          <w:szCs w:val="22"/>
        </w:rPr>
        <w:t xml:space="preserve">Hook and Dispatch Framework</w:t>
      </w:r>
    </w:p>
    <w:p>
      <w:pPr>
        <w:spacing w:after="120" w:line="276" w:lineRule="exact"/>
        <w:jc w:val="both"/>
      </w:pPr>
      <w:r>
        <w:rPr>
          <w:rFonts w:ascii="Times New Roman" w:cs="Times New Roman" w:eastAsia="Times New Roman" w:hAnsi="Times New Roman"/>
          <w:sz w:val="22"/>
          <w:szCs w:val="22"/>
        </w:rPr>
        <w:t xml:space="preserve">The platform provides defined extension points within tenant lifecycle and mediation flows where additional capabilities can be invoked.</w:t>
      </w:r>
    </w:p>
    <w:p>
      <w:pPr>
        <w:spacing w:after="120" w:line="276" w:lineRule="exact"/>
        <w:jc w:val="both"/>
      </w:pPr>
      <w:r>
        <w:rPr>
          <w:rFonts w:ascii="Times New Roman" w:cs="Times New Roman" w:eastAsia="Times New Roman" w:hAnsi="Times New Roman"/>
          <w:b/>
          <w:bCs/>
          <w:sz w:val="22"/>
          <w:szCs w:val="22"/>
        </w:rPr>
        <w:t xml:space="preserve">Tenant-Scoped Extension Loading</w:t>
      </w:r>
    </w:p>
    <w:p>
      <w:pPr>
        <w:spacing w:after="120" w:line="276" w:lineRule="exact"/>
        <w:jc w:val="both"/>
      </w:pPr>
      <w:r>
        <w:rPr>
          <w:rFonts w:ascii="Times New Roman" w:cs="Times New Roman" w:eastAsia="Times New Roman" w:hAnsi="Times New Roman"/>
          <w:sz w:val="22"/>
          <w:szCs w:val="22"/>
        </w:rPr>
        <w:t xml:space="preserve">Extensions are loaded within tenant context and cannot access resources or routing outside their assigned tenant boundary.</w:t>
      </w:r>
    </w:p>
    <w:p>
      <w:pPr>
        <w:spacing w:after="120" w:line="276" w:lineRule="exact"/>
        <w:jc w:val="both"/>
      </w:pPr>
      <w:r>
        <w:rPr>
          <w:rFonts w:ascii="Times New Roman" w:cs="Times New Roman" w:eastAsia="Times New Roman" w:hAnsi="Times New Roman"/>
          <w:b/>
          <w:bCs/>
          <w:sz w:val="22"/>
          <w:szCs w:val="22"/>
        </w:rPr>
        <w:t xml:space="preserve">Controlled Invocation Model</w:t>
      </w:r>
    </w:p>
    <w:p>
      <w:pPr>
        <w:spacing w:after="120" w:line="276" w:lineRule="exact"/>
        <w:jc w:val="both"/>
      </w:pPr>
      <w:r>
        <w:rPr>
          <w:rFonts w:ascii="Times New Roman" w:cs="Times New Roman" w:eastAsia="Times New Roman" w:hAnsi="Times New Roman"/>
          <w:sz w:val="22"/>
          <w:szCs w:val="22"/>
        </w:rPr>
        <w:t xml:space="preserve">Extensions are invoked through platform-controlled dispatch mechanisms that enforce ordering, input validation, and output constraints.</w:t>
      </w:r>
    </w:p>
    <w:p>
      <w:pPr>
        <w:spacing w:after="120" w:line="276" w:lineRule="exact"/>
        <w:jc w:val="both"/>
      </w:pPr>
      <w:r>
        <w:rPr>
          <w:rFonts w:ascii="Times New Roman" w:cs="Times New Roman" w:eastAsia="Times New Roman" w:hAnsi="Times New Roman"/>
          <w:b/>
          <w:bCs/>
          <w:sz w:val="22"/>
          <w:szCs w:val="22"/>
        </w:rPr>
        <w:t xml:space="preserve">Isolation Inheritance</w:t>
      </w:r>
    </w:p>
    <w:p>
      <w:pPr>
        <w:spacing w:after="120" w:line="276" w:lineRule="exact"/>
        <w:jc w:val="both"/>
      </w:pPr>
      <w:r>
        <w:rPr>
          <w:rFonts w:ascii="Times New Roman" w:cs="Times New Roman" w:eastAsia="Times New Roman" w:hAnsi="Times New Roman"/>
          <w:sz w:val="22"/>
          <w:szCs w:val="22"/>
        </w:rPr>
        <w:t xml:space="preserve">Extensions automatically inherit the isolation, identity, and containment properties of the tenant within which they operate.</w:t>
      </w:r>
    </w:p>
    <w:p>
      <w:pPr>
        <w:pStyle w:val="Heading2"/>
      </w:pPr>
      <w:r>
        <w:rPr>
          <w:rFonts w:ascii="Times New Roman" w:cs="Times New Roman" w:eastAsia="Times New Roman" w:hAnsi="Times New Roman"/>
          <w:b/>
          <w:bCs/>
          <w:sz w:val="22"/>
          <w:szCs w:val="22"/>
        </w:rPr>
        <w:t xml:space="preserve">F.4 Validation Criteria</w:t>
      </w:r>
    </w:p>
    <w:p>
      <w:pPr>
        <w:spacing w:after="120" w:line="276" w:lineRule="exact"/>
        <w:jc w:val="both"/>
      </w:pPr>
      <w:r>
        <w:rPr>
          <w:rFonts w:ascii="Times New Roman" w:cs="Times New Roman" w:eastAsia="Times New Roman" w:hAnsi="Times New Roman"/>
          <w:sz w:val="22"/>
          <w:szCs w:val="22"/>
        </w:rPr>
        <w:t xml:space="preserve">Adding an extension cannot create new adjacency outside declared scope</w:t>
      </w:r>
    </w:p>
    <w:p>
      <w:pPr>
        <w:spacing w:after="120" w:line="276" w:lineRule="exact"/>
        <w:jc w:val="both"/>
      </w:pPr>
      <w:r>
        <w:rPr>
          <w:rFonts w:ascii="Times New Roman" w:cs="Times New Roman" w:eastAsia="Times New Roman" w:hAnsi="Times New Roman"/>
          <w:sz w:val="22"/>
          <w:szCs w:val="22"/>
        </w:rPr>
        <w:t xml:space="preserve">Removal of extension restores baseline state</w:t>
      </w:r>
    </w:p>
    <w:p>
      <w:pPr>
        <w:spacing w:after="120" w:line="276" w:lineRule="exact"/>
        <w:jc w:val="both"/>
      </w:pPr>
      <w:r>
        <w:rPr>
          <w:rFonts w:ascii="Times New Roman" w:cs="Times New Roman" w:eastAsia="Times New Roman" w:hAnsi="Times New Roman"/>
          <w:sz w:val="22"/>
          <w:szCs w:val="22"/>
        </w:rPr>
        <w:t xml:space="preserve">Extensions cannot modify global routing contexts</w:t>
      </w:r>
    </w:p>
    <w:p>
      <w:pPr>
        <w:spacing w:after="120" w:line="276" w:lineRule="exact"/>
        <w:jc w:val="both"/>
      </w:pPr>
      <w:r>
        <w:rPr>
          <w:rFonts w:ascii="Times New Roman" w:cs="Times New Roman" w:eastAsia="Times New Roman" w:hAnsi="Times New Roman"/>
          <w:sz w:val="22"/>
          <w:szCs w:val="22"/>
        </w:rPr>
        <w:t xml:space="preserve">Extensibility must preserve invariants.</w:t>
      </w:r>
    </w:p>
    <w:p>
      <w:r>
        <w:br w:type="page"/>
      </w:r>
    </w:p>
    <w:p>
      <w:pPr>
        <w:pStyle w:val="Heading1"/>
      </w:pPr>
      <w:r>
        <w:rPr>
          <w:rFonts w:ascii="Times New Roman" w:cs="Times New Roman" w:eastAsia="Times New Roman" w:hAnsi="Times New Roman"/>
          <w:b/>
          <w:bCs/>
          <w:caps/>
          <w:sz w:val="26"/>
          <w:szCs w:val="26"/>
        </w:rPr>
        <w:t xml:space="preserve">APPENDIX G — ADMINISTRATIVE SEPARATION AND OPERATIONAL SUSTAINABILITY</w:t>
      </w:r>
    </w:p>
    <w:p>
      <w:pPr>
        <w:pStyle w:val="Heading2"/>
      </w:pPr>
      <w:r>
        <w:rPr>
          <w:rFonts w:ascii="Times New Roman" w:cs="Times New Roman" w:eastAsia="Times New Roman" w:hAnsi="Times New Roman"/>
          <w:b/>
          <w:bCs/>
          <w:sz w:val="22"/>
          <w:szCs w:val="22"/>
        </w:rPr>
        <w:t xml:space="preserve">G.1 Control Plane Segregation</w:t>
      </w:r>
    </w:p>
    <w:p>
      <w:pPr>
        <w:spacing w:after="120" w:line="276" w:lineRule="exact"/>
        <w:jc w:val="both"/>
      </w:pPr>
      <w:r>
        <w:rPr>
          <w:rFonts w:ascii="Times New Roman" w:cs="Times New Roman" w:eastAsia="Times New Roman" w:hAnsi="Times New Roman"/>
          <w:sz w:val="22"/>
          <w:szCs w:val="22"/>
        </w:rPr>
        <w:t xml:space="preserve">Administrative and orchestration planes must be isolated from Tenant data planes. Tenant compromise must not enable platform compromise.</w:t>
      </w:r>
    </w:p>
    <w:p>
      <w:pPr>
        <w:pStyle w:val="Heading2"/>
      </w:pPr>
      <w:r>
        <w:rPr>
          <w:rFonts w:ascii="Times New Roman" w:cs="Times New Roman" w:eastAsia="Times New Roman" w:hAnsi="Times New Roman"/>
          <w:b/>
          <w:bCs/>
          <w:sz w:val="22"/>
          <w:szCs w:val="22"/>
        </w:rPr>
        <w:t xml:space="preserve">G.2 Implementation Requirements</w:t>
      </w:r>
    </w:p>
    <w:p>
      <w:pPr>
        <w:spacing w:after="120" w:line="276" w:lineRule="exact"/>
        <w:jc w:val="both"/>
      </w:pPr>
      <w:r>
        <w:rPr>
          <w:rFonts w:ascii="Times New Roman" w:cs="Times New Roman" w:eastAsia="Times New Roman" w:hAnsi="Times New Roman"/>
          <w:b/>
          <w:bCs/>
          <w:sz w:val="22"/>
          <w:szCs w:val="22"/>
        </w:rPr>
        <w:t xml:space="preserve">Separate Management VRF or Network Namespace</w:t>
      </w:r>
    </w:p>
    <w:p>
      <w:pPr>
        <w:spacing w:after="120" w:line="276" w:lineRule="exact"/>
        <w:jc w:val="both"/>
      </w:pPr>
      <w:r>
        <w:rPr>
          <w:rFonts w:ascii="Times New Roman" w:cs="Times New Roman" w:eastAsia="Times New Roman" w:hAnsi="Times New Roman"/>
          <w:sz w:val="22"/>
          <w:szCs w:val="22"/>
        </w:rPr>
        <w:t xml:space="preserve">Platform management interfaces operate within a dedicated routing context isolated from tenant data paths.</w:t>
      </w:r>
    </w:p>
    <w:p>
      <w:pPr>
        <w:spacing w:after="120" w:line="276" w:lineRule="exact"/>
        <w:jc w:val="both"/>
      </w:pPr>
      <w:r>
        <w:rPr>
          <w:rFonts w:ascii="Times New Roman" w:cs="Times New Roman" w:eastAsia="Times New Roman" w:hAnsi="Times New Roman"/>
          <w:b/>
          <w:bCs/>
          <w:sz w:val="22"/>
          <w:szCs w:val="22"/>
        </w:rPr>
        <w:t xml:space="preserve">Restricted Administrative Interfaces</w:t>
      </w:r>
    </w:p>
    <w:p>
      <w:pPr>
        <w:spacing w:after="120" w:line="276" w:lineRule="exact"/>
        <w:jc w:val="both"/>
      </w:pPr>
      <w:r>
        <w:rPr>
          <w:rFonts w:ascii="Times New Roman" w:cs="Times New Roman" w:eastAsia="Times New Roman" w:hAnsi="Times New Roman"/>
          <w:sz w:val="22"/>
          <w:szCs w:val="22"/>
        </w:rPr>
        <w:t xml:space="preserve">Configuration APIs, orchestration endpoints, and platform services are accessible only from trusted administrative networks, not from tenant contexts.</w:t>
      </w:r>
    </w:p>
    <w:p>
      <w:pPr>
        <w:spacing w:after="120" w:line="276" w:lineRule="exact"/>
        <w:jc w:val="both"/>
      </w:pPr>
      <w:r>
        <w:rPr>
          <w:rFonts w:ascii="Times New Roman" w:cs="Times New Roman" w:eastAsia="Times New Roman" w:hAnsi="Times New Roman"/>
          <w:b/>
          <w:bCs/>
          <w:sz w:val="22"/>
          <w:szCs w:val="22"/>
        </w:rPr>
        <w:t xml:space="preserve">No Tenant-to-Admin Routing Path</w:t>
      </w:r>
    </w:p>
    <w:p>
      <w:pPr>
        <w:spacing w:after="120" w:line="276" w:lineRule="exact"/>
        <w:jc w:val="both"/>
      </w:pPr>
      <w:r>
        <w:rPr>
          <w:rFonts w:ascii="Times New Roman" w:cs="Times New Roman" w:eastAsia="Times New Roman" w:hAnsi="Times New Roman"/>
          <w:sz w:val="22"/>
          <w:szCs w:val="22"/>
        </w:rPr>
        <w:t xml:space="preserve">Routing and forwarding rules prevent any traffic originating in tenant domains from reaching administrative control plane interfaces.</w:t>
      </w:r>
    </w:p>
    <w:p>
      <w:pPr>
        <w:spacing w:after="120" w:line="276" w:lineRule="exact"/>
        <w:jc w:val="both"/>
      </w:pPr>
      <w:r>
        <w:rPr>
          <w:rFonts w:ascii="Times New Roman" w:cs="Times New Roman" w:eastAsia="Times New Roman" w:hAnsi="Times New Roman"/>
          <w:b/>
          <w:bCs/>
          <w:sz w:val="22"/>
          <w:szCs w:val="22"/>
        </w:rPr>
        <w:t xml:space="preserve">Hardened Service Access Controls</w:t>
      </w:r>
    </w:p>
    <w:p>
      <w:pPr>
        <w:spacing w:after="120" w:line="276" w:lineRule="exact"/>
        <w:jc w:val="both"/>
      </w:pPr>
      <w:r>
        <w:rPr>
          <w:rFonts w:ascii="Times New Roman" w:cs="Times New Roman" w:eastAsia="Times New Roman" w:hAnsi="Times New Roman"/>
          <w:sz w:val="22"/>
          <w:szCs w:val="22"/>
        </w:rPr>
        <w:t xml:space="preserve">Administrative services enforce authentication, authorization, and audit logging independent of tenant-layer controls.</w:t>
      </w:r>
    </w:p>
    <w:p>
      <w:pPr>
        <w:pStyle w:val="Heading2"/>
      </w:pPr>
      <w:r>
        <w:rPr>
          <w:rFonts w:ascii="Times New Roman" w:cs="Times New Roman" w:eastAsia="Times New Roman" w:hAnsi="Times New Roman"/>
          <w:b/>
          <w:bCs/>
          <w:sz w:val="22"/>
          <w:szCs w:val="22"/>
        </w:rPr>
        <w:t xml:space="preserve">G.3 Capacity Governance</w:t>
      </w:r>
    </w:p>
    <w:p>
      <w:pPr>
        <w:spacing w:after="120" w:line="276" w:lineRule="exact"/>
        <w:jc w:val="both"/>
      </w:pPr>
      <w:r>
        <w:rPr>
          <w:rFonts w:ascii="Times New Roman" w:cs="Times New Roman" w:eastAsia="Times New Roman" w:hAnsi="Times New Roman"/>
          <w:sz w:val="22"/>
          <w:szCs w:val="22"/>
        </w:rPr>
        <w:t xml:space="preserve">Resource monitoring must inform Tenant placement. Oversubscription must not degrade containment guarantees.</w:t>
      </w:r>
    </w:p>
    <w:p>
      <w:pPr>
        <w:spacing w:after="120" w:line="276" w:lineRule="exact"/>
        <w:jc w:val="both"/>
      </w:pPr>
      <w:r>
        <w:rPr>
          <w:rFonts w:ascii="Times New Roman" w:cs="Times New Roman" w:eastAsia="Times New Roman" w:hAnsi="Times New Roman"/>
          <w:b/>
          <w:bCs/>
          <w:sz w:val="22"/>
          <w:szCs w:val="22"/>
        </w:rPr>
        <w:t xml:space="preserve">Resource Telemetry</w:t>
      </w:r>
    </w:p>
    <w:p>
      <w:pPr>
        <w:spacing w:after="120" w:line="276" w:lineRule="exact"/>
        <w:jc w:val="both"/>
      </w:pPr>
      <w:r>
        <w:rPr>
          <w:rFonts w:ascii="Times New Roman" w:cs="Times New Roman" w:eastAsia="Times New Roman" w:hAnsi="Times New Roman"/>
          <w:sz w:val="22"/>
          <w:szCs w:val="22"/>
        </w:rPr>
        <w:t xml:space="preserve">The platform continuously monitors CPU utilization, memory consumption, session counts, and forwarding plane capacity.</w:t>
      </w:r>
    </w:p>
    <w:p>
      <w:pPr>
        <w:spacing w:after="120" w:line="276" w:lineRule="exact"/>
        <w:jc w:val="both"/>
      </w:pPr>
      <w:r>
        <w:rPr>
          <w:rFonts w:ascii="Times New Roman" w:cs="Times New Roman" w:eastAsia="Times New Roman" w:hAnsi="Times New Roman"/>
          <w:b/>
          <w:bCs/>
          <w:sz w:val="22"/>
          <w:szCs w:val="22"/>
        </w:rPr>
        <w:t xml:space="preserve">Polling and Reporting Utilities</w:t>
      </w:r>
    </w:p>
    <w:p>
      <w:pPr>
        <w:spacing w:after="120" w:line="276" w:lineRule="exact"/>
        <w:jc w:val="both"/>
      </w:pPr>
      <w:r>
        <w:rPr>
          <w:rFonts w:ascii="Times New Roman" w:cs="Times New Roman" w:eastAsia="Times New Roman" w:hAnsi="Times New Roman"/>
          <w:sz w:val="22"/>
          <w:szCs w:val="22"/>
        </w:rPr>
        <w:t xml:space="preserve">Operational dashboards surface resource utilization trends and alert when thresholds approach saturation.</w:t>
      </w:r>
    </w:p>
    <w:p>
      <w:pPr>
        <w:spacing w:after="120" w:line="276" w:lineRule="exact"/>
        <w:jc w:val="both"/>
      </w:pPr>
      <w:r>
        <w:rPr>
          <w:rFonts w:ascii="Times New Roman" w:cs="Times New Roman" w:eastAsia="Times New Roman" w:hAnsi="Times New Roman"/>
          <w:b/>
          <w:bCs/>
          <w:sz w:val="22"/>
          <w:szCs w:val="22"/>
        </w:rPr>
        <w:t xml:space="preserve">Preflight Validation</w:t>
      </w:r>
    </w:p>
    <w:p>
      <w:pPr>
        <w:spacing w:after="120" w:line="276" w:lineRule="exact"/>
        <w:jc w:val="both"/>
      </w:pPr>
      <w:r>
        <w:rPr>
          <w:rFonts w:ascii="Times New Roman" w:cs="Times New Roman" w:eastAsia="Times New Roman" w:hAnsi="Times New Roman"/>
          <w:sz w:val="22"/>
          <w:szCs w:val="22"/>
        </w:rPr>
        <w:t xml:space="preserve">Tenant provisioning requests trigger capacity checks. If insufficient resources exist, provisioning is deferred or rejected.</w:t>
      </w:r>
    </w:p>
    <w:p>
      <w:pPr>
        <w:spacing w:after="120" w:line="276" w:lineRule="exact"/>
        <w:jc w:val="both"/>
      </w:pPr>
      <w:r>
        <w:rPr>
          <w:rFonts w:ascii="Times New Roman" w:cs="Times New Roman" w:eastAsia="Times New Roman" w:hAnsi="Times New Roman"/>
          <w:b/>
          <w:bCs/>
          <w:sz w:val="22"/>
          <w:szCs w:val="22"/>
        </w:rPr>
        <w:t xml:space="preserve">Capacity Gating Logic</w:t>
      </w:r>
    </w:p>
    <w:p>
      <w:pPr>
        <w:spacing w:after="120" w:line="276" w:lineRule="exact"/>
        <w:jc w:val="both"/>
      </w:pPr>
      <w:r>
        <w:rPr>
          <w:rFonts w:ascii="Times New Roman" w:cs="Times New Roman" w:eastAsia="Times New Roman" w:hAnsi="Times New Roman"/>
          <w:sz w:val="22"/>
          <w:szCs w:val="22"/>
        </w:rPr>
        <w:t xml:space="preserve">Automated placement decisions consider current load, geographic distribution, redundancy requirements, and performance targets.</w:t>
      </w:r>
    </w:p>
    <w:p>
      <w:pPr>
        <w:spacing w:after="120" w:line="276" w:lineRule="exact"/>
        <w:jc w:val="both"/>
      </w:pPr>
      <w:r>
        <w:rPr>
          <w:rFonts w:ascii="Times New Roman" w:cs="Times New Roman" w:eastAsia="Times New Roman" w:hAnsi="Times New Roman"/>
          <w:b/>
          <w:bCs/>
          <w:sz w:val="22"/>
          <w:szCs w:val="22"/>
        </w:rPr>
        <w:t xml:space="preserve">The invariant:</w:t>
      </w:r>
    </w:p>
    <w:p>
      <w:pPr>
        <w:spacing w:after="120" w:line="276" w:lineRule="exact"/>
        <w:jc w:val="both"/>
      </w:pPr>
      <w:r>
        <w:rPr>
          <w:rFonts w:ascii="Times New Roman" w:cs="Times New Roman" w:eastAsia="Times New Roman" w:hAnsi="Times New Roman"/>
          <w:sz w:val="22"/>
          <w:szCs w:val="22"/>
        </w:rPr>
        <w:t xml:space="preserve">Governance enforcement must remain stable under scale.</w:t>
      </w:r>
    </w:p>
    <w:p>
      <w:pPr>
        <w:pStyle w:val="Heading2"/>
      </w:pPr>
      <w:r>
        <w:rPr>
          <w:rFonts w:ascii="Times New Roman" w:cs="Times New Roman" w:eastAsia="Times New Roman" w:hAnsi="Times New Roman"/>
          <w:b/>
          <w:bCs/>
          <w:sz w:val="22"/>
          <w:szCs w:val="22"/>
        </w:rPr>
        <w:t xml:space="preserve">G.4 Validation Criteria</w:t>
      </w:r>
    </w:p>
    <w:p>
      <w:pPr>
        <w:spacing w:after="120" w:line="276" w:lineRule="exact"/>
        <w:jc w:val="both"/>
      </w:pPr>
      <w:r>
        <w:rPr>
          <w:rFonts w:ascii="Times New Roman" w:cs="Times New Roman" w:eastAsia="Times New Roman" w:hAnsi="Times New Roman"/>
          <w:sz w:val="22"/>
          <w:szCs w:val="22"/>
        </w:rPr>
        <w:t xml:space="preserve">Administrative interfaces are unreachable from Tenant domains</w:t>
      </w:r>
    </w:p>
    <w:p>
      <w:pPr>
        <w:spacing w:after="120" w:line="276" w:lineRule="exact"/>
        <w:jc w:val="both"/>
      </w:pPr>
      <w:r>
        <w:rPr>
          <w:rFonts w:ascii="Times New Roman" w:cs="Times New Roman" w:eastAsia="Times New Roman" w:hAnsi="Times New Roman"/>
          <w:sz w:val="22"/>
          <w:szCs w:val="22"/>
        </w:rPr>
        <w:t xml:space="preserve">Resource thresholds prevent uncontrolled Tenant instantiation</w:t>
      </w:r>
    </w:p>
    <w:p>
      <w:pPr>
        <w:spacing w:after="120" w:line="276" w:lineRule="exact"/>
        <w:jc w:val="both"/>
      </w:pPr>
      <w:r>
        <w:rPr>
          <w:rFonts w:ascii="Times New Roman" w:cs="Times New Roman" w:eastAsia="Times New Roman" w:hAnsi="Times New Roman"/>
          <w:sz w:val="22"/>
          <w:szCs w:val="22"/>
        </w:rPr>
        <w:t xml:space="preserve">Control-plane failure does not collapse data-plane isolation</w:t>
      </w:r>
    </w:p>
    <w:p>
      <w:pPr>
        <w:spacing w:after="120" w:line="276" w:lineRule="exact"/>
        <w:jc w:val="both"/>
      </w:pPr>
      <w:r>
        <w:rPr>
          <w:rFonts w:ascii="Times New Roman" w:cs="Times New Roman" w:eastAsia="Times New Roman" w:hAnsi="Times New Roman"/>
          <w:sz w:val="22"/>
          <w:szCs w:val="22"/>
        </w:rPr>
        <w:t xml:space="preserve">Operational stability is part of exposure governance.</w:t>
      </w:r>
    </w:p>
    <w:p>
      <w:r>
        <w:br w:type="page"/>
      </w:r>
    </w:p>
    <w:p>
      <w:pPr>
        <w:pStyle w:val="Heading1"/>
      </w:pPr>
      <w:r>
        <w:rPr>
          <w:rFonts w:ascii="Times New Roman" w:cs="Times New Roman" w:eastAsia="Times New Roman" w:hAnsi="Times New Roman"/>
          <w:b/>
          <w:bCs/>
          <w:caps/>
          <w:sz w:val="26"/>
          <w:szCs w:val="26"/>
        </w:rPr>
        <w:t xml:space="preserve">APPENDIX H — PROOF OF ARCHITECTURE: FUNCTIONAL VALIDATION SUMMARY</w:t>
      </w:r>
    </w:p>
    <w:p>
      <w:pPr>
        <w:pStyle w:val="Heading2"/>
      </w:pPr>
      <w:r>
        <w:rPr>
          <w:rFonts w:ascii="Times New Roman" w:cs="Times New Roman" w:eastAsia="Times New Roman" w:hAnsi="Times New Roman"/>
          <w:b/>
          <w:bCs/>
          <w:sz w:val="22"/>
          <w:szCs w:val="22"/>
        </w:rPr>
        <w:t xml:space="preserve">H.1 Purpose of Validation</w:t>
      </w:r>
    </w:p>
    <w:p>
      <w:pPr>
        <w:spacing w:after="120" w:line="276" w:lineRule="exact"/>
        <w:jc w:val="both"/>
      </w:pPr>
      <w:r>
        <w:rPr>
          <w:rFonts w:ascii="Times New Roman" w:cs="Times New Roman" w:eastAsia="Times New Roman" w:hAnsi="Times New Roman"/>
          <w:sz w:val="22"/>
          <w:szCs w:val="22"/>
        </w:rPr>
        <w:t xml:space="preserve">The governed exposure model is not theoretical. It has been validated through functional implementation that demonstrates each architectural invariant in practice.</w:t>
      </w:r>
    </w:p>
    <w:p>
      <w:pPr>
        <w:spacing w:after="120" w:line="276" w:lineRule="exact"/>
        <w:jc w:val="both"/>
      </w:pPr>
      <w:r>
        <w:rPr>
          <w:rFonts w:ascii="Times New Roman" w:cs="Times New Roman" w:eastAsia="Times New Roman" w:hAnsi="Times New Roman"/>
          <w:b/>
          <w:bCs/>
          <w:sz w:val="22"/>
          <w:szCs w:val="22"/>
        </w:rPr>
        <w:t xml:space="preserve">The validation effort confirmed that:</w:t>
      </w:r>
    </w:p>
    <w:p>
      <w:pPr>
        <w:spacing w:after="120" w:line="276" w:lineRule="exact"/>
        <w:jc w:val="both"/>
      </w:pPr>
      <w:r>
        <w:rPr>
          <w:rFonts w:ascii="Times New Roman" w:cs="Times New Roman" w:eastAsia="Times New Roman" w:hAnsi="Times New Roman"/>
          <w:sz w:val="22"/>
          <w:szCs w:val="22"/>
        </w:rPr>
        <w:t xml:space="preserve">Tenant isolation can be structural</w:t>
      </w:r>
    </w:p>
    <w:p>
      <w:pPr>
        <w:spacing w:after="120" w:line="276" w:lineRule="exact"/>
        <w:jc w:val="both"/>
      </w:pPr>
      <w:r>
        <w:rPr>
          <w:rFonts w:ascii="Times New Roman" w:cs="Times New Roman" w:eastAsia="Times New Roman" w:hAnsi="Times New Roman"/>
          <w:sz w:val="22"/>
          <w:szCs w:val="22"/>
        </w:rPr>
        <w:t xml:space="preserve">Mediation can replace adjacency</w:t>
      </w:r>
    </w:p>
    <w:p>
      <w:pPr>
        <w:spacing w:after="120" w:line="276" w:lineRule="exact"/>
        <w:jc w:val="both"/>
      </w:pPr>
      <w:r>
        <w:rPr>
          <w:rFonts w:ascii="Times New Roman" w:cs="Times New Roman" w:eastAsia="Times New Roman" w:hAnsi="Times New Roman"/>
          <w:sz w:val="22"/>
          <w:szCs w:val="22"/>
        </w:rPr>
        <w:t xml:space="preserve">Lifecycle can be deterministic</w:t>
      </w:r>
    </w:p>
    <w:p>
      <w:pPr>
        <w:spacing w:after="120" w:line="276" w:lineRule="exact"/>
        <w:jc w:val="both"/>
      </w:pPr>
      <w:r>
        <w:rPr>
          <w:rFonts w:ascii="Times New Roman" w:cs="Times New Roman" w:eastAsia="Times New Roman" w:hAnsi="Times New Roman"/>
          <w:sz w:val="22"/>
          <w:szCs w:val="22"/>
        </w:rPr>
        <w:t xml:space="preserve">Extensibility can inherit containment</w:t>
      </w:r>
    </w:p>
    <w:p>
      <w:pPr>
        <w:spacing w:after="120" w:line="276" w:lineRule="exact"/>
        <w:jc w:val="both"/>
      </w:pPr>
      <w:r>
        <w:rPr>
          <w:rFonts w:ascii="Times New Roman" w:cs="Times New Roman" w:eastAsia="Times New Roman" w:hAnsi="Times New Roman"/>
          <w:sz w:val="22"/>
          <w:szCs w:val="22"/>
        </w:rPr>
        <w:t xml:space="preserve">Inspection can be deterministic</w:t>
      </w:r>
    </w:p>
    <w:p>
      <w:pPr>
        <w:spacing w:after="120" w:line="276" w:lineRule="exact"/>
        <w:jc w:val="both"/>
      </w:pPr>
      <w:r>
        <w:rPr>
          <w:rFonts w:ascii="Times New Roman" w:cs="Times New Roman" w:eastAsia="Times New Roman" w:hAnsi="Times New Roman"/>
          <w:sz w:val="22"/>
          <w:szCs w:val="22"/>
        </w:rPr>
        <w:t xml:space="preserve">Transport can be subordinate to exposure</w:t>
      </w:r>
    </w:p>
    <w:p>
      <w:pPr>
        <w:spacing w:after="120" w:line="276" w:lineRule="exact"/>
        <w:jc w:val="both"/>
      </w:pPr>
      <w:r>
        <w:rPr>
          <w:rFonts w:ascii="Times New Roman" w:cs="Times New Roman" w:eastAsia="Times New Roman" w:hAnsi="Times New Roman"/>
          <w:sz w:val="22"/>
          <w:szCs w:val="22"/>
        </w:rPr>
        <w:t xml:space="preserve">Governance constructs can map directly to technical constructs</w:t>
      </w:r>
    </w:p>
    <w:p>
      <w:pPr>
        <w:pStyle w:val="Heading2"/>
      </w:pPr>
      <w:r>
        <w:rPr>
          <w:rFonts w:ascii="Times New Roman" w:cs="Times New Roman" w:eastAsia="Times New Roman" w:hAnsi="Times New Roman"/>
          <w:b/>
          <w:bCs/>
          <w:sz w:val="22"/>
          <w:szCs w:val="22"/>
        </w:rPr>
        <w:t xml:space="preserve">H.2 Functional Decomposition</w:t>
      </w:r>
    </w:p>
    <w:p>
      <w:pPr>
        <w:spacing w:after="120" w:line="276" w:lineRule="exact"/>
        <w:jc w:val="both"/>
      </w:pPr>
      <w:r>
        <w:rPr>
          <w:rFonts w:ascii="Times New Roman" w:cs="Times New Roman" w:eastAsia="Times New Roman" w:hAnsi="Times New Roman"/>
          <w:b/>
          <w:bCs/>
          <w:sz w:val="22"/>
          <w:szCs w:val="22"/>
        </w:rPr>
        <w:t xml:space="preserve">Tenant Instantiation Framework</w:t>
      </w:r>
    </w:p>
    <w:p>
      <w:pPr>
        <w:spacing w:after="120" w:line="276" w:lineRule="exact"/>
        <w:jc w:val="both"/>
      </w:pPr>
      <w:r>
        <w:rPr>
          <w:rFonts w:ascii="Times New Roman" w:cs="Times New Roman" w:eastAsia="Times New Roman" w:hAnsi="Times New Roman"/>
          <w:b/>
          <w:bCs/>
          <w:sz w:val="22"/>
          <w:szCs w:val="22"/>
        </w:rPr>
        <w:t xml:space="preserve">The implementation proved that tenants can be instantiated as atomic exposure units, each encapsulating:</w:t>
      </w:r>
    </w:p>
    <w:p>
      <w:pPr>
        <w:spacing w:after="120" w:line="276" w:lineRule="exact"/>
        <w:jc w:val="both"/>
      </w:pPr>
      <w:r>
        <w:rPr>
          <w:rFonts w:ascii="Times New Roman" w:cs="Times New Roman" w:eastAsia="Times New Roman" w:hAnsi="Times New Roman"/>
          <w:sz w:val="22"/>
          <w:szCs w:val="22"/>
        </w:rPr>
        <w:t xml:space="preserve">A third-party entity</w:t>
      </w:r>
    </w:p>
    <w:p>
      <w:pPr>
        <w:spacing w:after="120" w:line="276" w:lineRule="exact"/>
        <w:jc w:val="both"/>
      </w:pPr>
      <w:r>
        <w:rPr>
          <w:rFonts w:ascii="Times New Roman" w:cs="Times New Roman" w:eastAsia="Times New Roman" w:hAnsi="Times New Roman"/>
          <w:sz w:val="22"/>
          <w:szCs w:val="22"/>
        </w:rPr>
        <w:t xml:space="preserve">A bounded routing context</w:t>
      </w:r>
    </w:p>
    <w:p>
      <w:pPr>
        <w:spacing w:after="120" w:line="276" w:lineRule="exact"/>
        <w:jc w:val="both"/>
      </w:pPr>
      <w:r>
        <w:rPr>
          <w:rFonts w:ascii="Times New Roman" w:cs="Times New Roman" w:eastAsia="Times New Roman" w:hAnsi="Times New Roman"/>
          <w:sz w:val="22"/>
          <w:szCs w:val="22"/>
        </w:rPr>
        <w:t xml:space="preserve">Defined service capabilities</w:t>
      </w:r>
    </w:p>
    <w:p>
      <w:pPr>
        <w:spacing w:after="120" w:line="276" w:lineRule="exact"/>
        <w:jc w:val="both"/>
      </w:pPr>
      <w:r>
        <w:rPr>
          <w:rFonts w:ascii="Times New Roman" w:cs="Times New Roman" w:eastAsia="Times New Roman" w:hAnsi="Times New Roman"/>
          <w:sz w:val="22"/>
          <w:szCs w:val="22"/>
        </w:rPr>
        <w:t xml:space="preserve">Lifecycle-bound state</w:t>
      </w:r>
    </w:p>
    <w:p>
      <w:pPr>
        <w:spacing w:after="120" w:line="276" w:lineRule="exact"/>
        <w:jc w:val="both"/>
      </w:pPr>
      <w:r>
        <w:rPr>
          <w:rFonts w:ascii="Times New Roman" w:cs="Times New Roman" w:eastAsia="Times New Roman" w:hAnsi="Times New Roman"/>
          <w:sz w:val="22"/>
          <w:szCs w:val="22"/>
        </w:rPr>
        <w:t xml:space="preserve">Isolated enforcement constructs</w:t>
      </w:r>
    </w:p>
    <w:p>
      <w:pPr>
        <w:spacing w:after="120" w:line="276" w:lineRule="exact"/>
        <w:jc w:val="both"/>
      </w:pPr>
      <w:r>
        <w:rPr>
          <w:rFonts w:ascii="Times New Roman" w:cs="Times New Roman" w:eastAsia="Times New Roman" w:hAnsi="Times New Roman"/>
          <w:sz w:val="22"/>
          <w:szCs w:val="22"/>
        </w:rPr>
        <w:t xml:space="preserve">Technical validation included per-tenant routing domains, per-tenant forwarding contexts, tenant-specific IP addressing domains, tenant-specific enforcement chains, and tenant-specific mediation proxies.</w:t>
      </w:r>
    </w:p>
    <w:p>
      <w:pPr>
        <w:spacing w:after="120" w:line="276" w:lineRule="exact"/>
        <w:jc w:val="both"/>
      </w:pPr>
      <w:r>
        <w:rPr>
          <w:rFonts w:ascii="Times New Roman" w:cs="Times New Roman" w:eastAsia="Times New Roman" w:hAnsi="Times New Roman"/>
          <w:b/>
          <w:bCs/>
          <w:sz w:val="22"/>
          <w:szCs w:val="22"/>
        </w:rPr>
        <w:t xml:space="preserve">Secure Transport Layer</w:t>
      </w:r>
    </w:p>
    <w:p>
      <w:pPr>
        <w:spacing w:after="120" w:line="276" w:lineRule="exact"/>
        <w:jc w:val="both"/>
      </w:pPr>
      <w:r>
        <w:rPr>
          <w:rFonts w:ascii="Times New Roman" w:cs="Times New Roman" w:eastAsia="Times New Roman" w:hAnsi="Times New Roman"/>
          <w:sz w:val="22"/>
          <w:szCs w:val="22"/>
        </w:rPr>
        <w:t xml:space="preserve">Encrypted third-party ingress was implemented using standardized transport constructs bound to tenant context. Transport was restricted to declared endpoints and isolated from core routing domains.</w:t>
      </w:r>
    </w:p>
    <w:p>
      <w:pPr>
        <w:spacing w:after="120" w:line="276" w:lineRule="exact"/>
        <w:jc w:val="both"/>
      </w:pPr>
      <w:r>
        <w:rPr>
          <w:rFonts w:ascii="Times New Roman" w:cs="Times New Roman" w:eastAsia="Times New Roman" w:hAnsi="Times New Roman"/>
          <w:sz w:val="22"/>
          <w:szCs w:val="22"/>
        </w:rPr>
        <w:t xml:space="preserve">The validation confirmed that transport does not equal trust. Encrypted connectivity alone did not grant access to internal networks; mediation constructs were required to complete flows.</w:t>
      </w:r>
    </w:p>
    <w:p>
      <w:pPr>
        <w:spacing w:after="120" w:line="276" w:lineRule="exact"/>
        <w:jc w:val="both"/>
      </w:pPr>
      <w:r>
        <w:rPr>
          <w:rFonts w:ascii="Times New Roman" w:cs="Times New Roman" w:eastAsia="Times New Roman" w:hAnsi="Times New Roman"/>
          <w:b/>
          <w:bCs/>
          <w:sz w:val="22"/>
          <w:szCs w:val="22"/>
        </w:rPr>
        <w:t xml:space="preserve">Dual-Proxy Mediation Model</w:t>
      </w:r>
    </w:p>
    <w:p>
      <w:pPr>
        <w:spacing w:after="120" w:line="276" w:lineRule="exact"/>
        <w:jc w:val="both"/>
      </w:pPr>
      <w:r>
        <w:rPr>
          <w:rFonts w:ascii="Times New Roman" w:cs="Times New Roman" w:eastAsia="Times New Roman" w:hAnsi="Times New Roman"/>
          <w:sz w:val="22"/>
          <w:szCs w:val="22"/>
        </w:rPr>
        <w:t xml:space="preserve">The implementation proved that proxy-to-proxy mediation between tenant ingress and internal capability layers can replace routed adjacency with mediated capability exposure.</w:t>
      </w:r>
    </w:p>
    <w:p>
      <w:pPr>
        <w:spacing w:after="120" w:line="276" w:lineRule="exact"/>
        <w:jc w:val="both"/>
      </w:pPr>
      <w:r>
        <w:rPr>
          <w:rFonts w:ascii="Times New Roman" w:cs="Times New Roman" w:eastAsia="Times New Roman" w:hAnsi="Times New Roman"/>
          <w:sz w:val="22"/>
          <w:szCs w:val="22"/>
        </w:rPr>
        <w:t xml:space="preserve">Technical validation included tier-1 tenant proxies with mTLS identity enforcement, tier-2 internal proxies with core VRF separation, service-specific allow-lists, destination constraint enforcement, and protocol mediation.</w:t>
      </w:r>
    </w:p>
    <w:p>
      <w:pPr>
        <w:spacing w:after="120" w:line="276" w:lineRule="exact"/>
        <w:jc w:val="both"/>
      </w:pPr>
      <w:r>
        <w:rPr>
          <w:rFonts w:ascii="Times New Roman" w:cs="Times New Roman" w:eastAsia="Times New Roman" w:hAnsi="Times New Roman"/>
          <w:sz w:val="22"/>
          <w:szCs w:val="22"/>
        </w:rPr>
        <w:t xml:space="preserve">The traffic path validated was: External → Tenant Ingress → Tenant Mediation → Internal Mediation → Application, with no direct routed path.</w:t>
      </w:r>
    </w:p>
    <w:p>
      <w:pPr>
        <w:spacing w:after="120" w:line="276" w:lineRule="exact"/>
        <w:jc w:val="both"/>
      </w:pPr>
      <w:r>
        <w:rPr>
          <w:rFonts w:ascii="Times New Roman" w:cs="Times New Roman" w:eastAsia="Times New Roman" w:hAnsi="Times New Roman"/>
          <w:sz w:val="22"/>
          <w:szCs w:val="22"/>
        </w:rPr>
        <w:t xml:space="preserve">This validation demonstrated that capability adjacency replaces subnet adjacency, directionality is enforced, destination scope is enforced, and identity can be bound to mediation context.</w:t>
      </w:r>
    </w:p>
    <w:p>
      <w:pPr>
        <w:spacing w:after="120" w:line="276" w:lineRule="exact"/>
        <w:jc w:val="both"/>
      </w:pPr>
      <w:r>
        <w:rPr>
          <w:rFonts w:ascii="Times New Roman" w:cs="Times New Roman" w:eastAsia="Times New Roman" w:hAnsi="Times New Roman"/>
          <w:b/>
          <w:bCs/>
          <w:sz w:val="22"/>
          <w:szCs w:val="22"/>
        </w:rPr>
        <w:t xml:space="preserve">Identity Binding</w:t>
      </w:r>
    </w:p>
    <w:p>
      <w:pPr>
        <w:spacing w:after="120" w:line="276" w:lineRule="exact"/>
        <w:jc w:val="both"/>
      </w:pPr>
      <w:r>
        <w:rPr>
          <w:rFonts w:ascii="Times New Roman" w:cs="Times New Roman" w:eastAsia="Times New Roman" w:hAnsi="Times New Roman"/>
          <w:sz w:val="22"/>
          <w:szCs w:val="22"/>
        </w:rPr>
        <w:t xml:space="preserve">The implementation enforced identity at mediation points. Access decisions were not based solely on source IP.</w:t>
      </w:r>
    </w:p>
    <w:p>
      <w:pPr>
        <w:spacing w:after="120" w:line="276" w:lineRule="exact"/>
        <w:jc w:val="both"/>
      </w:pPr>
      <w:r>
        <w:rPr>
          <w:rFonts w:ascii="Times New Roman" w:cs="Times New Roman" w:eastAsia="Times New Roman" w:hAnsi="Times New Roman"/>
          <w:sz w:val="22"/>
          <w:szCs w:val="22"/>
        </w:rPr>
        <w:t xml:space="preserve">Technical validation included mTLS per-tenant identity validation, certificate-based subject validation, per-tenant trust anchors, and identity-to-capability binding.</w:t>
      </w:r>
    </w:p>
    <w:p>
      <w:pPr>
        <w:spacing w:after="120" w:line="276" w:lineRule="exact"/>
        <w:jc w:val="both"/>
      </w:pPr>
      <w:r>
        <w:rPr>
          <w:rFonts w:ascii="Times New Roman" w:cs="Times New Roman" w:eastAsia="Times New Roman" w:hAnsi="Times New Roman"/>
          <w:sz w:val="22"/>
          <w:szCs w:val="22"/>
        </w:rPr>
        <w:t xml:space="preserve">This confirmed that identity is bound to exposure context and that a valid tunnel without valid identity does not grant access. The implementation prevented implicit IP-based trust and cross-tenant credential replay.</w:t>
      </w:r>
    </w:p>
    <w:p>
      <w:pPr>
        <w:spacing w:after="120" w:line="276" w:lineRule="exact"/>
        <w:jc w:val="both"/>
      </w:pPr>
      <w:r>
        <w:rPr>
          <w:rFonts w:ascii="Times New Roman" w:cs="Times New Roman" w:eastAsia="Times New Roman" w:hAnsi="Times New Roman"/>
          <w:b/>
          <w:bCs/>
          <w:sz w:val="22"/>
          <w:szCs w:val="22"/>
        </w:rPr>
        <w:t xml:space="preserve">Deterministic Inspection Points</w:t>
      </w:r>
    </w:p>
    <w:p>
      <w:pPr>
        <w:spacing w:after="120" w:line="276" w:lineRule="exact"/>
        <w:jc w:val="both"/>
      </w:pPr>
      <w:r>
        <w:rPr>
          <w:rFonts w:ascii="Times New Roman" w:cs="Times New Roman" w:eastAsia="Times New Roman" w:hAnsi="Times New Roman"/>
          <w:sz w:val="22"/>
          <w:szCs w:val="22"/>
        </w:rPr>
        <w:t xml:space="preserve">Inspection and export capability was embedded within tenant boundaries. Inspection was tenant-scoped, attached at defined mediation layers, and optional but deterministic.</w:t>
      </w:r>
    </w:p>
    <w:p>
      <w:pPr>
        <w:spacing w:after="120" w:line="276" w:lineRule="exact"/>
        <w:jc w:val="both"/>
      </w:pPr>
      <w:r>
        <w:rPr>
          <w:rFonts w:ascii="Times New Roman" w:cs="Times New Roman" w:eastAsia="Times New Roman" w:hAnsi="Times New Roman"/>
          <w:sz w:val="22"/>
          <w:szCs w:val="22"/>
        </w:rPr>
        <w:t xml:space="preserve">Technical validation included traffic mirroring hooks, export pipelines, inspection addon modules, and policy-controlled activation.</w:t>
      </w:r>
    </w:p>
    <w:p>
      <w:pPr>
        <w:spacing w:after="120" w:line="276" w:lineRule="exact"/>
        <w:jc w:val="both"/>
      </w:pPr>
      <w:r>
        <w:rPr>
          <w:rFonts w:ascii="Times New Roman" w:cs="Times New Roman" w:eastAsia="Times New Roman" w:hAnsi="Times New Roman"/>
          <w:sz w:val="22"/>
          <w:szCs w:val="22"/>
        </w:rPr>
        <w:t xml:space="preserve">This confirmed that visibility does not alter routing semantics and that inspection occurred without bypassing containment.</w:t>
      </w:r>
    </w:p>
    <w:p>
      <w:pPr>
        <w:spacing w:after="120" w:line="276" w:lineRule="exact"/>
        <w:jc w:val="both"/>
      </w:pPr>
      <w:r>
        <w:rPr>
          <w:rFonts w:ascii="Times New Roman" w:cs="Times New Roman" w:eastAsia="Times New Roman" w:hAnsi="Times New Roman"/>
          <w:b/>
          <w:bCs/>
          <w:sz w:val="22"/>
          <w:szCs w:val="22"/>
        </w:rPr>
        <w:t xml:space="preserve">Lifecycle Automation</w:t>
      </w:r>
    </w:p>
    <w:p>
      <w:pPr>
        <w:spacing w:after="120" w:line="276" w:lineRule="exact"/>
        <w:jc w:val="both"/>
      </w:pPr>
      <w:r>
        <w:rPr>
          <w:rFonts w:ascii="Times New Roman" w:cs="Times New Roman" w:eastAsia="Times New Roman" w:hAnsi="Times New Roman"/>
          <w:sz w:val="22"/>
          <w:szCs w:val="22"/>
        </w:rPr>
        <w:t xml:space="preserve">Idempotent provisioning and teardown was implemented. Tenants could be created, validated, suspended, and deleted. Deletion removed tunnels, routes, proxies, identity stores, and inspection hooks.</w:t>
      </w:r>
    </w:p>
    <w:p>
      <w:pPr>
        <w:spacing w:after="120" w:line="276" w:lineRule="exact"/>
        <w:jc w:val="both"/>
      </w:pPr>
      <w:r>
        <w:rPr>
          <w:rFonts w:ascii="Times New Roman" w:cs="Times New Roman" w:eastAsia="Times New Roman" w:hAnsi="Times New Roman"/>
          <w:sz w:val="22"/>
          <w:szCs w:val="22"/>
        </w:rPr>
        <w:t xml:space="preserve">Technical validation included declarative configuration templates, lifecycle orchestration scripts, idempotent state application, and deterministic teardown routines.</w:t>
      </w:r>
    </w:p>
    <w:p>
      <w:pPr>
        <w:spacing w:after="120" w:line="276" w:lineRule="exact"/>
        <w:jc w:val="both"/>
      </w:pPr>
      <w:r>
        <w:rPr>
          <w:rFonts w:ascii="Times New Roman" w:cs="Times New Roman" w:eastAsia="Times New Roman" w:hAnsi="Times New Roman"/>
          <w:sz w:val="22"/>
          <w:szCs w:val="22"/>
        </w:rPr>
        <w:t xml:space="preserve">This confirmed that exposure is reversible and that no residual routing artifacts remain after teardown.</w:t>
      </w:r>
    </w:p>
    <w:p>
      <w:pPr>
        <w:spacing w:after="120" w:line="276" w:lineRule="exact"/>
        <w:jc w:val="both"/>
      </w:pPr>
      <w:r>
        <w:rPr>
          <w:rFonts w:ascii="Times New Roman" w:cs="Times New Roman" w:eastAsia="Times New Roman" w:hAnsi="Times New Roman"/>
          <w:b/>
          <w:bCs/>
          <w:sz w:val="22"/>
          <w:szCs w:val="22"/>
        </w:rPr>
        <w:t xml:space="preserve">Guardrail-Enforced Extensibility</w:t>
      </w:r>
    </w:p>
    <w:p>
      <w:pPr>
        <w:spacing w:after="120" w:line="276" w:lineRule="exact"/>
        <w:jc w:val="both"/>
      </w:pPr>
      <w:r>
        <w:rPr>
          <w:rFonts w:ascii="Times New Roman" w:cs="Times New Roman" w:eastAsia="Times New Roman" w:hAnsi="Times New Roman"/>
          <w:sz w:val="22"/>
          <w:szCs w:val="22"/>
        </w:rPr>
        <w:t xml:space="preserve">The implementation supported extension modules (inspection addons, protocol-specific mediation layers) without bypassing core enforcement planes.</w:t>
      </w:r>
    </w:p>
    <w:p>
      <w:pPr>
        <w:spacing w:after="120" w:line="276" w:lineRule="exact"/>
        <w:jc w:val="both"/>
      </w:pPr>
      <w:r>
        <w:rPr>
          <w:rFonts w:ascii="Times New Roman" w:cs="Times New Roman" w:eastAsia="Times New Roman" w:hAnsi="Times New Roman"/>
          <w:sz w:val="22"/>
          <w:szCs w:val="22"/>
        </w:rPr>
        <w:t xml:space="preserve">Technical validation included hook and dispatch frameworks, tenant-scoped extension loading, controlled invocation models, and isolation inheritance.</w:t>
      </w:r>
    </w:p>
    <w:p>
      <w:pPr>
        <w:spacing w:after="120" w:line="276" w:lineRule="exact"/>
        <w:jc w:val="both"/>
      </w:pPr>
      <w:r>
        <w:rPr>
          <w:rFonts w:ascii="Times New Roman" w:cs="Times New Roman" w:eastAsia="Times New Roman" w:hAnsi="Times New Roman"/>
          <w:sz w:val="22"/>
          <w:szCs w:val="22"/>
        </w:rPr>
        <w:t xml:space="preserve">This confirmed that extensions inherit containment and that no extension could create new adjacency, escape tenant context, or bypass mediation.</w:t>
      </w:r>
    </w:p>
    <w:p>
      <w:pPr>
        <w:spacing w:after="120" w:line="276" w:lineRule="exact"/>
        <w:jc w:val="both"/>
      </w:pPr>
      <w:r>
        <w:rPr>
          <w:rFonts w:ascii="Times New Roman" w:cs="Times New Roman" w:eastAsia="Times New Roman" w:hAnsi="Times New Roman"/>
          <w:b/>
          <w:bCs/>
          <w:sz w:val="22"/>
          <w:szCs w:val="22"/>
        </w:rPr>
        <w:t xml:space="preserve">Administrative Plane Separation</w:t>
      </w:r>
    </w:p>
    <w:p>
      <w:pPr>
        <w:spacing w:after="120" w:line="276" w:lineRule="exact"/>
        <w:jc w:val="both"/>
      </w:pPr>
      <w:r>
        <w:rPr>
          <w:rFonts w:ascii="Times New Roman" w:cs="Times New Roman" w:eastAsia="Times New Roman" w:hAnsi="Times New Roman"/>
          <w:sz w:val="22"/>
          <w:szCs w:val="22"/>
        </w:rPr>
        <w:t xml:space="preserve">The implementation separated tenant data plane from management and control plane.</w:t>
      </w:r>
    </w:p>
    <w:p>
      <w:pPr>
        <w:spacing w:after="120" w:line="276" w:lineRule="exact"/>
        <w:jc w:val="both"/>
      </w:pPr>
      <w:r>
        <w:rPr>
          <w:rFonts w:ascii="Times New Roman" w:cs="Times New Roman" w:eastAsia="Times New Roman" w:hAnsi="Times New Roman"/>
          <w:sz w:val="22"/>
          <w:szCs w:val="22"/>
        </w:rPr>
        <w:t xml:space="preserve">Technical validation included separate VRF for management, restricted administrative interfaces, no tenant-to-admin routing path, and hardened service access controls.</w:t>
      </w:r>
    </w:p>
    <w:p>
      <w:pPr>
        <w:spacing w:after="120" w:line="276" w:lineRule="exact"/>
        <w:jc w:val="both"/>
      </w:pPr>
      <w:r>
        <w:rPr>
          <w:rFonts w:ascii="Times New Roman" w:cs="Times New Roman" w:eastAsia="Times New Roman" w:hAnsi="Times New Roman"/>
          <w:sz w:val="22"/>
          <w:szCs w:val="22"/>
        </w:rPr>
        <w:t xml:space="preserve">This confirmed that tenant compromise does not equal platform compromise.</w:t>
      </w:r>
    </w:p>
    <w:p>
      <w:pPr>
        <w:spacing w:after="120" w:line="276" w:lineRule="exact"/>
        <w:jc w:val="both"/>
      </w:pPr>
      <w:r>
        <w:rPr>
          <w:rFonts w:ascii="Times New Roman" w:cs="Times New Roman" w:eastAsia="Times New Roman" w:hAnsi="Times New Roman"/>
          <w:b/>
          <w:bCs/>
          <w:sz w:val="22"/>
          <w:szCs w:val="22"/>
        </w:rPr>
        <w:t xml:space="preserve">Capacity and Placement Governance</w:t>
      </w:r>
    </w:p>
    <w:p>
      <w:pPr>
        <w:spacing w:after="120" w:line="276" w:lineRule="exact"/>
        <w:jc w:val="both"/>
      </w:pPr>
      <w:r>
        <w:rPr>
          <w:rFonts w:ascii="Times New Roman" w:cs="Times New Roman" w:eastAsia="Times New Roman" w:hAnsi="Times New Roman"/>
          <w:sz w:val="22"/>
          <w:szCs w:val="22"/>
        </w:rPr>
        <w:t xml:space="preserve">The implementation included performance monitoring and eligibility checks before instantiation.</w:t>
      </w:r>
    </w:p>
    <w:p>
      <w:pPr>
        <w:spacing w:after="120" w:line="276" w:lineRule="exact"/>
        <w:jc w:val="both"/>
      </w:pPr>
      <w:r>
        <w:rPr>
          <w:rFonts w:ascii="Times New Roman" w:cs="Times New Roman" w:eastAsia="Times New Roman" w:hAnsi="Times New Roman"/>
          <w:sz w:val="22"/>
          <w:szCs w:val="22"/>
        </w:rPr>
        <w:t xml:space="preserve">Technical validation included resource telemetry (CPU, memory, session count), polling and reporting utilities, preflight validation scripts, and capacity gating logic.</w:t>
      </w:r>
    </w:p>
    <w:p>
      <w:pPr>
        <w:spacing w:after="120" w:line="276" w:lineRule="exact"/>
        <w:jc w:val="both"/>
      </w:pPr>
      <w:r>
        <w:rPr>
          <w:rFonts w:ascii="Times New Roman" w:cs="Times New Roman" w:eastAsia="Times New Roman" w:hAnsi="Times New Roman"/>
          <w:sz w:val="22"/>
          <w:szCs w:val="22"/>
        </w:rPr>
        <w:t xml:space="preserve">This confirmed that scale cannot degrade containment guarantees and that oversubscription does not silently erode enforcement integrity.</w:t>
      </w:r>
    </w:p>
    <w:p>
      <w:pPr>
        <w:pStyle w:val="Heading2"/>
      </w:pPr>
      <w:r>
        <w:rPr>
          <w:rFonts w:ascii="Times New Roman" w:cs="Times New Roman" w:eastAsia="Times New Roman" w:hAnsi="Times New Roman"/>
          <w:b/>
          <w:bCs/>
          <w:sz w:val="22"/>
          <w:szCs w:val="22"/>
        </w:rPr>
        <w:t xml:space="preserve">H.3 What Was Proven</w:t>
      </w:r>
    </w:p>
    <w:p>
      <w:pPr>
        <w:spacing w:after="120" w:line="276" w:lineRule="exact"/>
        <w:jc w:val="both"/>
      </w:pPr>
      <w:r>
        <w:rPr>
          <w:rFonts w:ascii="Times New Roman" w:cs="Times New Roman" w:eastAsia="Times New Roman" w:hAnsi="Times New Roman"/>
          <w:b/>
          <w:bCs/>
          <w:sz w:val="22"/>
          <w:szCs w:val="22"/>
        </w:rPr>
        <w:t xml:space="preserve">The validation demonstrated that:</w:t>
      </w:r>
    </w:p>
    <w:p>
      <w:pPr>
        <w:spacing w:after="120" w:line="276" w:lineRule="exact"/>
        <w:jc w:val="both"/>
      </w:pPr>
      <w:r>
        <w:rPr>
          <w:rFonts w:ascii="Times New Roman" w:cs="Times New Roman" w:eastAsia="Times New Roman" w:hAnsi="Times New Roman"/>
          <w:sz w:val="22"/>
          <w:szCs w:val="22"/>
        </w:rPr>
        <w:t xml:space="preserve">Structural tenant isolation is achievable</w:t>
      </w:r>
    </w:p>
    <w:p>
      <w:pPr>
        <w:spacing w:after="120" w:line="276" w:lineRule="exact"/>
        <w:jc w:val="both"/>
      </w:pPr>
      <w:r>
        <w:rPr>
          <w:rFonts w:ascii="Times New Roman" w:cs="Times New Roman" w:eastAsia="Times New Roman" w:hAnsi="Times New Roman"/>
          <w:sz w:val="22"/>
          <w:szCs w:val="22"/>
        </w:rPr>
        <w:t xml:space="preserve">Mediation can replace routed adjacency</w:t>
      </w:r>
    </w:p>
    <w:p>
      <w:pPr>
        <w:spacing w:after="120" w:line="276" w:lineRule="exact"/>
        <w:jc w:val="both"/>
      </w:pPr>
      <w:r>
        <w:rPr>
          <w:rFonts w:ascii="Times New Roman" w:cs="Times New Roman" w:eastAsia="Times New Roman" w:hAnsi="Times New Roman"/>
          <w:sz w:val="22"/>
          <w:szCs w:val="22"/>
        </w:rPr>
        <w:t xml:space="preserve">Transport can be subordinate</w:t>
      </w:r>
    </w:p>
    <w:p>
      <w:pPr>
        <w:spacing w:after="120" w:line="276" w:lineRule="exact"/>
        <w:jc w:val="both"/>
      </w:pPr>
      <w:r>
        <w:rPr>
          <w:rFonts w:ascii="Times New Roman" w:cs="Times New Roman" w:eastAsia="Times New Roman" w:hAnsi="Times New Roman"/>
          <w:sz w:val="22"/>
          <w:szCs w:val="22"/>
        </w:rPr>
        <w:t xml:space="preserve">Identity can be tenant-scoped</w:t>
      </w:r>
    </w:p>
    <w:p>
      <w:pPr>
        <w:spacing w:after="120" w:line="276" w:lineRule="exact"/>
        <w:jc w:val="both"/>
      </w:pPr>
      <w:r>
        <w:rPr>
          <w:rFonts w:ascii="Times New Roman" w:cs="Times New Roman" w:eastAsia="Times New Roman" w:hAnsi="Times New Roman"/>
          <w:sz w:val="22"/>
          <w:szCs w:val="22"/>
        </w:rPr>
        <w:t xml:space="preserve">Inspection can be deterministic</w:t>
      </w:r>
    </w:p>
    <w:p>
      <w:pPr>
        <w:spacing w:after="120" w:line="276" w:lineRule="exact"/>
        <w:jc w:val="both"/>
      </w:pPr>
      <w:r>
        <w:rPr>
          <w:rFonts w:ascii="Times New Roman" w:cs="Times New Roman" w:eastAsia="Times New Roman" w:hAnsi="Times New Roman"/>
          <w:sz w:val="22"/>
          <w:szCs w:val="22"/>
        </w:rPr>
        <w:t xml:space="preserve">Lifecycle can be idempotent</w:t>
      </w:r>
    </w:p>
    <w:p>
      <w:pPr>
        <w:spacing w:after="120" w:line="276" w:lineRule="exact"/>
        <w:jc w:val="both"/>
      </w:pPr>
      <w:r>
        <w:rPr>
          <w:rFonts w:ascii="Times New Roman" w:cs="Times New Roman" w:eastAsia="Times New Roman" w:hAnsi="Times New Roman"/>
          <w:sz w:val="22"/>
          <w:szCs w:val="22"/>
        </w:rPr>
        <w:t xml:space="preserve">Extensions can inherit containment</w:t>
      </w:r>
    </w:p>
    <w:p>
      <w:pPr>
        <w:spacing w:after="120" w:line="276" w:lineRule="exact"/>
        <w:jc w:val="both"/>
      </w:pPr>
      <w:r>
        <w:rPr>
          <w:rFonts w:ascii="Times New Roman" w:cs="Times New Roman" w:eastAsia="Times New Roman" w:hAnsi="Times New Roman"/>
          <w:sz w:val="22"/>
          <w:szCs w:val="22"/>
        </w:rPr>
        <w:t xml:space="preserve">Control planes can remain segregated</w:t>
      </w:r>
    </w:p>
    <w:p>
      <w:pPr>
        <w:spacing w:after="120" w:line="276" w:lineRule="exact"/>
        <w:jc w:val="both"/>
      </w:pPr>
      <w:r>
        <w:rPr>
          <w:rFonts w:ascii="Times New Roman" w:cs="Times New Roman" w:eastAsia="Times New Roman" w:hAnsi="Times New Roman"/>
          <w:sz w:val="22"/>
          <w:szCs w:val="22"/>
        </w:rPr>
        <w:t xml:space="preserve">Governance constructs can map directly to routing constructs</w:t>
      </w:r>
    </w:p>
    <w:p>
      <w:pPr>
        <w:spacing w:after="120" w:line="276" w:lineRule="exact"/>
        <w:jc w:val="both"/>
      </w:pPr>
      <w:r>
        <w:rPr>
          <w:rFonts w:ascii="Times New Roman" w:cs="Times New Roman" w:eastAsia="Times New Roman" w:hAnsi="Times New Roman"/>
          <w:sz w:val="22"/>
          <w:szCs w:val="22"/>
        </w:rPr>
        <w:t xml:space="preserve">The architecture is implementable, not theoretical.</w:t>
      </w:r>
    </w:p>
    <w:p>
      <w:pPr>
        <w:pStyle w:val="Heading2"/>
      </w:pPr>
      <w:r>
        <w:rPr>
          <w:rFonts w:ascii="Times New Roman" w:cs="Times New Roman" w:eastAsia="Times New Roman" w:hAnsi="Times New Roman"/>
          <w:b/>
          <w:bCs/>
          <w:sz w:val="22"/>
          <w:szCs w:val="22"/>
        </w:rPr>
        <w:t xml:space="preserve">H.4 The Critical Insight</w:t>
      </w:r>
    </w:p>
    <w:p>
      <w:pPr>
        <w:spacing w:after="120" w:line="276" w:lineRule="exact"/>
        <w:jc w:val="both"/>
      </w:pPr>
      <w:r>
        <w:rPr>
          <w:rFonts w:ascii="Times New Roman" w:cs="Times New Roman" w:eastAsia="Times New Roman" w:hAnsi="Times New Roman"/>
          <w:b/>
          <w:bCs/>
          <w:sz w:val="22"/>
          <w:szCs w:val="22"/>
        </w:rPr>
        <w:t xml:space="preserve">The validation effort redefined what a third-party connection is:</w:t>
      </w:r>
    </w:p>
    <w:p>
      <w:pPr>
        <w:spacing w:after="120" w:line="276" w:lineRule="exact"/>
        <w:jc w:val="both"/>
      </w:pPr>
      <w:r>
        <w:rPr>
          <w:rFonts w:ascii="Times New Roman" w:cs="Times New Roman" w:eastAsia="Times New Roman" w:hAnsi="Times New Roman"/>
          <w:sz w:val="22"/>
          <w:szCs w:val="22"/>
        </w:rPr>
        <w:t xml:space="preserve">Not a tunnel.</w:t>
      </w:r>
    </w:p>
    <w:p>
      <w:pPr>
        <w:spacing w:after="120" w:line="276" w:lineRule="exact"/>
        <w:jc w:val="both"/>
      </w:pPr>
      <w:r>
        <w:rPr>
          <w:rFonts w:ascii="Times New Roman" w:cs="Times New Roman" w:eastAsia="Times New Roman" w:hAnsi="Times New Roman"/>
          <w:sz w:val="22"/>
          <w:szCs w:val="22"/>
        </w:rPr>
        <w:t xml:space="preserve">Not a firewall rule.</w:t>
      </w:r>
    </w:p>
    <w:p>
      <w:pPr>
        <w:spacing w:after="120" w:line="276" w:lineRule="exact"/>
        <w:jc w:val="both"/>
      </w:pPr>
      <w:r>
        <w:rPr>
          <w:rFonts w:ascii="Times New Roman" w:cs="Times New Roman" w:eastAsia="Times New Roman" w:hAnsi="Times New Roman"/>
          <w:sz w:val="22"/>
          <w:szCs w:val="22"/>
        </w:rPr>
        <w:t xml:space="preserve">Not a route.</w:t>
      </w:r>
    </w:p>
    <w:p>
      <w:pPr>
        <w:spacing w:after="120" w:line="276" w:lineRule="exact"/>
        <w:jc w:val="both"/>
      </w:pPr>
      <w:r>
        <w:rPr>
          <w:rFonts w:ascii="Times New Roman" w:cs="Times New Roman" w:eastAsia="Times New Roman" w:hAnsi="Times New Roman"/>
          <w:sz w:val="22"/>
          <w:szCs w:val="22"/>
        </w:rPr>
        <w:t xml:space="preserve">But a bounded, lifecycle-managed, mediated exposure domain.</w:t>
      </w:r>
    </w:p>
    <w:p>
      <w:pPr>
        <w:spacing w:after="120" w:line="276" w:lineRule="exact"/>
        <w:jc w:val="both"/>
      </w:pPr>
      <w:r>
        <w:rPr>
          <w:rFonts w:ascii="Times New Roman" w:cs="Times New Roman" w:eastAsia="Times New Roman" w:hAnsi="Times New Roman"/>
          <w:sz w:val="22"/>
          <w:szCs w:val="22"/>
        </w:rPr>
        <w:t xml:space="preserve">This fundamental reconceptualization—validated through implementation—enables enterprises to govern connectivity at the same scale and pace as business growth, transforming third-party integration from an accumulation of network artifacts into a structured, accountable, and reversible capability aligned to enterprise objectives.</w:t>
      </w:r>
    </w:p>
    <w:p>
      <w:r>
        <w:br w:type="page"/>
      </w:r>
    </w:p>
    <w:p>
      <w:pPr>
        <w:pStyle w:val="Heading1"/>
      </w:pPr>
      <w:r>
        <w:rPr>
          <w:rFonts w:ascii="Times New Roman" w:cs="Times New Roman" w:eastAsia="Times New Roman" w:hAnsi="Times New Roman"/>
          <w:b/>
          <w:bCs/>
          <w:caps/>
          <w:sz w:val="26"/>
          <w:szCs w:val="26"/>
        </w:rPr>
        <w:t xml:space="preserve">APPENDICES — IDENTITY AND ZERO TRUST ARCHITECTURE</w:t>
      </w:r>
    </w:p>
    <w:p>
      <w:r>
        <w:br w:type="page"/>
      </w:r>
    </w:p>
    <w:p>
      <w:pPr>
        <w:pStyle w:val="Heading1"/>
      </w:pPr>
      <w:r>
        <w:rPr>
          <w:rFonts w:ascii="Times New Roman" w:cs="Times New Roman" w:eastAsia="Times New Roman" w:hAnsi="Times New Roman"/>
          <w:b/>
          <w:bCs/>
          <w:caps/>
          <w:sz w:val="26"/>
          <w:szCs w:val="26"/>
        </w:rPr>
        <w:t xml:space="preserve">APPENDIX I — MUTUAL TLS (MTLS) IN A ZERO TRUST ARCHITECTURE</w:t>
      </w:r>
    </w:p>
    <w:p>
      <w:pPr>
        <w:spacing w:after="120" w:line="276" w:lineRule="exact"/>
        <w:jc w:val="both"/>
      </w:pPr>
      <w:r>
        <w:rPr>
          <w:rFonts w:ascii="Times New Roman" w:cs="Times New Roman" w:eastAsia="Times New Roman" w:hAnsi="Times New Roman"/>
          <w:sz w:val="22"/>
          <w:szCs w:val="22"/>
        </w:rPr>
        <w:t xml:space="preserve">mTLS is the foundational mechanism for establishing authenticated, confidential channels between workloads and between users and edge components. It provides strong machine identity, but it is not a complete Zero Trust control plane by itself.</w:t>
      </w:r>
    </w:p>
    <w:p>
      <w:pPr>
        <w:pStyle w:val="Heading2"/>
      </w:pPr>
      <w:r>
        <w:rPr>
          <w:rFonts w:ascii="Times New Roman" w:cs="Times New Roman" w:eastAsia="Times New Roman" w:hAnsi="Times New Roman"/>
          <w:b/>
          <w:bCs/>
          <w:sz w:val="22"/>
          <w:szCs w:val="22"/>
        </w:rPr>
        <w:t xml:space="preserve">I.1 Conceptual Role of mTLS</w:t>
      </w:r>
    </w:p>
    <w:p>
      <w:pPr>
        <w:spacing w:after="120" w:line="276" w:lineRule="exact"/>
        <w:jc w:val="both"/>
      </w:pPr>
      <w:r>
        <w:rPr>
          <w:rFonts w:ascii="Times New Roman" w:cs="Times New Roman" w:eastAsia="Times New Roman" w:hAnsi="Times New Roman"/>
          <w:b/>
          <w:bCs/>
          <w:sz w:val="22"/>
          <w:szCs w:val="22"/>
        </w:rPr>
        <w:t xml:space="preserve">At its core, mTLS extends traditional TLS by requiring both endpoints to present and validate X.509 certificates: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Each endpoint proves possession of a private key bound to an identity encoded in its certificate (CN/SAN, SPIFFE ID, URI, etc.).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Both endpoints validate the peer's certificate chain against a trusted root CA and apply local policy (e.g., allowed issuers, allowed SAN patterns).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Once mutual authentication succeeds, the TLS stack derives symmetric session keys and exposes a secure, authenticated channel to the application.</w:t>
      </w:r>
    </w:p>
    <w:p>
      <w:pPr>
        <w:spacing w:after="120" w:line="276" w:lineRule="exact"/>
        <w:jc w:val="both"/>
      </w:pPr>
      <w:r>
        <w:rPr>
          <w:rFonts w:ascii="Times New Roman" w:cs="Times New Roman" w:eastAsia="Times New Roman" w:hAnsi="Times New Roman"/>
          <w:sz w:val="22"/>
          <w:szCs w:val="22"/>
        </w:rPr>
        <w:t xml:space="preserve">Important nuance: mTLS operates strictly at the transport layer; the application only sees a "trusted peer" unless it explicitly inspects certificate attributes or is fronted by a sidecar/mesh that translates workload identity into higher-level policy signals.</w:t>
      </w:r>
    </w:p>
    <w:p>
      <w:pPr>
        <w:pStyle w:val="Heading2"/>
      </w:pPr>
      <w:r>
        <w:rPr>
          <w:rFonts w:ascii="Times New Roman" w:cs="Times New Roman" w:eastAsia="Times New Roman" w:hAnsi="Times New Roman"/>
          <w:b/>
          <w:bCs/>
          <w:sz w:val="22"/>
          <w:szCs w:val="22"/>
        </w:rPr>
        <w:t xml:space="preserve">I.2 Certificate Lifecycle State Machine</w:t>
      </w:r>
    </w:p>
    <w:p>
      <w:pPr>
        <w:spacing w:after="120" w:line="276" w:lineRule="exact"/>
        <w:jc w:val="both"/>
      </w:pPr>
      <w:r>
        <w:rPr>
          <w:rFonts w:ascii="Times New Roman" w:cs="Times New Roman" w:eastAsia="Times New Roman" w:hAnsi="Times New Roman"/>
          <w:sz w:val="22"/>
          <w:szCs w:val="22"/>
        </w:rPr>
        <w:t xml:space="preserve">In ZT-native environments, certificate lifecycle is short, automated, and policy-driven rather than manual and annual. The following state machine describes the complete lifecycle:</w:t>
      </w:r>
    </w:p>
    <w:p>
      <w:pPr>
        <w:shd w:fill="F5F5F5" w:val="clear"/>
        <w:spacing w:after="0" w:line="200" w:lineRule="exact"/>
        <w:ind w:left="360"/>
      </w:pPr>
      <w:r>
        <w:rPr>
          <w:rFonts w:ascii="Consolas" w:cs="Consolas" w:eastAsia="Consolas" w:hAnsi="Consolas"/>
          <w:sz w:val="17"/>
          <w:szCs w:val="17"/>
        </w:rPr>
        <w:t xml:space="preserve">[KeyNotPresent]</w:t>
      </w:r>
    </w:p>
    <w:p>
      <w:pPr>
        <w:shd w:fill="F5F5F5" w:val="clear"/>
        <w:spacing w:after="0" w:line="200" w:lineRule="exact"/>
        <w:ind w:left="360"/>
      </w:pPr>
      <w:r>
        <w:rPr>
          <w:rFonts w:ascii="Consolas" w:cs="Consolas" w:eastAsia="Consolas" w:hAnsi="Consolas"/>
          <w:sz w:val="17"/>
          <w:szCs w:val="17"/>
        </w:rPr>
        <w:t xml:space="preserve">| (generate asymmetric key pair: RSA/EC)</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[KeyGenerated]</w:t>
      </w:r>
    </w:p>
    <w:p>
      <w:pPr>
        <w:shd w:fill="F5F5F5" w:val="clear"/>
        <w:spacing w:after="0" w:line="200" w:lineRule="exact"/>
        <w:ind w:left="360"/>
      </w:pPr>
      <w:r>
        <w:rPr>
          <w:rFonts w:ascii="Consolas" w:cs="Consolas" w:eastAsia="Consolas" w:hAnsi="Consolas"/>
          <w:sz w:val="17"/>
          <w:szCs w:val="17"/>
        </w:rPr>
        <w:t xml:space="preserve">| (construct CSR: subject, SAN, SPIFFE ID, extensions)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[CSRCreated]</w:t>
      </w:r>
    </w:p>
    <w:p>
      <w:pPr>
        <w:shd w:fill="F5F5F5" w:val="clear"/>
        <w:spacing w:after="0" w:line="200" w:lineRule="exact"/>
        <w:ind w:left="360"/>
      </w:pPr>
      <w:r>
        <w:rPr>
          <w:rFonts w:ascii="Consolas" w:cs="Consolas" w:eastAsia="Consolas" w:hAnsi="Consolas"/>
          <w:sz w:val="17"/>
          <w:szCs w:val="17"/>
        </w:rPr>
        <w:t xml:space="preserve">| (submit CSR to CA over authenticated channel)</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[PendingIssuance]</w:t>
      </w:r>
    </w:p>
    <w:p>
      <w:pPr>
        <w:shd w:fill="F5F5F5" w:val="clear"/>
        <w:spacing w:after="0" w:line="200" w:lineRule="exact"/>
        <w:ind w:left="360"/>
      </w:pPr>
      <w:r>
        <w:rPr>
          <w:rFonts w:ascii="Consolas" w:cs="Consolas" w:eastAsia="Consolas" w:hAnsi="Consolas"/>
          <w:sz w:val="17"/>
          <w:szCs w:val="17"/>
        </w:rPr>
        <w:t xml:space="preserve">| (CA applies issuance policy:</w:t>
      </w:r>
    </w:p>
    <w:p>
      <w:pPr>
        <w:shd w:fill="F5F5F5" w:val="clear"/>
        <w:spacing w:after="0" w:line="200" w:lineRule="exact"/>
        <w:ind w:left="360"/>
      </w:pPr>
      <w:r>
        <w:rPr>
          <w:rFonts w:ascii="Consolas" w:cs="Consolas" w:eastAsia="Consolas" w:hAnsi="Consolas"/>
          <w:sz w:val="17"/>
          <w:szCs w:val="17"/>
        </w:rPr>
        <w:t xml:space="preserve">| - caller identity</w:t>
      </w:r>
    </w:p>
    <w:p>
      <w:pPr>
        <w:shd w:fill="F5F5F5" w:val="clear"/>
        <w:spacing w:after="0" w:line="200" w:lineRule="exact"/>
        <w:ind w:left="360"/>
      </w:pPr>
      <w:r>
        <w:rPr>
          <w:rFonts w:ascii="Consolas" w:cs="Consolas" w:eastAsia="Consolas" w:hAnsi="Consolas"/>
          <w:sz w:val="17"/>
          <w:szCs w:val="17"/>
        </w:rPr>
        <w:t xml:space="preserve">| - namespace/tenant constraints</w:t>
      </w:r>
    </w:p>
    <w:p>
      <w:pPr>
        <w:shd w:fill="F5F5F5" w:val="clear"/>
        <w:spacing w:after="0" w:line="200" w:lineRule="exact"/>
        <w:ind w:left="360"/>
      </w:pPr>
      <w:r>
        <w:rPr>
          <w:rFonts w:ascii="Consolas" w:cs="Consolas" w:eastAsia="Consolas" w:hAnsi="Consolas"/>
          <w:sz w:val="17"/>
          <w:szCs w:val="17"/>
        </w:rPr>
        <w:t xml:space="preserve">| - allowed SAN/URI patterns</w:t>
      </w:r>
    </w:p>
    <w:p>
      <w:pPr>
        <w:shd w:fill="F5F5F5" w:val="clear"/>
        <w:spacing w:after="0" w:line="200" w:lineRule="exact"/>
        <w:ind w:left="360"/>
      </w:pPr>
      <w:r>
        <w:rPr>
          <w:rFonts w:ascii="Consolas" w:cs="Consolas" w:eastAsia="Consolas" w:hAnsi="Consolas"/>
          <w:sz w:val="17"/>
          <w:szCs w:val="17"/>
        </w:rPr>
        <w:t xml:space="preserve">| - key usage / EKU)</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[CertIssued]</w:t>
      </w:r>
    </w:p>
    <w:p>
      <w:pPr>
        <w:shd w:fill="F5F5F5" w:val="clear"/>
        <w:spacing w:after="0" w:line="200" w:lineRule="exact"/>
        <w:ind w:left="360"/>
      </w:pPr>
      <w:r>
        <w:rPr>
          <w:rFonts w:ascii="Consolas" w:cs="Consolas" w:eastAsia="Consolas" w:hAnsi="Consolas"/>
          <w:sz w:val="17"/>
          <w:szCs w:val="17"/>
        </w:rPr>
        <w:t xml:space="preserve">| (return leaf cert + chain to requester)</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[CertActive]</w:t>
      </w:r>
    </w:p>
    <w:p>
      <w:pPr>
        <w:shd w:fill="F5F5F5" w:val="clear"/>
        <w:spacing w:after="0" w:line="200" w:lineRule="exact"/>
        <w:ind w:left="360"/>
      </w:pPr>
      <w:r>
        <w:rPr>
          <w:rFonts w:ascii="Consolas" w:cs="Consolas" w:eastAsia="Consolas" w:hAnsi="Consolas"/>
          <w:sz w:val="17"/>
          <w:szCs w:val="17"/>
        </w:rPr>
        <w:t xml:space="preserve">&gt; |--(time passes, validity window shrinking)→ [CertNearingExpiry]</w:t>
      </w:r>
    </w:p>
    <w:p>
      <w:pPr>
        <w:shd w:fill="F5F5F5" w:val="clear"/>
        <w:spacing w:after="0" w:line="200" w:lineRule="exact"/>
        <w:ind w:left="360"/>
      </w:pPr>
      <w:r>
        <w:rPr>
          <w:rFonts w:ascii="Consolas" w:cs="Consolas" w:eastAsia="Consolas" w:hAnsi="Consolas"/>
          <w:sz w:val="17"/>
          <w:szCs w:val="17"/>
        </w:rPr>
        <w:t xml:space="preserve">| |</w:t>
      </w:r>
    </w:p>
    <w:p>
      <w:pPr>
        <w:shd w:fill="F5F5F5" w:val="clear"/>
        <w:spacing w:after="0" w:line="200" w:lineRule="exact"/>
        <w:ind w:left="360"/>
      </w:pPr>
      <w:r>
        <w:rPr>
          <w:rFonts w:ascii="Consolas" w:cs="Consolas" w:eastAsia="Consolas" w:hAnsi="Consolas"/>
          <w:sz w:val="17"/>
          <w:szCs w:val="17"/>
        </w:rPr>
        <w:t xml:space="preserve">| (auto-renew: new CSR,</w:t>
      </w:r>
    </w:p>
    <w:p>
      <w:pPr>
        <w:shd w:fill="F5F5F5" w:val="clear"/>
        <w:spacing w:after="0" w:line="200" w:lineRule="exact"/>
        <w:ind w:left="360"/>
      </w:pPr>
      <w:r>
        <w:rPr>
          <w:rFonts w:ascii="Consolas" w:cs="Consolas" w:eastAsia="Consolas" w:hAnsi="Consolas"/>
          <w:sz w:val="17"/>
          <w:szCs w:val="17"/>
        </w:rPr>
        <w:t xml:space="preserve">| same or updated identity)</w:t>
      </w:r>
    </w:p>
    <w:p>
      <w:pPr>
        <w:shd w:fill="F5F5F5" w:val="clear"/>
        <w:spacing w:after="0" w:line="200" w:lineRule="exact"/>
        <w:ind w:left="360"/>
      </w:pPr>
      <w:r>
        <w:rPr>
          <w:rFonts w:ascii="Consolas" w:cs="Consolas" w:eastAsia="Consolas" w:hAnsi="Consolas"/>
          <w:sz w:val="17"/>
          <w:szCs w:val="17"/>
        </w:rPr>
        <w:t xml:space="preserve">| v</w:t>
      </w:r>
    </w:p>
    <w:p>
      <w:pPr>
        <w:shd w:fill="F5F5F5" w:val="clear"/>
        <w:spacing w:after="0" w:line="200" w:lineRule="exact"/>
        <w:ind w:left="360"/>
      </w:pPr>
      <w:r>
        <w:rPr>
          <w:rFonts w:ascii="Consolas" w:cs="Consolas" w:eastAsia="Consolas" w:hAnsi="Consolas"/>
          <w:sz w:val="17"/>
          <w:szCs w:val="17"/>
        </w:rPr>
        <w:t xml:space="preserve">| [RenewalInProgress]</w:t>
      </w:r>
    </w:p>
    <w:p>
      <w:pPr>
        <w:shd w:fill="F5F5F5" w:val="clear"/>
        <w:spacing w:after="0" w:line="200" w:lineRule="exact"/>
        <w:ind w:left="360"/>
      </w:pPr>
      <w:r>
        <w:rPr>
          <w:rFonts w:ascii="Consolas" w:cs="Consolas" w:eastAsia="Consolas" w:hAnsi="Consolas"/>
          <w:sz w:val="17"/>
          <w:szCs w:val="17"/>
        </w:rPr>
        <w:t xml:space="preserve">| |</w:t>
      </w:r>
    </w:p>
    <w:p>
      <w:pPr>
        <w:shd w:fill="F5F5F5" w:val="clear"/>
        <w:spacing w:after="0" w:line="200" w:lineRule="exact"/>
        <w:ind w:left="360"/>
      </w:pPr>
      <w:r>
        <w:rPr>
          <w:rFonts w:ascii="Consolas" w:cs="Consolas" w:eastAsia="Consolas" w:hAnsi="Consolas"/>
          <w:sz w:val="17"/>
          <w:szCs w:val="17"/>
        </w:rPr>
        <w:t xml:space="preserve">|&lt;—————————————————[RenewedCertActive]</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|--(admin revocation / key compromise / posture change)→ [CertRevoked]</w:t>
      </w:r>
    </w:p>
    <w:p>
      <w:pPr>
        <w:spacing w:after="120" w:line="276" w:lineRule="exact"/>
        <w:jc w:val="both"/>
      </w:pPr>
      <w:r>
        <w:rPr>
          <w:rFonts w:ascii="Times New Roman" w:cs="Times New Roman" w:eastAsia="Times New Roman" w:hAnsi="Times New Roman"/>
          <w:b/>
          <w:bCs/>
          <w:sz w:val="22"/>
          <w:szCs w:val="22"/>
        </w:rPr>
        <w:t xml:space="preserve">Key design points for architects: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Short-lived certificates (hours to days) drastically reduce the value of stolen keys and force operational automation.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Central CA policy enforces namespace and identity hygiene (e.g., a workload in namespace 'payments' can only get spiffe://corp/app/payments/\*).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Revocation typically relies on fast rotation plus tight lifetimes rather than heavy CRL/OCSP use; meshes often sidestep OCSP entirely in favor of 'just reissue.'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Legacy patterns often collapse this entire state machine into 'CertActive for years, then a painful manual renewal,' which is incompatible with Zero Trust assumptions.</w:t>
      </w:r>
    </w:p>
    <w:p>
      <w:pPr>
        <w:pStyle w:val="Heading2"/>
      </w:pPr>
      <w:r>
        <w:rPr>
          <w:rFonts w:ascii="Times New Roman" w:cs="Times New Roman" w:eastAsia="Times New Roman" w:hAnsi="Times New Roman"/>
          <w:b/>
          <w:bCs/>
          <w:sz w:val="22"/>
          <w:szCs w:val="22"/>
        </w:rPr>
        <w:t xml:space="preserve">I.3 Connection-Level mTLS Handshake State Machine</w:t>
      </w:r>
    </w:p>
    <w:p>
      <w:pPr>
        <w:shd w:fill="F5F5F5" w:val="clear"/>
        <w:spacing w:after="0" w:line="200" w:lineRule="exact"/>
        <w:ind w:left="360"/>
      </w:pPr>
      <w:r>
        <w:rPr>
          <w:rFonts w:ascii="Consolas" w:cs="Consolas" w:eastAsia="Consolas" w:hAnsi="Consolas"/>
          <w:sz w:val="17"/>
          <w:szCs w:val="17"/>
        </w:rPr>
        <w:t xml:space="preserve">[ConnInit]</w:t>
      </w:r>
    </w:p>
    <w:p>
      <w:pPr>
        <w:shd w:fill="F5F5F5" w:val="clear"/>
        <w:spacing w:after="0" w:line="200" w:lineRule="exact"/>
        <w:ind w:left="360"/>
      </w:pPr>
      <w:r>
        <w:rPr>
          <w:rFonts w:ascii="Consolas" w:cs="Consolas" w:eastAsia="Consolas" w:hAnsi="Consolas"/>
          <w:sz w:val="17"/>
          <w:szCs w:val="17"/>
        </w:rPr>
        <w:t xml:space="preserve">| (TCP 3-way handshake complete)</w:t>
      </w:r>
    </w:p>
    <w:p>
      <w:pPr>
        <w:shd w:fill="F5F5F5" w:val="clear"/>
        <w:spacing w:after="0" w:line="200" w:lineRule="exact"/>
        <w:ind w:left="360"/>
      </w:pPr>
      <w:r>
        <w:rPr>
          <w:rFonts w:ascii="Consolas" w:cs="Consolas" w:eastAsia="Consolas" w:hAnsi="Consolas"/>
          <w:sz w:val="17"/>
          <w:szCs w:val="17"/>
        </w:rPr>
        <w:t xml:space="preserve">| (client sends ClientHello with SNI, cipher suites, ALPN)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[ServerHello]</w:t>
      </w:r>
    </w:p>
    <w:p>
      <w:pPr>
        <w:shd w:fill="F5F5F5" w:val="clear"/>
        <w:spacing w:after="0" w:line="200" w:lineRule="exact"/>
        <w:ind w:left="360"/>
      </w:pPr>
      <w:r>
        <w:rPr>
          <w:rFonts w:ascii="Consolas" w:cs="Consolas" w:eastAsia="Consolas" w:hAnsi="Consolas"/>
          <w:sz w:val="17"/>
          <w:szCs w:val="17"/>
        </w:rPr>
        <w:t xml:space="preserve">| (server selects cipher, ALPN; sends ServerHello + Certificate chain)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[ServerCertValidate]</w:t>
      </w:r>
    </w:p>
    <w:p>
      <w:pPr>
        <w:shd w:fill="F5F5F5" w:val="clear"/>
        <w:spacing w:after="0" w:line="200" w:lineRule="exact"/>
        <w:ind w:left="360"/>
      </w:pPr>
      <w:r>
        <w:rPr>
          <w:rFonts w:ascii="Consolas" w:cs="Consolas" w:eastAsia="Consolas" w:hAnsi="Consolas"/>
          <w:sz w:val="17"/>
          <w:szCs w:val="17"/>
        </w:rPr>
        <w:t xml:space="preserve">| (client validates:</w:t>
      </w:r>
    </w:p>
    <w:p>
      <w:pPr>
        <w:shd w:fill="F5F5F5" w:val="clear"/>
        <w:spacing w:after="0" w:line="200" w:lineRule="exact"/>
        <w:ind w:left="360"/>
      </w:pPr>
      <w:r>
        <w:rPr>
          <w:rFonts w:ascii="Consolas" w:cs="Consolas" w:eastAsia="Consolas" w:hAnsi="Consolas"/>
          <w:sz w:val="17"/>
          <w:szCs w:val="17"/>
        </w:rPr>
        <w:t xml:space="preserve">| - signature chain to trusted CA</w:t>
      </w:r>
    </w:p>
    <w:p>
      <w:pPr>
        <w:shd w:fill="F5F5F5" w:val="clear"/>
        <w:spacing w:after="0" w:line="200" w:lineRule="exact"/>
        <w:ind w:left="360"/>
      </w:pPr>
      <w:r>
        <w:rPr>
          <w:rFonts w:ascii="Consolas" w:cs="Consolas" w:eastAsia="Consolas" w:hAnsi="Consolas"/>
          <w:sz w:val="17"/>
          <w:szCs w:val="17"/>
        </w:rPr>
        <w:t xml:space="preserve">| - validity period</w:t>
      </w:r>
    </w:p>
    <w:p>
      <w:pPr>
        <w:shd w:fill="F5F5F5" w:val="clear"/>
        <w:spacing w:after="0" w:line="200" w:lineRule="exact"/>
        <w:ind w:left="360"/>
      </w:pPr>
      <w:r>
        <w:rPr>
          <w:rFonts w:ascii="Consolas" w:cs="Consolas" w:eastAsia="Consolas" w:hAnsi="Consolas"/>
          <w:sz w:val="17"/>
          <w:szCs w:val="17"/>
        </w:rPr>
        <w:t xml:space="preserve">| - revocation status (optional)</w:t>
      </w:r>
    </w:p>
    <w:p>
      <w:pPr>
        <w:shd w:fill="F5F5F5" w:val="clear"/>
        <w:spacing w:after="0" w:line="200" w:lineRule="exact"/>
        <w:ind w:left="360"/>
      </w:pPr>
      <w:r>
        <w:rPr>
          <w:rFonts w:ascii="Consolas" w:cs="Consolas" w:eastAsia="Consolas" w:hAnsi="Consolas"/>
          <w:sz w:val="17"/>
          <w:szCs w:val="17"/>
        </w:rPr>
        <w:t xml:space="preserve">| - hostname/SAN match or SPIFFE URI)</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[ServerAuthResult]</w:t>
      </w:r>
    </w:p>
    <w:p>
      <w:pPr>
        <w:shd w:fill="F5F5F5" w:val="clear"/>
        <w:spacing w:after="0" w:line="200" w:lineRule="exact"/>
        <w:ind w:left="360"/>
      </w:pPr>
      <w:r>
        <w:rPr>
          <w:rFonts w:ascii="Consolas" w:cs="Consolas" w:eastAsia="Consolas" w:hAnsi="Consolas"/>
          <w:sz w:val="17"/>
          <w:szCs w:val="17"/>
        </w:rPr>
        <w:t xml:space="preserve">&gt; |--(validation failed)--→ [ConnFail]</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|--(validation succeeded)-&gt; [ServerAuthOK]</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(server sends CertificateRequest)</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[ClientCertSend]</w:t>
      </w:r>
    </w:p>
    <w:p>
      <w:pPr>
        <w:shd w:fill="F5F5F5" w:val="clear"/>
        <w:spacing w:after="0" w:line="200" w:lineRule="exact"/>
        <w:ind w:left="360"/>
      </w:pPr>
      <w:r>
        <w:rPr>
          <w:rFonts w:ascii="Consolas" w:cs="Consolas" w:eastAsia="Consolas" w:hAnsi="Consolas"/>
          <w:sz w:val="17"/>
          <w:szCs w:val="17"/>
        </w:rPr>
        <w:t xml:space="preserve">| (client sends certificate chain + key exchange params)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[ClientCertValidate]</w:t>
      </w:r>
    </w:p>
    <w:p>
      <w:pPr>
        <w:shd w:fill="F5F5F5" w:val="clear"/>
        <w:spacing w:after="0" w:line="200" w:lineRule="exact"/>
        <w:ind w:left="360"/>
      </w:pPr>
      <w:r>
        <w:rPr>
          <w:rFonts w:ascii="Consolas" w:cs="Consolas" w:eastAsia="Consolas" w:hAnsi="Consolas"/>
          <w:sz w:val="17"/>
          <w:szCs w:val="17"/>
        </w:rPr>
        <w:t xml:space="preserve">| (server validates client:</w:t>
      </w:r>
    </w:p>
    <w:p>
      <w:pPr>
        <w:shd w:fill="F5F5F5" w:val="clear"/>
        <w:spacing w:after="0" w:line="200" w:lineRule="exact"/>
        <w:ind w:left="360"/>
      </w:pPr>
      <w:r>
        <w:rPr>
          <w:rFonts w:ascii="Consolas" w:cs="Consolas" w:eastAsia="Consolas" w:hAnsi="Consolas"/>
          <w:sz w:val="17"/>
          <w:szCs w:val="17"/>
        </w:rPr>
        <w:t xml:space="preserve">| - chain to trusted CA</w:t>
      </w:r>
    </w:p>
    <w:p>
      <w:pPr>
        <w:shd w:fill="F5F5F5" w:val="clear"/>
        <w:spacing w:after="0" w:line="200" w:lineRule="exact"/>
        <w:ind w:left="360"/>
      </w:pPr>
      <w:r>
        <w:rPr>
          <w:rFonts w:ascii="Consolas" w:cs="Consolas" w:eastAsia="Consolas" w:hAnsi="Consolas"/>
          <w:sz w:val="17"/>
          <w:szCs w:val="17"/>
        </w:rPr>
        <w:t xml:space="preserve">| - SAN/URI allowed?</w:t>
      </w:r>
    </w:p>
    <w:p>
      <w:pPr>
        <w:shd w:fill="F5F5F5" w:val="clear"/>
        <w:spacing w:after="0" w:line="200" w:lineRule="exact"/>
        <w:ind w:left="360"/>
      </w:pPr>
      <w:r>
        <w:rPr>
          <w:rFonts w:ascii="Consolas" w:cs="Consolas" w:eastAsia="Consolas" w:hAnsi="Consolas"/>
          <w:sz w:val="17"/>
          <w:szCs w:val="17"/>
        </w:rPr>
        <w:t xml:space="preserve">| - not expired / revoked)</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[MutualAuthResult]</w:t>
      </w:r>
    </w:p>
    <w:p>
      <w:pPr>
        <w:shd w:fill="F5F5F5" w:val="clear"/>
        <w:spacing w:after="0" w:line="200" w:lineRule="exact"/>
        <w:ind w:left="360"/>
      </w:pPr>
      <w:r>
        <w:rPr>
          <w:rFonts w:ascii="Consolas" w:cs="Consolas" w:eastAsia="Consolas" w:hAnsi="Consolas"/>
          <w:sz w:val="17"/>
          <w:szCs w:val="17"/>
        </w:rPr>
        <w:t xml:space="preserve">&gt; |--(failed)→ [ConnFail]</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|--(succeeded)→ [MutualAuthOK]</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(derive session keys, exchange Finished)</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[SecureChannelEstablished]</w:t>
      </w:r>
    </w:p>
    <w:p>
      <w:pPr>
        <w:pStyle w:val="Heading2"/>
      </w:pPr>
      <w:r>
        <w:rPr>
          <w:rFonts w:ascii="Times New Roman" w:cs="Times New Roman" w:eastAsia="Times New Roman" w:hAnsi="Times New Roman"/>
          <w:b/>
          <w:bCs/>
          <w:sz w:val="22"/>
          <w:szCs w:val="22"/>
        </w:rPr>
        <w:t xml:space="preserve">I.4 What mTLS Provides and What It Does Not</w:t>
      </w:r>
    </w:p>
    <w:p>
      <w:pPr>
        <w:spacing w:after="120" w:line="276" w:lineRule="exact"/>
        <w:jc w:val="both"/>
      </w:pPr>
      <w:r>
        <w:rPr>
          <w:rFonts w:ascii="Times New Roman" w:cs="Times New Roman" w:eastAsia="Times New Roman" w:hAnsi="Times New Roman"/>
          <w:b/>
          <w:bCs/>
          <w:sz w:val="22"/>
          <w:szCs w:val="22"/>
        </w:rPr>
        <w:t xml:space="preserve">Capabilities: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Machine and workload authentication based on certificate identity.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Channel confidentiality and integrity between the two endpoints.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Resistance to impersonation and some MITM forms, assuming CA hygiene and key protection.</w:t>
      </w:r>
    </w:p>
    <w:p>
      <w:pPr>
        <w:spacing w:after="120" w:line="276" w:lineRule="exact"/>
        <w:jc w:val="both"/>
      </w:pPr>
      <w:r>
        <w:rPr>
          <w:rFonts w:ascii="Times New Roman" w:cs="Times New Roman" w:eastAsia="Times New Roman" w:hAnsi="Times New Roman"/>
          <w:b/>
          <w:bCs/>
          <w:sz w:val="22"/>
          <w:szCs w:val="22"/>
        </w:rPr>
        <w:t xml:space="preserve">Non-capabilities (must be provided elsewhere):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User identity and contextual claims (groups, device posture, risk).</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Business intent understanding (e.g., what API method is being invoked).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Authorization decisions and least privilege enforcement.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Continuous risk evaluation beyond certificate validity.</w:t>
      </w:r>
    </w:p>
    <w:p>
      <w:pPr>
        <w:spacing w:after="120" w:line="276" w:lineRule="exact"/>
        <w:jc w:val="both"/>
      </w:pPr>
      <w:r>
        <w:rPr>
          <w:rFonts w:ascii="Times New Roman" w:cs="Times New Roman" w:eastAsia="Times New Roman" w:hAnsi="Times New Roman"/>
          <w:sz w:val="22"/>
          <w:szCs w:val="22"/>
        </w:rPr>
        <w:t xml:space="preserve">Even if user identifiers are encoded in SANs, they are static identifiers and not a substitute for dynamic, context-rich application tokens.</w:t>
      </w:r>
    </w:p>
    <w:p>
      <w:pPr>
        <w:pStyle w:val="Heading2"/>
      </w:pPr>
      <w:r>
        <w:rPr>
          <w:rFonts w:ascii="Times New Roman" w:cs="Times New Roman" w:eastAsia="Times New Roman" w:hAnsi="Times New Roman"/>
          <w:b/>
          <w:bCs/>
          <w:sz w:val="22"/>
          <w:szCs w:val="22"/>
        </w:rPr>
        <w:t xml:space="preserve">I.5 ZT-Native vs. Legacy Usage Patterns</w:t>
      </w:r>
    </w:p>
    <w:p>
      <w:pPr>
        <w:spacing w:after="120" w:line="276" w:lineRule="exact"/>
        <w:jc w:val="both"/>
      </w:pPr>
      <w:r>
        <w:rPr>
          <w:rFonts w:ascii="Times New Roman" w:cs="Times New Roman" w:eastAsia="Times New Roman" w:hAnsi="Times New Roman"/>
          <w:b/>
          <w:bCs/>
          <w:sz w:val="22"/>
          <w:szCs w:val="22"/>
        </w:rPr>
        <w:t xml:space="preserve">In a ZT-native application stack:</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Each workload (pod, VM, function) has a unique, short-lived certificate bound to a scoped identity.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Automated issuance and rotation are built into the platform (e.g., mesh CA, cloud CA, internal PKI integrated with orchestrator).</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Authorization policies (at mesh, gateway, or service level) consume the mTLS identity to enforce explicit allow-lists for east-west calls.</w:t>
      </w:r>
    </w:p>
    <w:p>
      <w:pPr>
        <w:spacing w:after="120" w:line="276" w:lineRule="exact"/>
        <w:jc w:val="both"/>
      </w:pPr>
      <w:r>
        <w:rPr>
          <w:rFonts w:ascii="Times New Roman" w:cs="Times New Roman" w:eastAsia="Times New Roman" w:hAnsi="Times New Roman"/>
          <w:b/>
          <w:bCs/>
          <w:sz w:val="22"/>
          <w:szCs w:val="22"/>
        </w:rPr>
        <w:t xml:space="preserve">Illustrative ZT-native call:</w:t>
      </w:r>
    </w:p>
    <w:p>
      <w:pPr>
        <w:shd w:fill="F5F5F5" w:val="clear"/>
        <w:spacing w:after="0" w:line="200" w:lineRule="exact"/>
        <w:ind w:left="360"/>
      </w:pPr>
      <w:r>
        <w:rPr>
          <w:rFonts w:ascii="Consolas" w:cs="Consolas" w:eastAsia="Consolas" w:hAnsi="Consolas"/>
          <w:sz w:val="17"/>
          <w:szCs w:val="17"/>
        </w:rPr>
        <w:t xml:space="preserve">Service A (spiffe://corp/app/payments/api)</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mTLS with workload identity</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Service B (spiffe://corp/app/payments/ledger)</w:t>
      </w:r>
    </w:p>
    <w:p>
      <w:pPr>
        <w:shd w:fill="F5F5F5" w:val="clear"/>
        <w:spacing w:after="0" w:line="200" w:lineRule="exact"/>
        <w:ind w:left="360"/>
      </w:pPr>
      <w:r>
        <w:rPr>
          <w:rFonts w:ascii="Consolas" w:cs="Consolas" w:eastAsia="Consolas" w:hAnsi="Consolas"/>
          <w:sz w:val="17"/>
          <w:szCs w:val="17"/>
        </w:rPr>
        <w:t xml:space="preserve">Policy: allow if caller.spiffe_id in {spiffe://corp/app/payments/api}</w:t>
      </w:r>
    </w:p>
    <w:p>
      <w:pPr>
        <w:shd w:fill="F5F5F5" w:val="clear"/>
        <w:spacing w:after="0" w:line="200" w:lineRule="exact"/>
        <w:ind w:left="360"/>
      </w:pPr>
      <w:r>
        <w:rPr>
          <w:rFonts w:ascii="Consolas" w:cs="Consolas" w:eastAsia="Consolas" w:hAnsi="Consolas"/>
          <w:sz w:val="17"/>
          <w:szCs w:val="17"/>
        </w:rPr>
        <w:t xml:space="preserve">and callee.spiffe_id == spiffe://corp/app/payments/ledger</w:t>
      </w:r>
    </w:p>
    <w:p>
      <w:pPr>
        <w:spacing w:after="120" w:line="276" w:lineRule="exact"/>
        <w:jc w:val="both"/>
      </w:pPr>
      <w:r>
        <w:rPr>
          <w:rFonts w:ascii="Times New Roman" w:cs="Times New Roman" w:eastAsia="Times New Roman" w:hAnsi="Times New Roman"/>
          <w:b/>
          <w:bCs/>
          <w:sz w:val="22"/>
          <w:szCs w:val="22"/>
        </w:rPr>
        <w:t xml:space="preserve">In a legacy architecture: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Certificates are often long-lived and reused across many instances or even multiple applications.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There is little or no automated lifecycle management; issuance and renewal are manual processes.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Backend systems often trust any connection that successfully completes mTLS, regardless of which workload owns which certificate.</w:t>
      </w:r>
    </w:p>
    <w:p>
      <w:pPr>
        <w:spacing w:after="120" w:line="276" w:lineRule="exact"/>
        <w:jc w:val="both"/>
      </w:pPr>
      <w:r>
        <w:rPr>
          <w:rFonts w:ascii="Times New Roman" w:cs="Times New Roman" w:eastAsia="Times New Roman" w:hAnsi="Times New Roman"/>
          <w:sz w:val="22"/>
          <w:szCs w:val="22"/>
        </w:rPr>
        <w:t xml:space="preserve">Result: mTLS is reduced to "transport hardening" rather than a signal driving workload-aware policy and least privilege.</w:t>
      </w:r>
    </w:p>
    <w:p>
      <w:r>
        <w:br w:type="page"/>
      </w:r>
    </w:p>
    <w:p>
      <w:pPr>
        <w:pStyle w:val="Heading1"/>
      </w:pPr>
      <w:r>
        <w:rPr>
          <w:rFonts w:ascii="Times New Roman" w:cs="Times New Roman" w:eastAsia="Times New Roman" w:hAnsi="Times New Roman"/>
          <w:b/>
          <w:bCs/>
          <w:caps/>
          <w:sz w:val="26"/>
          <w:szCs w:val="26"/>
        </w:rPr>
        <w:t xml:space="preserve">APPENDIX J — JSON WEB TOKENS (JWT) IN ZERO TRUST IDENTITY FLOWS</w:t>
      </w:r>
    </w:p>
    <w:p>
      <w:pPr>
        <w:spacing w:after="120" w:line="276" w:lineRule="exact"/>
        <w:jc w:val="both"/>
      </w:pPr>
      <w:r>
        <w:rPr>
          <w:rFonts w:ascii="Times New Roman" w:cs="Times New Roman" w:eastAsia="Times New Roman" w:hAnsi="Times New Roman"/>
          <w:sz w:val="22"/>
          <w:szCs w:val="22"/>
        </w:rPr>
        <w:t xml:space="preserve">JWT is the dominant application-layer mechanism for carrying user identity, contextual attributes, and security claims across distributed architectures. Unlike mTLS, which authenticates machines at the transport layer, JWT provides portable, stateless user identity at Layer 7.</w:t>
      </w:r>
    </w:p>
    <w:p>
      <w:pPr>
        <w:pStyle w:val="Heading2"/>
      </w:pPr>
      <w:r>
        <w:rPr>
          <w:rFonts w:ascii="Times New Roman" w:cs="Times New Roman" w:eastAsia="Times New Roman" w:hAnsi="Times New Roman"/>
          <w:b/>
          <w:bCs/>
          <w:sz w:val="22"/>
          <w:szCs w:val="22"/>
        </w:rPr>
        <w:t xml:space="preserve">J.1 Conceptual Role of JWT</w:t>
      </w:r>
    </w:p>
    <w:p>
      <w:pPr>
        <w:spacing w:after="120" w:line="276" w:lineRule="exact"/>
        <w:jc w:val="both"/>
      </w:pPr>
      <w:r>
        <w:rPr>
          <w:rFonts w:ascii="Times New Roman" w:cs="Times New Roman" w:eastAsia="Times New Roman" w:hAnsi="Times New Roman"/>
          <w:b/>
          <w:bCs/>
          <w:sz w:val="22"/>
          <w:szCs w:val="22"/>
        </w:rPr>
        <w:t xml:space="preserve">A JSON Web Token is a self-contained, digitally signed data structure that encodes: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Identity — who the user or client is (subject, issuer).</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Context — what environment the user is in (device posture, IP, risk score, group memberships).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Authorization hints — what the token may be used for (scopes, audience restrictions, roles).</w:t>
      </w:r>
    </w:p>
    <w:p>
      <w:pPr>
        <w:spacing w:after="120" w:line="276" w:lineRule="exact"/>
        <w:jc w:val="both"/>
      </w:pPr>
      <w:r>
        <w:rPr>
          <w:rFonts w:ascii="Times New Roman" w:cs="Times New Roman" w:eastAsia="Times New Roman" w:hAnsi="Times New Roman"/>
          <w:sz w:val="22"/>
          <w:szCs w:val="22"/>
        </w:rPr>
        <w:t xml:space="preserve">JWTs operate at the application layer; they are consumed by web apps, API gateways, microservices, and SaaS platforms, not by network or transport components. Critically, a JWT is an assertion, not an access control mechanism. It carries context and proof-of-authentication but does not by itself enforce policy; receiving systems must validate the token and make authorization decisions based on claims.</w:t>
      </w:r>
    </w:p>
    <w:p>
      <w:pPr>
        <w:pStyle w:val="Heading2"/>
      </w:pPr>
      <w:r>
        <w:rPr>
          <w:rFonts w:ascii="Times New Roman" w:cs="Times New Roman" w:eastAsia="Times New Roman" w:hAnsi="Times New Roman"/>
          <w:b/>
          <w:bCs/>
          <w:sz w:val="22"/>
          <w:szCs w:val="22"/>
        </w:rPr>
        <w:t xml:space="preserve">J.2 JWT Issuance Flow</w:t>
      </w:r>
    </w:p>
    <w:p>
      <w:pPr>
        <w:spacing w:after="120" w:line="276" w:lineRule="exact"/>
        <w:jc w:val="both"/>
      </w:pPr>
      <w:r>
        <w:rPr>
          <w:rFonts w:ascii="Times New Roman" w:cs="Times New Roman" w:eastAsia="Times New Roman" w:hAnsi="Times New Roman"/>
          <w:sz w:val="22"/>
          <w:szCs w:val="22"/>
        </w:rPr>
        <w:t xml:space="preserve">The IdP (Identity Provider) is responsible for constructing, signing, and issuing JWTs after authenticating the user and aggregating contextual signals.</w:t>
      </w:r>
    </w:p>
    <w:p>
      <w:pPr>
        <w:shd w:fill="F5F5F5" w:val="clear"/>
        <w:spacing w:after="0" w:line="200" w:lineRule="exact"/>
        <w:ind w:left="360"/>
      </w:pPr>
      <w:r>
        <w:rPr>
          <w:rFonts w:ascii="Consolas" w:cs="Consolas" w:eastAsia="Consolas" w:hAnsi="Consolas"/>
          <w:sz w:val="17"/>
          <w:szCs w:val="17"/>
        </w:rPr>
        <w:t xml:space="preserve">[UnauthenticatedUser]</w:t>
      </w:r>
    </w:p>
    <w:p>
      <w:pPr>
        <w:shd w:fill="F5F5F5" w:val="clear"/>
        <w:spacing w:after="0" w:line="200" w:lineRule="exact"/>
        <w:ind w:left="360"/>
      </w:pPr>
      <w:r>
        <w:rPr>
          <w:rFonts w:ascii="Consolas" w:cs="Consolas" w:eastAsia="Consolas" w:hAnsi="Consolas"/>
          <w:sz w:val="17"/>
          <w:szCs w:val="17"/>
        </w:rPr>
        <w:t xml:space="preserve">| (submit credentials: password, MFA, WebAuthn, device cert)</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[IdP_AuthnInProgress]</w:t>
      </w:r>
    </w:p>
    <w:p>
      <w:pPr>
        <w:shd w:fill="F5F5F5" w:val="clear"/>
        <w:spacing w:after="0" w:line="200" w:lineRule="exact"/>
        <w:ind w:left="360"/>
      </w:pPr>
      <w:r>
        <w:rPr>
          <w:rFonts w:ascii="Consolas" w:cs="Consolas" w:eastAsia="Consolas" w:hAnsi="Consolas"/>
          <w:sz w:val="17"/>
          <w:szCs w:val="17"/>
        </w:rPr>
        <w:t xml:space="preserve">| (verify credentials against directory, FIDO2 origin, etc.)</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[CredentialValidation]</w:t>
      </w:r>
    </w:p>
    <w:p>
      <w:pPr>
        <w:shd w:fill="F5F5F5" w:val="clear"/>
        <w:spacing w:after="0" w:line="200" w:lineRule="exact"/>
        <w:ind w:left="360"/>
      </w:pPr>
      <w:r>
        <w:rPr>
          <w:rFonts w:ascii="Consolas" w:cs="Consolas" w:eastAsia="Consolas" w:hAnsi="Consolas"/>
          <w:sz w:val="17"/>
          <w:szCs w:val="17"/>
        </w:rPr>
        <w:t xml:space="preserve">&gt; |--(invalid credentials / failed MFA / high risk)→ [AuthnFailed]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|--(credentials valid)→ [IdentityVerified]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(fan-out to attribute sources)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[AttributeGathering]</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 Directory (AD/LDAP/Entra) for groups, roles, dept</w:t>
      </w:r>
    </w:p>
    <w:p>
      <w:pPr>
        <w:shd w:fill="F5F5F5" w:val="clear"/>
        <w:spacing w:after="0" w:line="200" w:lineRule="exact"/>
        <w:ind w:left="360"/>
      </w:pPr>
      <w:r>
        <w:rPr>
          <w:rFonts w:ascii="Consolas" w:cs="Consolas" w:eastAsia="Consolas" w:hAnsi="Consolas"/>
          <w:sz w:val="17"/>
          <w:szCs w:val="17"/>
        </w:rPr>
        <w:t xml:space="preserve">| - MDM/EPP for device posture, OS patch level, disk encryption</w:t>
      </w:r>
    </w:p>
    <w:p>
      <w:pPr>
        <w:shd w:fill="F5F5F5" w:val="clear"/>
        <w:spacing w:after="0" w:line="200" w:lineRule="exact"/>
        <w:ind w:left="360"/>
      </w:pPr>
      <w:r>
        <w:rPr>
          <w:rFonts w:ascii="Consolas" w:cs="Consolas" w:eastAsia="Consolas" w:hAnsi="Consolas"/>
          <w:sz w:val="17"/>
          <w:szCs w:val="17"/>
        </w:rPr>
        <w:t xml:space="preserve">| - Risk engine for sign-in anomaly, impossible travel, breach detection</w:t>
      </w:r>
    </w:p>
    <w:p>
      <w:pPr>
        <w:shd w:fill="F5F5F5" w:val="clear"/>
        <w:spacing w:after="0" w:line="200" w:lineRule="exact"/>
        <w:ind w:left="360"/>
      </w:pPr>
      <w:r>
        <w:rPr>
          <w:rFonts w:ascii="Consolas" w:cs="Consolas" w:eastAsia="Consolas" w:hAnsi="Consolas"/>
          <w:sz w:val="17"/>
          <w:szCs w:val="17"/>
        </w:rPr>
        <w:t xml:space="preserve">| - Federation sources for upstream identity assertions (SAML, OIDC)</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[ContextAssembled]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(apply token issuance policy:</w:t>
      </w:r>
    </w:p>
    <w:p>
      <w:pPr>
        <w:shd w:fill="F5F5F5" w:val="clear"/>
        <w:spacing w:after="0" w:line="200" w:lineRule="exact"/>
        <w:ind w:left="360"/>
      </w:pPr>
      <w:r>
        <w:rPr>
          <w:rFonts w:ascii="Consolas" w:cs="Consolas" w:eastAsia="Consolas" w:hAnsi="Consolas"/>
          <w:sz w:val="17"/>
          <w:szCs w:val="17"/>
        </w:rPr>
        <w:t xml:space="preserve">| - token lifetime (5 min - 1 hr)</w:t>
      </w:r>
    </w:p>
    <w:p>
      <w:pPr>
        <w:shd w:fill="F5F5F5" w:val="clear"/>
        <w:spacing w:after="0" w:line="200" w:lineRule="exact"/>
        <w:ind w:left="360"/>
      </w:pPr>
      <w:r>
        <w:rPr>
          <w:rFonts w:ascii="Consolas" w:cs="Consolas" w:eastAsia="Consolas" w:hAnsi="Consolas"/>
          <w:sz w:val="17"/>
          <w:szCs w:val="17"/>
        </w:rPr>
        <w:t xml:space="preserve">| - audience restrictions</w:t>
      </w:r>
    </w:p>
    <w:p>
      <w:pPr>
        <w:shd w:fill="F5F5F5" w:val="clear"/>
        <w:spacing w:after="0" w:line="200" w:lineRule="exact"/>
        <w:ind w:left="360"/>
      </w:pPr>
      <w:r>
        <w:rPr>
          <w:rFonts w:ascii="Consolas" w:cs="Consolas" w:eastAsia="Consolas" w:hAnsi="Consolas"/>
          <w:sz w:val="17"/>
          <w:szCs w:val="17"/>
        </w:rPr>
        <w:t xml:space="preserve">| - scopes / permissions</w:t>
      </w:r>
    </w:p>
    <w:p>
      <w:pPr>
        <w:shd w:fill="F5F5F5" w:val="clear"/>
        <w:spacing w:after="0" w:line="200" w:lineRule="exact"/>
        <w:ind w:left="360"/>
      </w:pPr>
      <w:r>
        <w:rPr>
          <w:rFonts w:ascii="Consolas" w:cs="Consolas" w:eastAsia="Consolas" w:hAnsi="Consolas"/>
          <w:sz w:val="17"/>
          <w:szCs w:val="17"/>
        </w:rPr>
        <w:t xml:space="preserve">| - conditional access rules)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[TokenPolicyApplied]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(construct JWT:</w:t>
      </w:r>
    </w:p>
    <w:p>
      <w:pPr>
        <w:shd w:fill="F5F5F5" w:val="clear"/>
        <w:spacing w:after="0" w:line="200" w:lineRule="exact"/>
        <w:ind w:left="360"/>
      </w:pPr>
      <w:r>
        <w:rPr>
          <w:rFonts w:ascii="Consolas" w:cs="Consolas" w:eastAsia="Consolas" w:hAnsi="Consolas"/>
          <w:sz w:val="17"/>
          <w:szCs w:val="17"/>
        </w:rPr>
        <w:t xml:space="preserve">| header {alg, typ, kid},</w:t>
      </w:r>
    </w:p>
    <w:p>
      <w:pPr>
        <w:shd w:fill="F5F5F5" w:val="clear"/>
        <w:spacing w:after="0" w:line="200" w:lineRule="exact"/>
        <w:ind w:left="360"/>
      </w:pPr>
      <w:r>
        <w:rPr>
          <w:rFonts w:ascii="Consolas" w:cs="Consolas" w:eastAsia="Consolas" w:hAnsi="Consolas"/>
          <w:sz w:val="17"/>
          <w:szCs w:val="17"/>
        </w:rPr>
        <w:t xml:space="preserve">| claims {iss, sub, aud, exp, groups, device_id, risk},</w:t>
      </w:r>
    </w:p>
    <w:p>
      <w:pPr>
        <w:shd w:fill="F5F5F5" w:val="clear"/>
        <w:spacing w:after="0" w:line="200" w:lineRule="exact"/>
        <w:ind w:left="360"/>
      </w:pPr>
      <w:r>
        <w:rPr>
          <w:rFonts w:ascii="Consolas" w:cs="Consolas" w:eastAsia="Consolas" w:hAnsi="Consolas"/>
          <w:sz w:val="17"/>
          <w:szCs w:val="17"/>
        </w:rPr>
        <w:t xml:space="preserve">| signature = sign(header.claims, privkey))</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[JWT_Constructed]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(sign with RSA/EC private key)</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[JWT_Issued]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(redirect or POST token to client/app)</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[ClientHoldingJWT]</w:t>
      </w:r>
    </w:p>
    <w:p>
      <w:pPr>
        <w:spacing w:after="120" w:line="276" w:lineRule="exact"/>
        <w:jc w:val="both"/>
      </w:pPr>
      <w:r>
        <w:rPr>
          <w:rFonts w:ascii="Times New Roman" w:cs="Times New Roman" w:eastAsia="Times New Roman" w:hAnsi="Times New Roman"/>
          <w:b/>
          <w:bCs/>
          <w:sz w:val="22"/>
          <w:szCs w:val="22"/>
        </w:rPr>
        <w:t xml:space="preserve">Key technical points: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IdP queries multiple authoritative sources during [AttributeGathering] to build a comprehensive identity snapshot.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Token lifetime is deliberately short (minutes to hours) in ZT-native designs, forcing frequent re-validation and keeping context fresh.</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Signature algorithms (RS256, ES256) ensure receiving applications can validate tokens using the IdP's public key (exposed via JWKS endpoint) without contacting the IdP on every request.</w:t>
      </w:r>
    </w:p>
    <w:p>
      <w:pPr>
        <w:pStyle w:val="Heading2"/>
      </w:pPr>
      <w:r>
        <w:rPr>
          <w:rFonts w:ascii="Times New Roman" w:cs="Times New Roman" w:eastAsia="Times New Roman" w:hAnsi="Times New Roman"/>
          <w:b/>
          <w:bCs/>
          <w:sz w:val="22"/>
          <w:szCs w:val="22"/>
        </w:rPr>
        <w:t xml:space="preserve">J.3 JWT Validation State Machine (Per Request)</w:t>
      </w:r>
    </w:p>
    <w:p>
      <w:pPr>
        <w:spacing w:after="120" w:line="276" w:lineRule="exact"/>
        <w:jc w:val="both"/>
      </w:pPr>
      <w:r>
        <w:rPr>
          <w:rFonts w:ascii="Times New Roman" w:cs="Times New Roman" w:eastAsia="Times New Roman" w:hAnsi="Times New Roman"/>
          <w:sz w:val="22"/>
          <w:szCs w:val="22"/>
        </w:rPr>
        <w:t xml:space="preserve">Each service or tier that receives a JWT must independently validate the token before trusting its claims. This state machine executes at every service boundary in a ZT-native architecture.</w:t>
      </w:r>
    </w:p>
    <w:p>
      <w:pPr>
        <w:shd w:fill="F5F5F5" w:val="clear"/>
        <w:spacing w:after="0" w:line="200" w:lineRule="exact"/>
        <w:ind w:left="360"/>
      </w:pPr>
      <w:r>
        <w:rPr>
          <w:rFonts w:ascii="Consolas" w:cs="Consolas" w:eastAsia="Consolas" w:hAnsi="Consolas"/>
          <w:sz w:val="17"/>
          <w:szCs w:val="17"/>
        </w:rPr>
        <w:t xml:space="preserve">[RequestReceived]</w:t>
      </w:r>
    </w:p>
    <w:p>
      <w:pPr>
        <w:shd w:fill="F5F5F5" w:val="clear"/>
        <w:spacing w:after="0" w:line="200" w:lineRule="exact"/>
        <w:ind w:left="360"/>
      </w:pPr>
      <w:r>
        <w:rPr>
          <w:rFonts w:ascii="Consolas" w:cs="Consolas" w:eastAsia="Consolas" w:hAnsi="Consolas"/>
          <w:sz w:val="17"/>
          <w:szCs w:val="17"/>
        </w:rPr>
        <w:t xml:space="preserve">| (extract Authorization: Bearer &lt;JWT&gt; from HTTP header or cookie)</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[TokenPresent?]</w:t>
      </w:r>
    </w:p>
    <w:p>
      <w:pPr>
        <w:shd w:fill="F5F5F5" w:val="clear"/>
        <w:spacing w:after="0" w:line="200" w:lineRule="exact"/>
        <w:ind w:left="360"/>
      </w:pPr>
      <w:r>
        <w:rPr>
          <w:rFonts w:ascii="Consolas" w:cs="Consolas" w:eastAsia="Consolas" w:hAnsi="Consolas"/>
          <w:sz w:val="17"/>
          <w:szCs w:val="17"/>
        </w:rPr>
        <w:t xml:space="preserve">&gt; |--(no token present)→ [Reject_401_Unauthorized]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|--(token present)→ [ParseToken]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(decode base64url header.payload)</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[HeaderAndClaimsExtracted]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(fetch JWKS from IdP if not cached, select key by kid)</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[SignatureValidation]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(verify signature using public key)</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[SignatureValid?]</w:t>
      </w:r>
    </w:p>
    <w:p>
      <w:pPr>
        <w:shd w:fill="F5F5F5" w:val="clear"/>
        <w:spacing w:after="0" w:line="200" w:lineRule="exact"/>
        <w:ind w:left="360"/>
      </w:pPr>
      <w:r>
        <w:rPr>
          <w:rFonts w:ascii="Consolas" w:cs="Consolas" w:eastAsia="Consolas" w:hAnsi="Consolas"/>
          <w:sz w:val="17"/>
          <w:szCs w:val="17"/>
        </w:rPr>
        <w:t xml:space="preserve">&gt; |--(invalid)→ [Reject_401_Unauthorized]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|--(valid)→ [ClaimsValidation]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(check:</w:t>
      </w:r>
    </w:p>
    <w:p>
      <w:pPr>
        <w:shd w:fill="F5F5F5" w:val="clear"/>
        <w:spacing w:after="0" w:line="200" w:lineRule="exact"/>
        <w:ind w:left="360"/>
      </w:pPr>
      <w:r>
        <w:rPr>
          <w:rFonts w:ascii="Consolas" w:cs="Consolas" w:eastAsia="Consolas" w:hAnsi="Consolas"/>
          <w:sz w:val="17"/>
          <w:szCs w:val="17"/>
        </w:rPr>
        <w:t xml:space="preserve">| iss == expected issuer</w:t>
      </w:r>
    </w:p>
    <w:p>
      <w:pPr>
        <w:shd w:fill="F5F5F5" w:val="clear"/>
        <w:spacing w:after="0" w:line="200" w:lineRule="exact"/>
        <w:ind w:left="360"/>
      </w:pPr>
      <w:r>
        <w:rPr>
          <w:rFonts w:ascii="Consolas" w:cs="Consolas" w:eastAsia="Consolas" w:hAnsi="Consolas"/>
          <w:sz w:val="17"/>
          <w:szCs w:val="17"/>
        </w:rPr>
        <w:t xml:space="preserve">| aud contains this service</w:t>
      </w:r>
    </w:p>
    <w:p>
      <w:pPr>
        <w:shd w:fill="F5F5F5" w:val="clear"/>
        <w:spacing w:after="0" w:line="200" w:lineRule="exact"/>
        <w:ind w:left="360"/>
      </w:pPr>
      <w:r>
        <w:rPr>
          <w:rFonts w:ascii="Consolas" w:cs="Consolas" w:eastAsia="Consolas" w:hAnsi="Consolas"/>
          <w:sz w:val="17"/>
          <w:szCs w:val="17"/>
        </w:rPr>
        <w:t xml:space="preserve">| exp &gt; now</w:t>
      </w:r>
    </w:p>
    <w:p>
      <w:pPr>
        <w:shd w:fill="F5F5F5" w:val="clear"/>
        <w:spacing w:after="0" w:line="200" w:lineRule="exact"/>
        <w:ind w:left="360"/>
      </w:pPr>
      <w:r>
        <w:rPr>
          <w:rFonts w:ascii="Consolas" w:cs="Consolas" w:eastAsia="Consolas" w:hAnsi="Consolas"/>
          <w:sz w:val="17"/>
          <w:szCs w:val="17"/>
        </w:rPr>
        <w:t xml:space="preserve">| nbf &lt;= now</w:t>
      </w:r>
    </w:p>
    <w:p>
      <w:pPr>
        <w:shd w:fill="F5F5F5" w:val="clear"/>
        <w:spacing w:after="0" w:line="200" w:lineRule="exact"/>
        <w:ind w:left="360"/>
      </w:pPr>
      <w:r>
        <w:rPr>
          <w:rFonts w:ascii="Consolas" w:cs="Consolas" w:eastAsia="Consolas" w:hAnsi="Consolas"/>
          <w:sz w:val="17"/>
          <w:szCs w:val="17"/>
        </w:rPr>
        <w:t xml:space="preserve">| jti not replayed (optional)</w:t>
      </w:r>
    </w:p>
    <w:p>
      <w:pPr>
        <w:shd w:fill="F5F5F5" w:val="clear"/>
        <w:spacing w:after="0" w:line="200" w:lineRule="exact"/>
        <w:ind w:left="360"/>
      </w:pPr>
      <w:r>
        <w:rPr>
          <w:rFonts w:ascii="Consolas" w:cs="Consolas" w:eastAsia="Consolas" w:hAnsi="Consolas"/>
          <w:sz w:val="17"/>
          <w:szCs w:val="17"/>
        </w:rPr>
        <w:t xml:space="preserve">| custom claims as needed)</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[ClaimsValid?]</w:t>
      </w:r>
    </w:p>
    <w:p>
      <w:pPr>
        <w:shd w:fill="F5F5F5" w:val="clear"/>
        <w:spacing w:after="0" w:line="200" w:lineRule="exact"/>
        <w:ind w:left="360"/>
      </w:pPr>
      <w:r>
        <w:rPr>
          <w:rFonts w:ascii="Consolas" w:cs="Consolas" w:eastAsia="Consolas" w:hAnsi="Consolas"/>
          <w:sz w:val="17"/>
          <w:szCs w:val="17"/>
        </w:rPr>
        <w:t xml:space="preserve">&gt; |--(no)→ [Reject_403_Forbidden]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|--(yes)→ [PolicyEvaluation]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(evaluate authz:</w:t>
      </w:r>
    </w:p>
    <w:p>
      <w:pPr>
        <w:shd w:fill="F5F5F5" w:val="clear"/>
        <w:spacing w:after="0" w:line="200" w:lineRule="exact"/>
        <w:ind w:left="360"/>
      </w:pPr>
      <w:r>
        <w:rPr>
          <w:rFonts w:ascii="Consolas" w:cs="Consolas" w:eastAsia="Consolas" w:hAnsi="Consolas"/>
          <w:sz w:val="17"/>
          <w:szCs w:val="17"/>
        </w:rPr>
        <w:t xml:space="preserve">| RBAC: roles -&gt; permissions</w:t>
      </w:r>
    </w:p>
    <w:p>
      <w:pPr>
        <w:shd w:fill="F5F5F5" w:val="clear"/>
        <w:spacing w:after="0" w:line="200" w:lineRule="exact"/>
        <w:ind w:left="360"/>
      </w:pPr>
      <w:r>
        <w:rPr>
          <w:rFonts w:ascii="Consolas" w:cs="Consolas" w:eastAsia="Consolas" w:hAnsi="Consolas"/>
          <w:sz w:val="17"/>
          <w:szCs w:val="17"/>
        </w:rPr>
        <w:t xml:space="preserve">| ABAC: attributes + resource + action</w:t>
      </w:r>
    </w:p>
    <w:p>
      <w:pPr>
        <w:shd w:fill="F5F5F5" w:val="clear"/>
        <w:spacing w:after="0" w:line="200" w:lineRule="exact"/>
        <w:ind w:left="360"/>
      </w:pPr>
      <w:r>
        <w:rPr>
          <w:rFonts w:ascii="Consolas" w:cs="Consolas" w:eastAsia="Consolas" w:hAnsi="Consolas"/>
          <w:sz w:val="17"/>
          <w:szCs w:val="17"/>
        </w:rPr>
        <w:t xml:space="preserve">| intent-specific rules)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[AuthorizationDecision]</w:t>
      </w:r>
    </w:p>
    <w:p>
      <w:pPr>
        <w:shd w:fill="F5F5F5" w:val="clear"/>
        <w:spacing w:after="0" w:line="200" w:lineRule="exact"/>
        <w:ind w:left="360"/>
      </w:pPr>
      <w:r>
        <w:rPr>
          <w:rFonts w:ascii="Consolas" w:cs="Consolas" w:eastAsia="Consolas" w:hAnsi="Consolas"/>
          <w:sz w:val="17"/>
          <w:szCs w:val="17"/>
        </w:rPr>
        <w:t xml:space="preserve">&gt; |--(deny)→ [Reject_403_Forbidden]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[AllowRequest]</w:t>
      </w:r>
    </w:p>
    <w:p>
      <w:pPr>
        <w:spacing w:after="120" w:line="276" w:lineRule="exact"/>
        <w:jc w:val="both"/>
      </w:pPr>
      <w:r>
        <w:rPr>
          <w:rFonts w:ascii="Times New Roman" w:cs="Times New Roman" w:eastAsia="Times New Roman" w:hAnsi="Times New Roman"/>
          <w:b/>
          <w:bCs/>
          <w:sz w:val="22"/>
          <w:szCs w:val="22"/>
        </w:rPr>
        <w:t xml:space="preserve">Architectural implications: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 ZT-native systems, every microservice, API, and database proxy repeats this entire flow; there is no implicit trust between tiers.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Short token lifetimes mean that [ClaimsValid?] frequently fails on exp, triggering token refresh or reauthentication flows.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Token exchange patterns (e.g., OAuth 2.0 Token Exchange RFC 8693) allow services to convert user tokens into service-scoped tokens while preserving user context claims.</w:t>
      </w:r>
    </w:p>
    <w:p>
      <w:pPr>
        <w:pStyle w:val="Heading2"/>
      </w:pPr>
      <w:r>
        <w:rPr>
          <w:rFonts w:ascii="Times New Roman" w:cs="Times New Roman" w:eastAsia="Times New Roman" w:hAnsi="Times New Roman"/>
          <w:b/>
          <w:bCs/>
          <w:sz w:val="22"/>
          <w:szCs w:val="22"/>
        </w:rPr>
        <w:t xml:space="preserve">J.4 What JWT Provides and What It Does Not</w:t>
      </w:r>
    </w:p>
    <w:p>
      <w:pPr>
        <w:spacing w:after="120" w:line="276" w:lineRule="exact"/>
        <w:jc w:val="both"/>
      </w:pPr>
      <w:r>
        <w:rPr>
          <w:rFonts w:ascii="Times New Roman" w:cs="Times New Roman" w:eastAsia="Times New Roman" w:hAnsi="Times New Roman"/>
          <w:b/>
          <w:bCs/>
          <w:sz w:val="22"/>
          <w:szCs w:val="22"/>
        </w:rPr>
        <w:t xml:space="preserve">Capabilities: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Portable user identity and contextual attributes across distributed services.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Stateless validation without requiring database lookups or IdP callbacks on every request.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Federation support across organizational boundaries (e.g., B2B scenarios).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Rich claims transport for RBAC, ABAC, and fine-grained authorization.</w:t>
      </w:r>
    </w:p>
    <w:p>
      <w:pPr>
        <w:spacing w:after="120" w:line="276" w:lineRule="exact"/>
        <w:jc w:val="both"/>
      </w:pPr>
      <w:r>
        <w:rPr>
          <w:rFonts w:ascii="Times New Roman" w:cs="Times New Roman" w:eastAsia="Times New Roman" w:hAnsi="Times New Roman"/>
          <w:b/>
          <w:bCs/>
          <w:sz w:val="22"/>
          <w:szCs w:val="22"/>
        </w:rPr>
        <w:t xml:space="preserve">Non-capabilities: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Machine or workload identity (use mTLS or workload tokens for that).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Transport encryption (JWT content is base64-encoded, not encrypted unless using JWE; tokens must always travel over TLS).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Policy enforcement by itself; the token is data, not a policy decision point.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Proof of system authenticity; a stolen or leaked JWT is still a valid token until expiry.</w:t>
      </w:r>
    </w:p>
    <w:p>
      <w:pPr>
        <w:spacing w:after="120" w:line="276" w:lineRule="exact"/>
        <w:jc w:val="both"/>
      </w:pPr>
      <w:r>
        <w:rPr>
          <w:rFonts w:ascii="Times New Roman" w:cs="Times New Roman" w:eastAsia="Times New Roman" w:hAnsi="Times New Roman"/>
          <w:sz w:val="22"/>
          <w:szCs w:val="22"/>
        </w:rPr>
        <w:t xml:space="preserve">JWT carries context. It does not enforce policy. Enforcement happens in application code, API gateways, and policy engines that consume the JWT's claims.</w:t>
      </w:r>
    </w:p>
    <w:p>
      <w:pPr>
        <w:pStyle w:val="Heading2"/>
      </w:pPr>
      <w:r>
        <w:rPr>
          <w:rFonts w:ascii="Times New Roman" w:cs="Times New Roman" w:eastAsia="Times New Roman" w:hAnsi="Times New Roman"/>
          <w:b/>
          <w:bCs/>
          <w:sz w:val="22"/>
          <w:szCs w:val="22"/>
        </w:rPr>
        <w:t xml:space="preserve">J.5 ZT-Native vs. Legacy JWT Usage</w:t>
      </w:r>
    </w:p>
    <w:p>
      <w:pPr>
        <w:spacing w:after="120" w:line="276" w:lineRule="exact"/>
        <w:jc w:val="both"/>
      </w:pPr>
      <w:r>
        <w:rPr>
          <w:rFonts w:ascii="Times New Roman" w:cs="Times New Roman" w:eastAsia="Times New Roman" w:hAnsi="Times New Roman"/>
          <w:b/>
          <w:bCs/>
          <w:sz w:val="22"/>
          <w:szCs w:val="22"/>
        </w:rPr>
        <w:t xml:space="preserve">ZT-native: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JWT is validated and re-evaluated at every service boundary.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Audience restrictions (aud claim) are strictly enforced; a token minted for the UI tier cannot be reused by the database tier.</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Claims (groups, device posture, risk score) are evaluated against dynamic policy engines, not just role checks.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Token exchange occurs between tiers to maintain user context while scoping access appropriately.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Short lifetimes (5--15 minutes) are the norm, forcing continuous re-validation.</w:t>
      </w:r>
    </w:p>
    <w:p>
      <w:pPr>
        <w:spacing w:after="120" w:line="276" w:lineRule="exact"/>
        <w:jc w:val="both"/>
      </w:pPr>
      <w:r>
        <w:rPr>
          <w:rFonts w:ascii="Times New Roman" w:cs="Times New Roman" w:eastAsia="Times New Roman" w:hAnsi="Times New Roman"/>
          <w:b/>
          <w:bCs/>
          <w:sz w:val="22"/>
          <w:szCs w:val="22"/>
        </w:rPr>
        <w:t xml:space="preserve">Legacy: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broker or edge gateway validates the JWT once and terminates it, converting it into an opaque session or a shared backend credential.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Backend tiers never see or validate user identity; they rely on network trust or shared service accounts.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Token lifetimes are often long (hours to days), reducing security but simplifying integration with systems that cannot handle token refresh.</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Databases use shared credentials, making user-level audit trails and least privilege impossible.</w:t>
      </w:r>
    </w:p>
    <w:p>
      <w:pPr>
        <w:spacing w:after="120" w:line="276" w:lineRule="exact"/>
        <w:jc w:val="both"/>
      </w:pPr>
      <w:r>
        <w:rPr>
          <w:rFonts w:ascii="Times New Roman" w:cs="Times New Roman" w:eastAsia="Times New Roman" w:hAnsi="Times New Roman"/>
          <w:sz w:val="22"/>
          <w:szCs w:val="22"/>
        </w:rPr>
        <w:t xml:space="preserve">Result: JWT strengthens ingress authentication but does not transform downstream authorization into a continuous, identity-aware process.</w:t>
      </w:r>
    </w:p>
    <w:p>
      <w:r>
        <w:br w:type="page"/>
      </w:r>
    </w:p>
    <w:p>
      <w:pPr>
        <w:pStyle w:val="Heading1"/>
      </w:pPr>
      <w:r>
        <w:rPr>
          <w:rFonts w:ascii="Times New Roman" w:cs="Times New Roman" w:eastAsia="Times New Roman" w:hAnsi="Times New Roman"/>
          <w:b/>
          <w:bCs/>
          <w:caps/>
          <w:sz w:val="26"/>
          <w:szCs w:val="26"/>
        </w:rPr>
        <w:t xml:space="preserve">APPENDIX K — IDENTITY PROVIDER (IDP) AND CONTEXT GENERATION</w:t>
      </w:r>
    </w:p>
    <w:p>
      <w:pPr>
        <w:spacing w:after="120" w:line="276" w:lineRule="exact"/>
        <w:jc w:val="both"/>
      </w:pPr>
      <w:r>
        <w:rPr>
          <w:rFonts w:ascii="Times New Roman" w:cs="Times New Roman" w:eastAsia="Times New Roman" w:hAnsi="Times New Roman"/>
          <w:sz w:val="22"/>
          <w:szCs w:val="22"/>
        </w:rPr>
        <w:t xml:space="preserve">The Identity Provider is the trust root for user identity and the aggregation engine for contextual attributes. It is responsible for authenticating users, gathering signals from multiple authoritative sources, evaluating risk, and issuing cryptographically signed identity assertions (JWTs, SAML assertions).</w:t>
      </w:r>
    </w:p>
    <w:p>
      <w:pPr>
        <w:pStyle w:val="Heading2"/>
      </w:pPr>
      <w:r>
        <w:rPr>
          <w:rFonts w:ascii="Times New Roman" w:cs="Times New Roman" w:eastAsia="Times New Roman" w:hAnsi="Times New Roman"/>
          <w:b/>
          <w:bCs/>
          <w:sz w:val="22"/>
          <w:szCs w:val="22"/>
        </w:rPr>
        <w:t xml:space="preserve">K.1 Conceptual Role of the IdP</w:t>
      </w:r>
    </w:p>
    <w:p>
      <w:pPr>
        <w:spacing w:after="120" w:line="276" w:lineRule="exact"/>
        <w:jc w:val="both"/>
      </w:pPr>
      <w:r>
        <w:rPr>
          <w:rFonts w:ascii="Times New Roman" w:cs="Times New Roman" w:eastAsia="Times New Roman" w:hAnsi="Times New Roman"/>
          <w:b/>
          <w:bCs/>
          <w:sz w:val="22"/>
          <w:szCs w:val="22"/>
        </w:rPr>
        <w:t xml:space="preserve">An IdP sits at the intersection of multiple identity, security, and risk systems: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Directory services (Active Directory, LDAP, Entra ID, Google Workspace) provide core identity, group memberships, and organizational attributes.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Device management platforms (Intune, Jamf, Workspace ONE) provide device posture, OS patch levels, encryption status, jailbreak detection.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Risk and threat intelligence feeds (UEBA platforms, breach databases, sign-in anomaly detectors) provide real-time risk scoring.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Federation sources (upstream SAML IdPs, OIDC providers) enable cross-organizational trust chains.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IdP synthesizes these inputs into a single, signed token that applications can trust and evaluate.</w:t>
      </w:r>
    </w:p>
    <w:p>
      <w:pPr>
        <w:pStyle w:val="Heading2"/>
      </w:pPr>
      <w:r>
        <w:rPr>
          <w:rFonts w:ascii="Times New Roman" w:cs="Times New Roman" w:eastAsia="Times New Roman" w:hAnsi="Times New Roman"/>
          <w:b/>
          <w:bCs/>
          <w:sz w:val="22"/>
          <w:szCs w:val="22"/>
        </w:rPr>
        <w:t xml:space="preserve">K.2 IdP Context Aggregation and Token Construction Flow</w:t>
      </w:r>
    </w:p>
    <w:p>
      <w:pPr>
        <w:spacing w:after="120" w:line="276" w:lineRule="exact"/>
        <w:jc w:val="both"/>
      </w:pPr>
      <w:r>
        <w:rPr>
          <w:rFonts w:ascii="Times New Roman" w:cs="Times New Roman" w:eastAsia="Times New Roman" w:hAnsi="Times New Roman"/>
          <w:sz w:val="22"/>
          <w:szCs w:val="22"/>
        </w:rPr>
        <w:t xml:space="preserve">This flow illustrates the internal pipeline an IdP executes when a user attempts authentication.</w:t>
      </w:r>
    </w:p>
    <w:p>
      <w:pPr>
        <w:shd w:fill="F5F5F5" w:val="clear"/>
        <w:spacing w:after="0" w:line="200" w:lineRule="exact"/>
        <w:ind w:left="360"/>
      </w:pPr>
      <w:r>
        <w:rPr>
          <w:rFonts w:ascii="Consolas" w:cs="Consolas" w:eastAsia="Consolas" w:hAnsi="Consolas"/>
          <w:sz w:val="17"/>
          <w:szCs w:val="17"/>
        </w:rPr>
        <w:t xml:space="preserve">[AuthnRequestReceived]</w:t>
      </w:r>
    </w:p>
    <w:p>
      <w:pPr>
        <w:shd w:fill="F5F5F5" w:val="clear"/>
        <w:spacing w:after="0" w:line="200" w:lineRule="exact"/>
        <w:ind w:left="360"/>
      </w:pPr>
      <w:r>
        <w:rPr>
          <w:rFonts w:ascii="Consolas" w:cs="Consolas" w:eastAsia="Consolas" w:hAnsi="Consolas"/>
          <w:sz w:val="17"/>
          <w:szCs w:val="17"/>
        </w:rPr>
        <w:t xml:space="preserve">| (OIDC authorize request, SAML AuthnRequest, or native login)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[PrimaryAuthn]</w:t>
      </w:r>
    </w:p>
    <w:p>
      <w:pPr>
        <w:shd w:fill="F5F5F5" w:val="clear"/>
        <w:spacing w:after="0" w:line="200" w:lineRule="exact"/>
        <w:ind w:left="360"/>
      </w:pPr>
      <w:r>
        <w:rPr>
          <w:rFonts w:ascii="Consolas" w:cs="Consolas" w:eastAsia="Consolas" w:hAnsi="Consolas"/>
          <w:sz w:val="17"/>
          <w:szCs w:val="17"/>
        </w:rPr>
        <w:t xml:space="preserve">| (validate primary credential:</w:t>
      </w:r>
    </w:p>
    <w:p>
      <w:pPr>
        <w:shd w:fill="F5F5F5" w:val="clear"/>
        <w:spacing w:after="0" w:line="200" w:lineRule="exact"/>
        <w:ind w:left="360"/>
      </w:pPr>
      <w:r>
        <w:rPr>
          <w:rFonts w:ascii="Consolas" w:cs="Consolas" w:eastAsia="Consolas" w:hAnsi="Consolas"/>
          <w:sz w:val="17"/>
          <w:szCs w:val="17"/>
        </w:rPr>
        <w:t xml:space="preserve">| - password + hash comparison</w:t>
      </w:r>
    </w:p>
    <w:p>
      <w:pPr>
        <w:shd w:fill="F5F5F5" w:val="clear"/>
        <w:spacing w:after="0" w:line="200" w:lineRule="exact"/>
        <w:ind w:left="360"/>
      </w:pPr>
      <w:r>
        <w:rPr>
          <w:rFonts w:ascii="Consolas" w:cs="Consolas" w:eastAsia="Consolas" w:hAnsi="Consolas"/>
          <w:sz w:val="17"/>
          <w:szCs w:val="17"/>
        </w:rPr>
        <w:t xml:space="preserve">| - FIDO2 WebAuthn challenge</w:t>
      </w:r>
    </w:p>
    <w:p>
      <w:pPr>
        <w:shd w:fill="F5F5F5" w:val="clear"/>
        <w:spacing w:after="0" w:line="200" w:lineRule="exact"/>
        <w:ind w:left="360"/>
      </w:pPr>
      <w:r>
        <w:rPr>
          <w:rFonts w:ascii="Consolas" w:cs="Consolas" w:eastAsia="Consolas" w:hAnsi="Consolas"/>
          <w:sz w:val="17"/>
          <w:szCs w:val="17"/>
        </w:rPr>
        <w:t xml:space="preserve">| - client certificate</w:t>
      </w:r>
    </w:p>
    <w:p>
      <w:pPr>
        <w:shd w:fill="F5F5F5" w:val="clear"/>
        <w:spacing w:after="0" w:line="200" w:lineRule="exact"/>
        <w:ind w:left="360"/>
      </w:pPr>
      <w:r>
        <w:rPr>
          <w:rFonts w:ascii="Consolas" w:cs="Consolas" w:eastAsia="Consolas" w:hAnsi="Consolas"/>
          <w:sz w:val="17"/>
          <w:szCs w:val="17"/>
        </w:rPr>
        <w:t xml:space="preserve">| - passwordless magic link)</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[PrimaryAuthnResult]</w:t>
      </w:r>
    </w:p>
    <w:p>
      <w:pPr>
        <w:shd w:fill="F5F5F5" w:val="clear"/>
        <w:spacing w:after="0" w:line="200" w:lineRule="exact"/>
        <w:ind w:left="360"/>
      </w:pPr>
      <w:r>
        <w:rPr>
          <w:rFonts w:ascii="Consolas" w:cs="Consolas" w:eastAsia="Consolas" w:hAnsi="Consolas"/>
          <w:sz w:val="17"/>
          <w:szCs w:val="17"/>
        </w:rPr>
        <w:t xml:space="preserve">&gt; |--(failed)——————————————-→ [AuthnFailed]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|--(succeeded)—————————————-→ [IdentityVerified]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(begin attribute aggregation)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[DirectoryQuery]</w:t>
      </w:r>
    </w:p>
    <w:p>
      <w:pPr>
        <w:shd w:fill="F5F5F5" w:val="clear"/>
        <w:spacing w:after="0" w:line="200" w:lineRule="exact"/>
        <w:ind w:left="360"/>
      </w:pPr>
      <w:r>
        <w:rPr>
          <w:rFonts w:ascii="Consolas" w:cs="Consolas" w:eastAsia="Consolas" w:hAnsi="Consolas"/>
          <w:sz w:val="17"/>
          <w:szCs w:val="17"/>
        </w:rPr>
        <w:t xml:space="preserve">| (LDAP/AD: groups, dept, title, manager)</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[DevicePostureQuery]</w:t>
      </w:r>
    </w:p>
    <w:p>
      <w:pPr>
        <w:shd w:fill="F5F5F5" w:val="clear"/>
        <w:spacing w:after="0" w:line="200" w:lineRule="exact"/>
        <w:ind w:left="360"/>
      </w:pPr>
      <w:r>
        <w:rPr>
          <w:rFonts w:ascii="Consolas" w:cs="Consolas" w:eastAsia="Consolas" w:hAnsi="Consolas"/>
          <w:sz w:val="17"/>
          <w:szCs w:val="17"/>
        </w:rPr>
        <w:t xml:space="preserve">| (MDM: device ID, compliance state,</w:t>
      </w:r>
    </w:p>
    <w:p>
      <w:pPr>
        <w:shd w:fill="F5F5F5" w:val="clear"/>
        <w:spacing w:after="0" w:line="200" w:lineRule="exact"/>
        <w:ind w:left="360"/>
      </w:pPr>
      <w:r>
        <w:rPr>
          <w:rFonts w:ascii="Consolas" w:cs="Consolas" w:eastAsia="Consolas" w:hAnsi="Consolas"/>
          <w:sz w:val="17"/>
          <w:szCs w:val="17"/>
        </w:rPr>
        <w:t xml:space="preserve">| OS version, encryption status)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[RiskEvaluation]</w:t>
      </w:r>
    </w:p>
    <w:p>
      <w:pPr>
        <w:shd w:fill="F5F5F5" w:val="clear"/>
        <w:spacing w:after="0" w:line="200" w:lineRule="exact"/>
        <w:ind w:left="360"/>
      </w:pPr>
      <w:r>
        <w:rPr>
          <w:rFonts w:ascii="Consolas" w:cs="Consolas" w:eastAsia="Consolas" w:hAnsi="Consolas"/>
          <w:sz w:val="17"/>
          <w:szCs w:val="17"/>
        </w:rPr>
        <w:t xml:space="preserve">| (sign-in velocity, geo-improbable travel,</w:t>
      </w:r>
    </w:p>
    <w:p>
      <w:pPr>
        <w:shd w:fill="F5F5F5" w:val="clear"/>
        <w:spacing w:after="0" w:line="200" w:lineRule="exact"/>
        <w:ind w:left="360"/>
      </w:pPr>
      <w:r>
        <w:rPr>
          <w:rFonts w:ascii="Consolas" w:cs="Consolas" w:eastAsia="Consolas" w:hAnsi="Consolas"/>
          <w:sz w:val="17"/>
          <w:szCs w:val="17"/>
        </w:rPr>
        <w:t xml:space="preserve">| known compromised credential check,</w:t>
      </w:r>
    </w:p>
    <w:p>
      <w:pPr>
        <w:shd w:fill="F5F5F5" w:val="clear"/>
        <w:spacing w:after="0" w:line="200" w:lineRule="exact"/>
        <w:ind w:left="360"/>
      </w:pPr>
      <w:r>
        <w:rPr>
          <w:rFonts w:ascii="Consolas" w:cs="Consolas" w:eastAsia="Consolas" w:hAnsi="Consolas"/>
          <w:sz w:val="17"/>
          <w:szCs w:val="17"/>
        </w:rPr>
        <w:t xml:space="preserve">| behavioral anomaly score)</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[FederationLookup]</w:t>
      </w:r>
    </w:p>
    <w:p>
      <w:pPr>
        <w:shd w:fill="F5F5F5" w:val="clear"/>
        <w:spacing w:after="0" w:line="200" w:lineRule="exact"/>
        <w:ind w:left="360"/>
      </w:pPr>
      <w:r>
        <w:rPr>
          <w:rFonts w:ascii="Consolas" w:cs="Consolas" w:eastAsia="Consolas" w:hAnsi="Consolas"/>
          <w:sz w:val="17"/>
          <w:szCs w:val="17"/>
        </w:rPr>
        <w:t xml:space="preserve">| (if user from external IdP,</w:t>
      </w:r>
    </w:p>
    <w:p>
      <w:pPr>
        <w:shd w:fill="F5F5F5" w:val="clear"/>
        <w:spacing w:after="0" w:line="200" w:lineRule="exact"/>
        <w:ind w:left="360"/>
      </w:pPr>
      <w:r>
        <w:rPr>
          <w:rFonts w:ascii="Consolas" w:cs="Consolas" w:eastAsia="Consolas" w:hAnsi="Consolas"/>
          <w:sz w:val="17"/>
          <w:szCs w:val="17"/>
        </w:rPr>
        <w:t xml:space="preserve">| consume upstream SAML/OIDC assertions)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[AttributesCollected]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(aggregate into single context object)</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[ConditionalAccessPolicyEval]</w:t>
      </w:r>
    </w:p>
    <w:p>
      <w:pPr>
        <w:shd w:fill="F5F5F5" w:val="clear"/>
        <w:spacing w:after="0" w:line="200" w:lineRule="exact"/>
        <w:ind w:left="360"/>
      </w:pPr>
      <w:r>
        <w:rPr>
          <w:rFonts w:ascii="Consolas" w:cs="Consolas" w:eastAsia="Consolas" w:hAnsi="Consolas"/>
          <w:sz w:val="17"/>
          <w:szCs w:val="17"/>
        </w:rPr>
        <w:t xml:space="preserve">| (check policies:</w:t>
      </w:r>
    </w:p>
    <w:p>
      <w:pPr>
        <w:shd w:fill="F5F5F5" w:val="clear"/>
        <w:spacing w:after="0" w:line="200" w:lineRule="exact"/>
        <w:ind w:left="360"/>
      </w:pPr>
      <w:r>
        <w:rPr>
          <w:rFonts w:ascii="Consolas" w:cs="Consolas" w:eastAsia="Consolas" w:hAnsi="Consolas"/>
          <w:sz w:val="17"/>
          <w:szCs w:val="17"/>
        </w:rPr>
        <w:t xml:space="preserve">| - require MFA for sensitive apps</w:t>
      </w:r>
    </w:p>
    <w:p>
      <w:pPr>
        <w:shd w:fill="F5F5F5" w:val="clear"/>
        <w:spacing w:after="0" w:line="200" w:lineRule="exact"/>
        <w:ind w:left="360"/>
      </w:pPr>
      <w:r>
        <w:rPr>
          <w:rFonts w:ascii="Consolas" w:cs="Consolas" w:eastAsia="Consolas" w:hAnsi="Consolas"/>
          <w:sz w:val="17"/>
          <w:szCs w:val="17"/>
        </w:rPr>
        <w:t xml:space="preserve">| - block from untrusted locations</w:t>
      </w:r>
    </w:p>
    <w:p>
      <w:pPr>
        <w:shd w:fill="F5F5F5" w:val="clear"/>
        <w:spacing w:after="0" w:line="200" w:lineRule="exact"/>
        <w:ind w:left="360"/>
      </w:pPr>
      <w:r>
        <w:rPr>
          <w:rFonts w:ascii="Consolas" w:cs="Consolas" w:eastAsia="Consolas" w:hAnsi="Consolas"/>
          <w:sz w:val="17"/>
          <w:szCs w:val="17"/>
        </w:rPr>
        <w:t xml:space="preserve">| - require compliant device</w:t>
      </w:r>
    </w:p>
    <w:p>
      <w:pPr>
        <w:shd w:fill="F5F5F5" w:val="clear"/>
        <w:spacing w:after="0" w:line="200" w:lineRule="exact"/>
        <w:ind w:left="360"/>
      </w:pPr>
      <w:r>
        <w:rPr>
          <w:rFonts w:ascii="Consolas" w:cs="Consolas" w:eastAsia="Consolas" w:hAnsi="Consolas"/>
          <w:sz w:val="17"/>
          <w:szCs w:val="17"/>
        </w:rPr>
        <w:t xml:space="preserve">| - step-up auth for high-risk actions)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[PolicyDecision]</w:t>
      </w:r>
    </w:p>
    <w:p>
      <w:pPr>
        <w:shd w:fill="F5F5F5" w:val="clear"/>
        <w:spacing w:after="0" w:line="200" w:lineRule="exact"/>
        <w:ind w:left="360"/>
      </w:pPr>
      <w:r>
        <w:rPr>
          <w:rFonts w:ascii="Consolas" w:cs="Consolas" w:eastAsia="Consolas" w:hAnsi="Consolas"/>
          <w:sz w:val="17"/>
          <w:szCs w:val="17"/>
        </w:rPr>
        <w:t xml:space="preserve">&gt; |--(block)--→ [AccessDenied]</w:t>
      </w:r>
    </w:p>
    <w:p>
      <w:pPr>
        <w:shd w:fill="F5F5F5" w:val="clear"/>
        <w:spacing w:after="0" w:line="200" w:lineRule="exact"/>
        <w:ind w:left="360"/>
      </w:pPr>
      <w:r>
        <w:rPr>
          <w:rFonts w:ascii="Consolas" w:cs="Consolas" w:eastAsia="Consolas" w:hAnsi="Consolas"/>
          <w:sz w:val="17"/>
          <w:szCs w:val="17"/>
        </w:rPr>
        <w:t xml:space="preserve">&gt; |--(require step-up)--→ [TriggerStepUpAuthn]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[TokenIssuanceRulesApplied]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(set token lifetime,</w:t>
      </w:r>
    </w:p>
    <w:p>
      <w:pPr>
        <w:shd w:fill="F5F5F5" w:val="clear"/>
        <w:spacing w:after="0" w:line="200" w:lineRule="exact"/>
        <w:ind w:left="360"/>
      </w:pPr>
      <w:r>
        <w:rPr>
          <w:rFonts w:ascii="Consolas" w:cs="Consolas" w:eastAsia="Consolas" w:hAnsi="Consolas"/>
          <w:sz w:val="17"/>
          <w:szCs w:val="17"/>
        </w:rPr>
        <w:t xml:space="preserve">| audience, scopes,</w:t>
      </w:r>
    </w:p>
    <w:p>
      <w:pPr>
        <w:shd w:fill="F5F5F5" w:val="clear"/>
        <w:spacing w:after="0" w:line="200" w:lineRule="exact"/>
        <w:ind w:left="360"/>
      </w:pPr>
      <w:r>
        <w:rPr>
          <w:rFonts w:ascii="Consolas" w:cs="Consolas" w:eastAsia="Consolas" w:hAnsi="Consolas"/>
          <w:sz w:val="17"/>
          <w:szCs w:val="17"/>
        </w:rPr>
        <w:t xml:space="preserve">| custom claims)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[ClaimsConstructed]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(sign JWT or SAML assertion</w:t>
      </w:r>
    </w:p>
    <w:p>
      <w:pPr>
        <w:shd w:fill="F5F5F5" w:val="clear"/>
        <w:spacing w:after="0" w:line="200" w:lineRule="exact"/>
        <w:ind w:left="360"/>
      </w:pPr>
      <w:r>
        <w:rPr>
          <w:rFonts w:ascii="Consolas" w:cs="Consolas" w:eastAsia="Consolas" w:hAnsi="Consolas"/>
          <w:sz w:val="17"/>
          <w:szCs w:val="17"/>
        </w:rPr>
        <w:t xml:space="preserve">| with IdP private key)</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[AssertionIssued]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(redirect to app with token)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[AppOrBrokerReceivesToken]</w:t>
      </w:r>
    </w:p>
    <w:p>
      <w:pPr>
        <w:spacing w:after="120" w:line="276" w:lineRule="exact"/>
        <w:jc w:val="both"/>
      </w:pPr>
      <w:r>
        <w:rPr>
          <w:rFonts w:ascii="Times New Roman" w:cs="Times New Roman" w:eastAsia="Times New Roman" w:hAnsi="Times New Roman"/>
          <w:b/>
          <w:bCs/>
          <w:sz w:val="22"/>
          <w:szCs w:val="22"/>
        </w:rPr>
        <w:t xml:space="preserve">Key architectural insights: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token is a snapshot of identity and context at authentication time; it does not automatically reflect mid-session changes (e.g., device becoming non-compliant, user added to new group).</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Continuous Access Evaluation (CAE) extensions can push revocation events or trigger token reevaluation, but most systems rely on short token lifetimes to limit stale-context windows.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Policy decisions at the IdP level (Conditional Access) are pre-authorization checks; they control whether a token is issued, not whether every downstream API call is allowed.</w:t>
      </w:r>
    </w:p>
    <w:p>
      <w:pPr>
        <w:pStyle w:val="Heading2"/>
      </w:pPr>
      <w:r>
        <w:rPr>
          <w:rFonts w:ascii="Times New Roman" w:cs="Times New Roman" w:eastAsia="Times New Roman" w:hAnsi="Times New Roman"/>
          <w:b/>
          <w:bCs/>
          <w:sz w:val="22"/>
          <w:szCs w:val="22"/>
        </w:rPr>
        <w:t xml:space="preserve">K.3 Sources of Context and Their Contribution</w:t>
      </w:r>
    </w:p>
    <w:p>
      <w:pPr>
        <w:spacing w:after="80" w:before="120"/>
        <w:jc w:val="center"/>
      </w:pPr>
      <w:r>
        <w:rPr>
          <w:rFonts w:ascii="Times New Roman" w:cs="Times New Roman" w:eastAsia="Times New Roman" w:hAnsi="Times New Roman"/>
          <w:i/>
          <w:iCs/>
          <w:sz w:val="20"/>
          <w:szCs w:val="20"/>
        </w:rPr>
        <w:t xml:space="preserve">Table 1: IdP context sources and their typical contributions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464"/>
        <w:gridCol w:w="4464"/>
      </w:tblGrid>
      <w:tr>
        <w:tc>
          <w:tcPr>
            <w:tcW w:type="dxa" w:w="4464"/>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Source</w:t>
            </w:r>
          </w:p>
        </w:tc>
        <w:tc>
          <w:tcPr>
            <w:tcW w:type="dxa" w:w="4464"/>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Attributes Contributed</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Directory (AD/LDAP/Entra)</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User principal name, groups, organizational unit, department, manager, employee ID</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Device Management (MDM/EPP)</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Device ID, compliance status, OS version, patch level, disk encryption enabled, jailbreak/root detection</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Risk Engine</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Sign-in risk score, anomaly flags (impossible travel, unusual location, credential leak detection), session risk</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Federation Metadata</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Upstream IdP assertions, federated attributes, home realm information</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D.4 ZT-Native vs Legacy IdP Integration</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ZT-native: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Applications consume IdP claims directly and continuously; every API call or database query can reference device_compliant, risk_level, or groups from the token.</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Short token lifetimes force frequent re-aggregation of context, keeping policies responsive to changing conditions.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Conditional Access policies integrate with application logic, not just perimeter access decisions.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Legacy: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Identity is often terminated at the broker; backend applications never see contextual claims and cannot enforce device posture or risk-aware policies.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Token lifetimes are long, and mid-session risk changes (e.g., device loses compliance) do not affect active sessions.</w:t>
            </w:r>
          </w:p>
        </w:tc>
      </w:tr>
      <w:tr>
        <w:tc>
          <w:tcPr>
            <w:tcW w:type="dxa" w:w="4464"/>
            <w:tcBorders>
              <w:top w:val="none" w:sz="0"/>
              <w:left w:val="none" w:sz="0"/>
              <w:bottom w:val="single" w:color="000000" w:sz="12"/>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Authorization is binary (logged in or not) rather than continuous and attribute-driven.</w:t>
            </w:r>
          </w:p>
        </w:tc>
      </w:tr>
    </w:tbl>
    <w:p>
      <w:r>
        <w:br w:type="page"/>
      </w:r>
    </w:p>
    <w:p>
      <w:pPr>
        <w:pStyle w:val="Heading1"/>
      </w:pPr>
      <w:r>
        <w:rPr>
          <w:rFonts w:ascii="Times New Roman" w:cs="Times New Roman" w:eastAsia="Times New Roman" w:hAnsi="Times New Roman"/>
          <w:b/>
          <w:bCs/>
          <w:caps/>
          <w:sz w:val="26"/>
          <w:szCs w:val="26"/>
        </w:rPr>
        <w:t xml:space="preserve">APPENDIX L — IDENTITY BROKER AND ZTNA BROKER ARCHITECTURE</w:t>
      </w:r>
    </w:p>
    <w:p>
      <w:pPr>
        <w:spacing w:after="120" w:line="276" w:lineRule="exact"/>
        <w:jc w:val="both"/>
      </w:pPr>
      <w:r>
        <w:rPr>
          <w:rFonts w:ascii="Times New Roman" w:cs="Times New Roman" w:eastAsia="Times New Roman" w:hAnsi="Times New Roman"/>
          <w:sz w:val="22"/>
          <w:szCs w:val="22"/>
        </w:rPr>
        <w:t xml:space="preserve">An identity broker (or ZTNA broker) mediates access between users and applications by authenticating users via an IdP, applying centralized access policy, and proxying traffic. It is a critical control point but not a complete Zero Trust architecture by itself.</w:t>
      </w:r>
    </w:p>
    <w:p>
      <w:pPr>
        <w:pStyle w:val="Heading2"/>
      </w:pPr>
      <w:r>
        <w:rPr>
          <w:rFonts w:ascii="Times New Roman" w:cs="Times New Roman" w:eastAsia="Times New Roman" w:hAnsi="Times New Roman"/>
          <w:b/>
          <w:bCs/>
          <w:sz w:val="22"/>
          <w:szCs w:val="22"/>
        </w:rPr>
        <w:t xml:space="preserve">L.1 Conceptual Role of the Broker</w:t>
      </w:r>
    </w:p>
    <w:p>
      <w:pPr>
        <w:spacing w:after="120" w:line="276" w:lineRule="exact"/>
        <w:jc w:val="both"/>
      </w:pPr>
      <w:r>
        <w:rPr>
          <w:rFonts w:ascii="Times New Roman" w:cs="Times New Roman" w:eastAsia="Times New Roman" w:hAnsi="Times New Roman"/>
          <w:sz w:val="22"/>
          <w:szCs w:val="22"/>
        </w:rPr>
        <w:t xml:space="preserve">The broker acts as a policy enforcement gateway between untrusted networks (internet, remote endpoints) and private applications. It provides: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Attack surface reduction by hiding application endpoints behind the broker; applications are not directly internet-routable.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Strong authentication by delegating to an IdP and enforcing MFA, device posture, and Conditional Access.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Centralized policy for ingress, eliminating per-application authentication integration (apps can remain legacy with no OIDC/SAML support).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However, the broker operates primarily at the edge; it does not inherently provide identity propagation, workload-to-workload identity, or application-layer authorization deep inside the stack.</w:t>
      </w:r>
    </w:p>
    <w:p>
      <w:pPr>
        <w:pStyle w:val="Heading2"/>
      </w:pPr>
      <w:r>
        <w:rPr>
          <w:rFonts w:ascii="Times New Roman" w:cs="Times New Roman" w:eastAsia="Times New Roman" w:hAnsi="Times New Roman"/>
          <w:b/>
          <w:bCs/>
          <w:sz w:val="22"/>
          <w:szCs w:val="22"/>
        </w:rPr>
        <w:t xml:space="preserve">L.2 Broker Request Flow</w:t>
      </w:r>
    </w:p>
    <w:p>
      <w:pPr>
        <w:shd w:fill="F5F5F5" w:val="clear"/>
        <w:spacing w:after="0" w:line="200" w:lineRule="exact"/>
        <w:ind w:left="360"/>
      </w:pPr>
      <w:r>
        <w:rPr>
          <w:rFonts w:ascii="Consolas" w:cs="Consolas" w:eastAsia="Consolas" w:hAnsi="Consolas"/>
          <w:sz w:val="17"/>
          <w:szCs w:val="17"/>
        </w:rPr>
        <w:t xml:space="preserve">[UserConnectsToBroker]</w:t>
      </w:r>
    </w:p>
    <w:p>
      <w:pPr>
        <w:shd w:fill="F5F5F5" w:val="clear"/>
        <w:spacing w:after="0" w:line="200" w:lineRule="exact"/>
        <w:ind w:left="360"/>
      </w:pPr>
      <w:r>
        <w:rPr>
          <w:rFonts w:ascii="Consolas" w:cs="Consolas" w:eastAsia="Consolas" w:hAnsi="Consolas"/>
          <w:sz w:val="17"/>
          <w:szCs w:val="17"/>
        </w:rPr>
        <w:t xml:space="preserve">| (HTTPS to broker FQDN, e.g., access.corp.com)</w:t>
      </w:r>
    </w:p>
    <w:p>
      <w:pPr>
        <w:shd w:fill="F5F5F5" w:val="clear"/>
        <w:spacing w:after="0" w:line="200" w:lineRule="exact"/>
        <w:ind w:left="360"/>
      </w:pPr>
      <w:r>
        <w:rPr>
          <w:rFonts w:ascii="Consolas" w:cs="Consolas" w:eastAsia="Consolas" w:hAnsi="Consolas"/>
          <w:sz w:val="17"/>
          <w:szCs w:val="17"/>
        </w:rPr>
        <w:t xml:space="preserve">| (or via lightweight client agent with tunnel)</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[BrokerSessionCheck]</w:t>
      </w:r>
    </w:p>
    <w:p>
      <w:pPr>
        <w:shd w:fill="F5F5F5" w:val="clear"/>
        <w:spacing w:after="0" w:line="200" w:lineRule="exact"/>
        <w:ind w:left="360"/>
      </w:pPr>
      <w:r>
        <w:rPr>
          <w:rFonts w:ascii="Consolas" w:cs="Consolas" w:eastAsia="Consolas" w:hAnsi="Consolas"/>
          <w:sz w:val="17"/>
          <w:szCs w:val="17"/>
        </w:rPr>
        <w:t xml:space="preserve">| (does user have valid session cookie / cached token?)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[SessionState]</w:t>
      </w:r>
    </w:p>
    <w:p>
      <w:pPr>
        <w:shd w:fill="F5F5F5" w:val="clear"/>
        <w:spacing w:after="0" w:line="200" w:lineRule="exact"/>
        <w:ind w:left="360"/>
      </w:pPr>
      <w:r>
        <w:rPr>
          <w:rFonts w:ascii="Consolas" w:cs="Consolas" w:eastAsia="Consolas" w:hAnsi="Consolas"/>
          <w:sz w:val="17"/>
          <w:szCs w:val="17"/>
        </w:rPr>
        <w:t xml:space="preserve">&gt; |--(no valid session)———————————-→ [RedirectToIdP]</w:t>
      </w:r>
    </w:p>
    <w:p>
      <w:pPr>
        <w:shd w:fill="F5F5F5" w:val="clear"/>
        <w:spacing w:after="0" w:line="200" w:lineRule="exact"/>
        <w:ind w:left="360"/>
      </w:pPr>
      <w:r>
        <w:rPr>
          <w:rFonts w:ascii="Consolas" w:cs="Consolas" w:eastAsia="Consolas" w:hAnsi="Consolas"/>
          <w:sz w:val="17"/>
          <w:szCs w:val="17"/>
        </w:rPr>
        <w:t xml:space="preserve">| |</w:t>
      </w:r>
    </w:p>
    <w:p>
      <w:pPr>
        <w:shd w:fill="F5F5F5" w:val="clear"/>
        <w:spacing w:after="0" w:line="200" w:lineRule="exact"/>
        <w:ind w:left="360"/>
      </w:pPr>
      <w:r>
        <w:rPr>
          <w:rFonts w:ascii="Consolas" w:cs="Consolas" w:eastAsia="Consolas" w:hAnsi="Consolas"/>
          <w:sz w:val="17"/>
          <w:szCs w:val="17"/>
        </w:rPr>
        <w:t xml:space="preserve">| | (OIDC/SAML authentication request)</w:t>
      </w:r>
    </w:p>
    <w:p>
      <w:pPr>
        <w:shd w:fill="F5F5F5" w:val="clear"/>
        <w:spacing w:after="0" w:line="200" w:lineRule="exact"/>
        <w:ind w:left="360"/>
      </w:pPr>
      <w:r>
        <w:rPr>
          <w:rFonts w:ascii="Consolas" w:cs="Consolas" w:eastAsia="Consolas" w:hAnsi="Consolas"/>
          <w:sz w:val="17"/>
          <w:szCs w:val="17"/>
        </w:rPr>
        <w:t xml:space="preserve">| v</w:t>
      </w:r>
    </w:p>
    <w:p>
      <w:pPr>
        <w:shd w:fill="F5F5F5" w:val="clear"/>
        <w:spacing w:after="0" w:line="200" w:lineRule="exact"/>
        <w:ind w:left="360"/>
      </w:pPr>
      <w:r>
        <w:rPr>
          <w:rFonts w:ascii="Consolas" w:cs="Consolas" w:eastAsia="Consolas" w:hAnsi="Consolas"/>
          <w:sz w:val="17"/>
          <w:szCs w:val="17"/>
        </w:rPr>
        <w:t xml:space="preserve">| [IdP_AuthnFlow] (see Appendix K)</w:t>
      </w:r>
    </w:p>
    <w:p>
      <w:pPr>
        <w:shd w:fill="F5F5F5" w:val="clear"/>
        <w:spacing w:after="0" w:line="200" w:lineRule="exact"/>
        <w:ind w:left="360"/>
      </w:pPr>
      <w:r>
        <w:rPr>
          <w:rFonts w:ascii="Consolas" w:cs="Consolas" w:eastAsia="Consolas" w:hAnsi="Consolas"/>
          <w:sz w:val="17"/>
          <w:szCs w:val="17"/>
        </w:rPr>
        <w:t xml:space="preserve">| |</w:t>
      </w:r>
    </w:p>
    <w:p>
      <w:pPr>
        <w:shd w:fill="F5F5F5" w:val="clear"/>
        <w:spacing w:after="0" w:line="200" w:lineRule="exact"/>
        <w:ind w:left="360"/>
      </w:pPr>
      <w:r>
        <w:rPr>
          <w:rFonts w:ascii="Consolas" w:cs="Consolas" w:eastAsia="Consolas" w:hAnsi="Consolas"/>
          <w:sz w:val="17"/>
          <w:szCs w:val="17"/>
        </w:rPr>
        <w:t xml:space="preserve">| | (IdP issues JWT/SAML assertion)</w:t>
      </w:r>
    </w:p>
    <w:p>
      <w:pPr>
        <w:shd w:fill="F5F5F5" w:val="clear"/>
        <w:spacing w:after="0" w:line="200" w:lineRule="exact"/>
        <w:ind w:left="360"/>
      </w:pPr>
      <w:r>
        <w:rPr>
          <w:rFonts w:ascii="Consolas" w:cs="Consolas" w:eastAsia="Consolas" w:hAnsi="Consolas"/>
          <w:sz w:val="17"/>
          <w:szCs w:val="17"/>
        </w:rPr>
        <w:t xml:space="preserve">| v</w:t>
      </w:r>
    </w:p>
    <w:p>
      <w:pPr>
        <w:shd w:fill="F5F5F5" w:val="clear"/>
        <w:spacing w:after="0" w:line="200" w:lineRule="exact"/>
        <w:ind w:left="360"/>
      </w:pPr>
      <w:r>
        <w:rPr>
          <w:rFonts w:ascii="Consolas" w:cs="Consolas" w:eastAsia="Consolas" w:hAnsi="Consolas"/>
          <w:sz w:val="17"/>
          <w:szCs w:val="17"/>
        </w:rPr>
        <w:t xml:space="preserve">| [IdP_RedirectBackToBroker]</w:t>
      </w:r>
    </w:p>
    <w:p>
      <w:pPr>
        <w:shd w:fill="F5F5F5" w:val="clear"/>
        <w:spacing w:after="0" w:line="200" w:lineRule="exact"/>
        <w:ind w:left="360"/>
      </w:pPr>
      <w:r>
        <w:rPr>
          <w:rFonts w:ascii="Consolas" w:cs="Consolas" w:eastAsia="Consolas" w:hAnsi="Consolas"/>
          <w:sz w:val="17"/>
          <w:szCs w:val="17"/>
        </w:rPr>
        <w:t xml:space="preserve">| |</w:t>
      </w:r>
    </w:p>
    <w:p>
      <w:pPr>
        <w:shd w:fill="F5F5F5" w:val="clear"/>
        <w:spacing w:after="0" w:line="200" w:lineRule="exact"/>
        <w:ind w:left="360"/>
      </w:pPr>
      <w:r>
        <w:rPr>
          <w:rFonts w:ascii="Consolas" w:cs="Consolas" w:eastAsia="Consolas" w:hAnsi="Consolas"/>
          <w:sz w:val="17"/>
          <w:szCs w:val="17"/>
        </w:rPr>
        <w:t xml:space="preserve">|&lt;————————————————————--+</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|--(valid session or new token received)—————--→ [BrokerTokenValidation]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(validate token signature,</w:t>
      </w:r>
    </w:p>
    <w:p>
      <w:pPr>
        <w:shd w:fill="F5F5F5" w:val="clear"/>
        <w:spacing w:after="0" w:line="200" w:lineRule="exact"/>
        <w:ind w:left="360"/>
      </w:pPr>
      <w:r>
        <w:rPr>
          <w:rFonts w:ascii="Consolas" w:cs="Consolas" w:eastAsia="Consolas" w:hAnsi="Consolas"/>
          <w:sz w:val="17"/>
          <w:szCs w:val="17"/>
        </w:rPr>
        <w:t xml:space="preserve">| issuer, audience, expiry)</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[TokenValid?]</w:t>
      </w:r>
    </w:p>
    <w:p>
      <w:pPr>
        <w:shd w:fill="F5F5F5" w:val="clear"/>
        <w:spacing w:after="0" w:line="200" w:lineRule="exact"/>
        <w:ind w:left="360"/>
      </w:pPr>
      <w:r>
        <w:rPr>
          <w:rFonts w:ascii="Consolas" w:cs="Consolas" w:eastAsia="Consolas" w:hAnsi="Consolas"/>
          <w:sz w:val="17"/>
          <w:szCs w:val="17"/>
        </w:rPr>
        <w:t xml:space="preserve">&gt; |--(no)-→ [RejectUser]</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|--(yes)-→ [BrokerPolicyEvaluation]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(evaluate:</w:t>
      </w:r>
    </w:p>
    <w:p>
      <w:pPr>
        <w:shd w:fill="F5F5F5" w:val="clear"/>
        <w:spacing w:after="0" w:line="200" w:lineRule="exact"/>
        <w:ind w:left="360"/>
      </w:pPr>
      <w:r>
        <w:rPr>
          <w:rFonts w:ascii="Consolas" w:cs="Consolas" w:eastAsia="Consolas" w:hAnsi="Consolas"/>
          <w:sz w:val="17"/>
          <w:szCs w:val="17"/>
        </w:rPr>
        <w:t xml:space="preserve">| - user group membership</w:t>
      </w:r>
    </w:p>
    <w:p>
      <w:pPr>
        <w:shd w:fill="F5F5F5" w:val="clear"/>
        <w:spacing w:after="0" w:line="200" w:lineRule="exact"/>
        <w:ind w:left="360"/>
      </w:pPr>
      <w:r>
        <w:rPr>
          <w:rFonts w:ascii="Consolas" w:cs="Consolas" w:eastAsia="Consolas" w:hAnsi="Consolas"/>
          <w:sz w:val="17"/>
          <w:szCs w:val="17"/>
        </w:rPr>
        <w:t xml:space="preserve">| - device posture / compliance</w:t>
      </w:r>
    </w:p>
    <w:p>
      <w:pPr>
        <w:shd w:fill="F5F5F5" w:val="clear"/>
        <w:spacing w:after="0" w:line="200" w:lineRule="exact"/>
        <w:ind w:left="360"/>
      </w:pPr>
      <w:r>
        <w:rPr>
          <w:rFonts w:ascii="Consolas" w:cs="Consolas" w:eastAsia="Consolas" w:hAnsi="Consolas"/>
          <w:sz w:val="17"/>
          <w:szCs w:val="17"/>
        </w:rPr>
        <w:t xml:space="preserve">| - geo / IP restrictions</w:t>
      </w:r>
    </w:p>
    <w:p>
      <w:pPr>
        <w:shd w:fill="F5F5F5" w:val="clear"/>
        <w:spacing w:after="0" w:line="200" w:lineRule="exact"/>
        <w:ind w:left="360"/>
      </w:pPr>
      <w:r>
        <w:rPr>
          <w:rFonts w:ascii="Consolas" w:cs="Consolas" w:eastAsia="Consolas" w:hAnsi="Consolas"/>
          <w:sz w:val="17"/>
          <w:szCs w:val="17"/>
        </w:rPr>
        <w:t xml:space="preserve">| - time-of-day policies</w:t>
      </w:r>
    </w:p>
    <w:p>
      <w:pPr>
        <w:shd w:fill="F5F5F5" w:val="clear"/>
        <w:spacing w:after="0" w:line="200" w:lineRule="exact"/>
        <w:ind w:left="360"/>
      </w:pPr>
      <w:r>
        <w:rPr>
          <w:rFonts w:ascii="Consolas" w:cs="Consolas" w:eastAsia="Consolas" w:hAnsi="Consolas"/>
          <w:sz w:val="17"/>
          <w:szCs w:val="17"/>
        </w:rPr>
        <w:t xml:space="preserve">| - app-specific allow-lists)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[AccessDecision]</w:t>
      </w:r>
    </w:p>
    <w:p>
      <w:pPr>
        <w:shd w:fill="F5F5F5" w:val="clear"/>
        <w:spacing w:after="0" w:line="200" w:lineRule="exact"/>
        <w:ind w:left="360"/>
      </w:pPr>
      <w:r>
        <w:rPr>
          <w:rFonts w:ascii="Consolas" w:cs="Consolas" w:eastAsia="Consolas" w:hAnsi="Consolas"/>
          <w:sz w:val="17"/>
          <w:szCs w:val="17"/>
        </w:rPr>
        <w:t xml:space="preserve">&gt; |--(deny)-→ [RejectUser]</w:t>
      </w:r>
    </w:p>
    <w:p>
      <w:pPr>
        <w:shd w:fill="F5F5F5" w:val="clear"/>
        <w:spacing w:after="0" w:line="200" w:lineRule="exact"/>
        <w:ind w:left="360"/>
      </w:pPr>
      <w:r>
        <w:rPr>
          <w:rFonts w:ascii="Consolas" w:cs="Consolas" w:eastAsia="Consolas" w:hAnsi="Consolas"/>
          <w:sz w:val="17"/>
          <w:szCs w:val="17"/>
        </w:rPr>
        <w:t xml:space="preserve">| (403 page or API error)</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[SelectConnector]</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(route to appropriate</w:t>
      </w:r>
    </w:p>
    <w:p>
      <w:pPr>
        <w:shd w:fill="F5F5F5" w:val="clear"/>
        <w:spacing w:after="0" w:line="200" w:lineRule="exact"/>
        <w:ind w:left="360"/>
      </w:pPr>
      <w:r>
        <w:rPr>
          <w:rFonts w:ascii="Consolas" w:cs="Consolas" w:eastAsia="Consolas" w:hAnsi="Consolas"/>
          <w:sz w:val="17"/>
          <w:szCs w:val="17"/>
        </w:rPr>
        <w:t xml:space="preserve">| backend connector:</w:t>
      </w:r>
    </w:p>
    <w:p>
      <w:pPr>
        <w:shd w:fill="F5F5F5" w:val="clear"/>
        <w:spacing w:after="0" w:line="200" w:lineRule="exact"/>
        <w:ind w:left="360"/>
      </w:pPr>
      <w:r>
        <w:rPr>
          <w:rFonts w:ascii="Consolas" w:cs="Consolas" w:eastAsia="Consolas" w:hAnsi="Consolas"/>
          <w:sz w:val="17"/>
          <w:szCs w:val="17"/>
        </w:rPr>
        <w:t xml:space="preserve">| VM agent, pod sidecar,</w:t>
      </w:r>
    </w:p>
    <w:p>
      <w:pPr>
        <w:shd w:fill="F5F5F5" w:val="clear"/>
        <w:spacing w:after="0" w:line="200" w:lineRule="exact"/>
        <w:ind w:left="360"/>
      </w:pPr>
      <w:r>
        <w:rPr>
          <w:rFonts w:ascii="Consolas" w:cs="Consolas" w:eastAsia="Consolas" w:hAnsi="Consolas"/>
          <w:sz w:val="17"/>
          <w:szCs w:val="17"/>
        </w:rPr>
        <w:t xml:space="preserve">| legacy IPsec tunnel)</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[EstablishBackendConnection]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(optional: mTLS to app,</w:t>
      </w:r>
    </w:p>
    <w:p>
      <w:pPr>
        <w:shd w:fill="F5F5F5" w:val="clear"/>
        <w:spacing w:after="0" w:line="200" w:lineRule="exact"/>
        <w:ind w:left="360"/>
      </w:pPr>
      <w:r>
        <w:rPr>
          <w:rFonts w:ascii="Consolas" w:cs="Consolas" w:eastAsia="Consolas" w:hAnsi="Consolas"/>
          <w:sz w:val="17"/>
          <w:szCs w:val="17"/>
        </w:rPr>
        <w:t xml:space="preserve">| header injection with</w:t>
      </w:r>
    </w:p>
    <w:p>
      <w:pPr>
        <w:shd w:fill="F5F5F5" w:val="clear"/>
        <w:spacing w:after="0" w:line="200" w:lineRule="exact"/>
        <w:ind w:left="360"/>
      </w:pPr>
      <w:r>
        <w:rPr>
          <w:rFonts w:ascii="Consolas" w:cs="Consolas" w:eastAsia="Consolas" w:hAnsi="Consolas"/>
          <w:sz w:val="17"/>
          <w:szCs w:val="17"/>
        </w:rPr>
        <w:t xml:space="preserve">| user context)</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[TrafficProxying]</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(inspect, log,</w:t>
      </w:r>
    </w:p>
    <w:p>
      <w:pPr>
        <w:shd w:fill="F5F5F5" w:val="clear"/>
        <w:spacing w:after="0" w:line="200" w:lineRule="exact"/>
        <w:ind w:left="360"/>
      </w:pPr>
      <w:r>
        <w:rPr>
          <w:rFonts w:ascii="Consolas" w:cs="Consolas" w:eastAsia="Consolas" w:hAnsi="Consolas"/>
          <w:sz w:val="17"/>
          <w:szCs w:val="17"/>
        </w:rPr>
        <w:t xml:space="preserve">| apply inline controls)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[BrokerSessionActive]</w:t>
      </w:r>
    </w:p>
    <w:p>
      <w:pPr>
        <w:pStyle w:val="Heading2"/>
      </w:pPr>
      <w:r>
        <w:rPr>
          <w:rFonts w:ascii="Times New Roman" w:cs="Times New Roman" w:eastAsia="Times New Roman" w:hAnsi="Times New Roman"/>
          <w:b/>
          <w:bCs/>
          <w:sz w:val="22"/>
          <w:szCs w:val="22"/>
        </w:rPr>
        <w:t xml:space="preserve">L.3 What the Broker Provides</w:t>
      </w:r>
    </w:p>
    <w:p>
      <w:pPr>
        <w:spacing w:after="120" w:line="276" w:lineRule="exact"/>
        <w:jc w:val="both"/>
      </w:pPr>
      <w:r>
        <w:rPr>
          <w:rFonts w:ascii="Times New Roman" w:cs="Times New Roman" w:eastAsia="Times New Roman" w:hAnsi="Times New Roman"/>
          <w:sz w:val="22"/>
          <w:szCs w:val="22"/>
        </w:rPr>
        <w:t xml:space="preserve">Reduced attack surface: Applications are not exposed directly to the internet; DNS records point to the broker, not backend servers.</w:t>
      </w:r>
    </w:p>
    <w:p>
      <w:pPr>
        <w:spacing w:after="120" w:line="276" w:lineRule="exact"/>
        <w:jc w:val="both"/>
      </w:pPr>
      <w:r>
        <w:rPr>
          <w:rFonts w:ascii="Times New Roman" w:cs="Times New Roman" w:eastAsia="Times New Roman" w:hAnsi="Times New Roman"/>
          <w:sz w:val="22"/>
          <w:szCs w:val="22"/>
        </w:rPr>
        <w:t xml:space="preserve">Strong ingress authentication: Centralized IdP integration with MFA, device checks, and Conditional Access.</w:t>
      </w:r>
    </w:p>
    <w:p>
      <w:pPr>
        <w:spacing w:after="120" w:line="276" w:lineRule="exact"/>
        <w:jc w:val="both"/>
      </w:pPr>
      <w:r>
        <w:rPr>
          <w:rFonts w:ascii="Times New Roman" w:cs="Times New Roman" w:eastAsia="Times New Roman" w:hAnsi="Times New Roman"/>
          <w:sz w:val="22"/>
          <w:szCs w:val="22"/>
        </w:rPr>
        <w:t xml:space="preserve">Centralized access policy: Administrators define policies once at the broker rather than modifying each application.</w:t>
      </w:r>
    </w:p>
    <w:p>
      <w:pPr>
        <w:spacing w:after="120" w:line="276" w:lineRule="exact"/>
        <w:jc w:val="both"/>
      </w:pPr>
      <w:r>
        <w:rPr>
          <w:rFonts w:ascii="Times New Roman" w:cs="Times New Roman" w:eastAsia="Times New Roman" w:hAnsi="Times New Roman"/>
          <w:sz w:val="22"/>
          <w:szCs w:val="22"/>
        </w:rPr>
        <w:t xml:space="preserve">Protocol translation and header injection: Broker can insert X-Forwarded-User, X-Device-ID, or similar headers to provide some identity context to legacy apps.</w:t>
      </w:r>
    </w:p>
    <w:p>
      <w:pPr>
        <w:pStyle w:val="Heading2"/>
      </w:pPr>
      <w:r>
        <w:rPr>
          <w:rFonts w:ascii="Times New Roman" w:cs="Times New Roman" w:eastAsia="Times New Roman" w:hAnsi="Times New Roman"/>
          <w:b/>
          <w:bCs/>
          <w:sz w:val="22"/>
          <w:szCs w:val="22"/>
        </w:rPr>
        <w:t xml:space="preserve">L.4 What the Broker Does Not Provide</w:t>
      </w:r>
    </w:p>
    <w:p>
      <w:pPr>
        <w:spacing w:after="120" w:line="276" w:lineRule="exact"/>
        <w:jc w:val="both"/>
      </w:pPr>
      <w:r>
        <w:rPr>
          <w:rFonts w:ascii="Times New Roman" w:cs="Times New Roman" w:eastAsia="Times New Roman" w:hAnsi="Times New Roman"/>
          <w:sz w:val="22"/>
          <w:szCs w:val="22"/>
        </w:rPr>
        <w:t xml:space="preserve">Downstream workload identity: The broker provides user identity, but backend services typically do not have their own mTLS certificates or workload tokens for east--west calls.</w:t>
      </w:r>
    </w:p>
    <w:p>
      <w:pPr>
        <w:spacing w:after="120" w:line="276" w:lineRule="exact"/>
        <w:jc w:val="both"/>
      </w:pPr>
      <w:r>
        <w:rPr>
          <w:rFonts w:ascii="Times New Roman" w:cs="Times New Roman" w:eastAsia="Times New Roman" w:hAnsi="Times New Roman"/>
          <w:sz w:val="22"/>
          <w:szCs w:val="22"/>
        </w:rPr>
        <w:t xml:space="preserve">Application-layer authorization logic: The broker makes coarse-grained access decisions (allow user X to reach app Y), but it does not understand API-level intent (which endpoints, methods, or data the user should access).</w:t>
      </w:r>
    </w:p>
    <w:p>
      <w:pPr>
        <w:spacing w:after="120" w:line="276" w:lineRule="exact"/>
        <w:jc w:val="both"/>
      </w:pPr>
      <w:r>
        <w:rPr>
          <w:rFonts w:ascii="Times New Roman" w:cs="Times New Roman" w:eastAsia="Times New Roman" w:hAnsi="Times New Roman"/>
          <w:sz w:val="22"/>
          <w:szCs w:val="22"/>
        </w:rPr>
        <w:t xml:space="preserve">Per-request business intent enforcement: Once a session is open, most brokers proxy traffic without re-evaluating every HTTP request against fine-grained policy.</w:t>
      </w:r>
    </w:p>
    <w:p>
      <w:pPr>
        <w:pStyle w:val="Heading2"/>
      </w:pPr>
      <w:r>
        <w:rPr>
          <w:rFonts w:ascii="Times New Roman" w:cs="Times New Roman" w:eastAsia="Times New Roman" w:hAnsi="Times New Roman"/>
          <w:b/>
          <w:bCs/>
          <w:sz w:val="22"/>
          <w:szCs w:val="22"/>
        </w:rPr>
        <w:t xml:space="preserve">L.5 ZT-Native vs Legacy Broker Usage</w:t>
      </w:r>
    </w:p>
    <w:p>
      <w:pPr>
        <w:spacing w:after="120" w:line="276" w:lineRule="exact"/>
        <w:jc w:val="both"/>
      </w:pPr>
      <w:r>
        <w:rPr>
          <w:rFonts w:ascii="Times New Roman" w:cs="Times New Roman" w:eastAsia="Times New Roman" w:hAnsi="Times New Roman"/>
          <w:b/>
          <w:bCs/>
          <w:sz w:val="22"/>
          <w:szCs w:val="22"/>
        </w:rPr>
        <w:t xml:space="preserve">ZT-native: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broker is one policy enforcement point among many; identity continues beyond the broker into application tiers via JWTs, token exchange, or propagated headers.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Backend services independently validate identity and enforce their own authorization policies.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Workload-to-workload communication (east--west) uses mTLS with scoped certificates, not broker-mediated tunnels.</w:t>
      </w:r>
    </w:p>
    <w:p>
      <w:pPr>
        <w:spacing w:after="120" w:line="276" w:lineRule="exact"/>
        <w:jc w:val="both"/>
      </w:pPr>
      <w:r>
        <w:rPr>
          <w:rFonts w:ascii="Times New Roman" w:cs="Times New Roman" w:eastAsia="Times New Roman" w:hAnsi="Times New Roman"/>
          <w:b/>
          <w:bCs/>
          <w:sz w:val="22"/>
          <w:szCs w:val="22"/>
        </w:rPr>
        <w:t xml:space="preserve">Legacy: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Identity terminates at the broker; backend applications see only the broker's IP or a generic service account.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Backend systems trust any traffic originating from the broker, reverting to implicit network trust.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broker becomes a single point of policy enforcement and a bottleneck for all application traffic.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Result: A broker strengthens perimeter security but does not transform a legacy architecture into a distributed, identity-native Zero Trust system.</w:t>
      </w:r>
    </w:p>
    <w:p>
      <w:r>
        <w:br w:type="page"/>
      </w:r>
    </w:p>
    <w:p>
      <w:pPr>
        <w:pStyle w:val="Heading1"/>
      </w:pPr>
      <w:r>
        <w:rPr>
          <w:rFonts w:ascii="Times New Roman" w:cs="Times New Roman" w:eastAsia="Times New Roman" w:hAnsi="Times New Roman"/>
          <w:b/>
          <w:bCs/>
          <w:caps/>
          <w:sz w:val="26"/>
          <w:szCs w:val="26"/>
        </w:rPr>
        <w:t xml:space="preserve">APPENDIX M — AUTHORIZATION AND INTENT IN ZERO TRUST SYSTEMS</w:t>
      </w:r>
    </w:p>
    <w:p>
      <w:pPr>
        <w:spacing w:after="120" w:line="276" w:lineRule="exact"/>
        <w:jc w:val="both"/>
      </w:pPr>
      <w:r>
        <w:rPr>
          <w:rFonts w:ascii="Times New Roman" w:cs="Times New Roman" w:eastAsia="Times New Roman" w:hAnsi="Times New Roman"/>
          <w:sz w:val="22"/>
          <w:szCs w:val="22"/>
        </w:rPr>
        <w:t xml:space="preserve">Authorization is the decision-making process that determines whether an authenticated identity may perform a specific action on a specific resource. Intent is the precise operation being requested, and understanding intent is essential for enforcing least privilege and audit requirements.</w:t>
      </w:r>
    </w:p>
    <w:p>
      <w:pPr>
        <w:pStyle w:val="Heading2"/>
      </w:pPr>
      <w:r>
        <w:rPr>
          <w:rFonts w:ascii="Times New Roman" w:cs="Times New Roman" w:eastAsia="Times New Roman" w:hAnsi="Times New Roman"/>
          <w:b/>
          <w:bCs/>
          <w:sz w:val="22"/>
          <w:szCs w:val="22"/>
        </w:rPr>
        <w:t xml:space="preserve">M.1 Conceptual Separation: Authentication vs Authorization</w:t>
      </w:r>
    </w:p>
    <w:p>
      <w:pPr>
        <w:spacing w:after="120" w:line="276" w:lineRule="exact"/>
        <w:jc w:val="both"/>
      </w:pPr>
      <w:r>
        <w:rPr>
          <w:rFonts w:ascii="Times New Roman" w:cs="Times New Roman" w:eastAsia="Times New Roman" w:hAnsi="Times New Roman"/>
          <w:sz w:val="22"/>
          <w:szCs w:val="22"/>
        </w:rPr>
        <w:t xml:space="preserve">Authentication answers: Who are you? (identity verification, credentials, MFA, device posture)</w:t>
      </w:r>
    </w:p>
    <w:p>
      <w:pPr>
        <w:spacing w:after="120" w:line="276" w:lineRule="exact"/>
        <w:jc w:val="both"/>
      </w:pPr>
      <w:r>
        <w:rPr>
          <w:rFonts w:ascii="Times New Roman" w:cs="Times New Roman" w:eastAsia="Times New Roman" w:hAnsi="Times New Roman"/>
          <w:sz w:val="22"/>
          <w:szCs w:val="22"/>
        </w:rPr>
        <w:t xml:space="preserve">Authorization answers: What are you allowed to do? (permissions, access control policy, business logic)</w:t>
      </w:r>
    </w:p>
    <w:p>
      <w:pPr>
        <w:spacing w:after="120" w:line="276" w:lineRule="exact"/>
        <w:jc w:val="both"/>
      </w:pPr>
      <w:r>
        <w:rPr>
          <w:rFonts w:ascii="Times New Roman" w:cs="Times New Roman" w:eastAsia="Times New Roman" w:hAnsi="Times New Roman"/>
          <w:sz w:val="22"/>
          <w:szCs w:val="22"/>
        </w:rPr>
        <w:t xml:space="preserve">Authentication and authorization are distinct control planes. Zero Trust requires both, but they are implemented in different locations and using different mechanisms: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Authentication happens at IdP, broker, or service ingress.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Authorization happens at application code, API gateways, policy engines, database row-level security, and PAM systems.</w:t>
      </w:r>
    </w:p>
    <w:p>
      <w:pPr>
        <w:pStyle w:val="Heading2"/>
      </w:pPr>
      <w:r>
        <w:rPr>
          <w:rFonts w:ascii="Times New Roman" w:cs="Times New Roman" w:eastAsia="Times New Roman" w:hAnsi="Times New Roman"/>
          <w:b/>
          <w:bCs/>
          <w:sz w:val="22"/>
          <w:szCs w:val="22"/>
        </w:rPr>
        <w:t xml:space="preserve">M.2 What Is Intent?</w:t>
      </w:r>
    </w:p>
    <w:p>
      <w:pPr>
        <w:spacing w:after="120" w:line="276" w:lineRule="exact"/>
        <w:jc w:val="both"/>
      </w:pPr>
      <w:r>
        <w:rPr>
          <w:rFonts w:ascii="Times New Roman" w:cs="Times New Roman" w:eastAsia="Times New Roman" w:hAnsi="Times New Roman"/>
          <w:b/>
          <w:bCs/>
          <w:sz w:val="22"/>
          <w:szCs w:val="22"/>
        </w:rPr>
        <w:t xml:space="preserve">Intent is the specific operation a user or service is attempting: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 API call: POST /api/payments/create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Database query: SELECT \* FROM customers WHERE region='EU'</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SSH command: sudo systemctl restart nginx</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File operation: READ /finance/reports/Q4_2025.xlsx</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Authorization policies must evaluate both subject attributes (who, what groups, what device, what risk score) and intent (action, resource, parameters) to make accurate decisions.</w:t>
      </w:r>
    </w:p>
    <w:p>
      <w:pPr>
        <w:pStyle w:val="Heading2"/>
      </w:pPr>
      <w:r>
        <w:rPr>
          <w:rFonts w:ascii="Times New Roman" w:cs="Times New Roman" w:eastAsia="Times New Roman" w:hAnsi="Times New Roman"/>
          <w:b/>
          <w:bCs/>
          <w:sz w:val="22"/>
          <w:szCs w:val="22"/>
        </w:rPr>
        <w:t xml:space="preserve">M.3 Per-Request Authorization State Machine</w:t>
      </w:r>
    </w:p>
    <w:p>
      <w:pPr>
        <w:spacing w:after="120" w:line="276" w:lineRule="exact"/>
        <w:jc w:val="both"/>
      </w:pPr>
      <w:r>
        <w:rPr>
          <w:rFonts w:ascii="Times New Roman" w:cs="Times New Roman" w:eastAsia="Times New Roman" w:hAnsi="Times New Roman"/>
          <w:sz w:val="22"/>
          <w:szCs w:val="22"/>
        </w:rPr>
        <w:t xml:space="preserve">This state machine executes at every tier that enforces authorization (API gateways, microservices, DB proxies, PAM systems).</w:t>
      </w:r>
    </w:p>
    <w:p>
      <w:pPr>
        <w:shd w:fill="F5F5F5" w:val="clear"/>
        <w:spacing w:after="0" w:line="200" w:lineRule="exact"/>
        <w:ind w:left="360"/>
      </w:pPr>
      <w:r>
        <w:rPr>
          <w:rFonts w:ascii="Consolas" w:cs="Consolas" w:eastAsia="Consolas" w:hAnsi="Consolas"/>
          <w:sz w:val="17"/>
          <w:szCs w:val="17"/>
        </w:rPr>
        <w:t xml:space="preserve">[RequestReceived]</w:t>
      </w:r>
    </w:p>
    <w:p>
      <w:pPr>
        <w:shd w:fill="F5F5F5" w:val="clear"/>
        <w:spacing w:after="0" w:line="200" w:lineRule="exact"/>
        <w:ind w:left="360"/>
      </w:pPr>
      <w:r>
        <w:rPr>
          <w:rFonts w:ascii="Consolas" w:cs="Consolas" w:eastAsia="Consolas" w:hAnsi="Consolas"/>
          <w:sz w:val="17"/>
          <w:szCs w:val="17"/>
        </w:rPr>
        <w:t xml:space="preserve">| (contains identity context: JWT, mTLS workload ID, session token)</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[IdentityPresent?]</w:t>
      </w:r>
    </w:p>
    <w:p>
      <w:pPr>
        <w:shd w:fill="F5F5F5" w:val="clear"/>
        <w:spacing w:after="0" w:line="200" w:lineRule="exact"/>
        <w:ind w:left="360"/>
      </w:pPr>
      <w:r>
        <w:rPr>
          <w:rFonts w:ascii="Consolas" w:cs="Consolas" w:eastAsia="Consolas" w:hAnsi="Consolas"/>
          <w:sz w:val="17"/>
          <w:szCs w:val="17"/>
        </w:rPr>
        <w:t xml:space="preserve">&gt; |--(no identity / invalid signature)—————--→ [Reject_401_Unauthorized]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|--(identity verified)——————————-→ [DeriveIntent]</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(parse request to extract:</w:t>
      </w:r>
    </w:p>
    <w:p>
      <w:pPr>
        <w:shd w:fill="F5F5F5" w:val="clear"/>
        <w:spacing w:after="0" w:line="200" w:lineRule="exact"/>
        <w:ind w:left="360"/>
      </w:pPr>
      <w:r>
        <w:rPr>
          <w:rFonts w:ascii="Consolas" w:cs="Consolas" w:eastAsia="Consolas" w:hAnsi="Consolas"/>
          <w:sz w:val="17"/>
          <w:szCs w:val="17"/>
        </w:rPr>
        <w:t xml:space="preserve">| - HTTP method + path + params</w:t>
      </w:r>
    </w:p>
    <w:p>
      <w:pPr>
        <w:shd w:fill="F5F5F5" w:val="clear"/>
        <w:spacing w:after="0" w:line="200" w:lineRule="exact"/>
        <w:ind w:left="360"/>
      </w:pPr>
      <w:r>
        <w:rPr>
          <w:rFonts w:ascii="Consolas" w:cs="Consolas" w:eastAsia="Consolas" w:hAnsi="Consolas"/>
          <w:sz w:val="17"/>
          <w:szCs w:val="17"/>
        </w:rPr>
        <w:t xml:space="preserve">| - SQL verb + table + WHERE clause</w:t>
      </w:r>
    </w:p>
    <w:p>
      <w:pPr>
        <w:shd w:fill="F5F5F5" w:val="clear"/>
        <w:spacing w:after="0" w:line="200" w:lineRule="exact"/>
        <w:ind w:left="360"/>
      </w:pPr>
      <w:r>
        <w:rPr>
          <w:rFonts w:ascii="Consolas" w:cs="Consolas" w:eastAsia="Consolas" w:hAnsi="Consolas"/>
          <w:sz w:val="17"/>
          <w:szCs w:val="17"/>
        </w:rPr>
        <w:t xml:space="preserve">| - RPC method + arguments</w:t>
      </w:r>
    </w:p>
    <w:p>
      <w:pPr>
        <w:shd w:fill="F5F5F5" w:val="clear"/>
        <w:spacing w:after="0" w:line="200" w:lineRule="exact"/>
        <w:ind w:left="360"/>
      </w:pPr>
      <w:r>
        <w:rPr>
          <w:rFonts w:ascii="Consolas" w:cs="Consolas" w:eastAsia="Consolas" w:hAnsi="Consolas"/>
          <w:sz w:val="17"/>
          <w:szCs w:val="17"/>
        </w:rPr>
        <w:t xml:space="preserve">| - file path + operation)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[IntentDerived]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(assemble policy inputs:</w:t>
      </w:r>
    </w:p>
    <w:p>
      <w:pPr>
        <w:shd w:fill="F5F5F5" w:val="clear"/>
        <w:spacing w:after="0" w:line="200" w:lineRule="exact"/>
        <w:ind w:left="360"/>
      </w:pPr>
      <w:r>
        <w:rPr>
          <w:rFonts w:ascii="Consolas" w:cs="Consolas" w:eastAsia="Consolas" w:hAnsi="Consolas"/>
          <w:sz w:val="17"/>
          <w:szCs w:val="17"/>
        </w:rPr>
        <w:t xml:space="preserve">| - subject attributes (user, groups, roles)</w:t>
      </w:r>
    </w:p>
    <w:p>
      <w:pPr>
        <w:shd w:fill="F5F5F5" w:val="clear"/>
        <w:spacing w:after="0" w:line="200" w:lineRule="exact"/>
        <w:ind w:left="360"/>
      </w:pPr>
      <w:r>
        <w:rPr>
          <w:rFonts w:ascii="Consolas" w:cs="Consolas" w:eastAsia="Consolas" w:hAnsi="Consolas"/>
          <w:sz w:val="17"/>
          <w:szCs w:val="17"/>
        </w:rPr>
        <w:t xml:space="preserve">| - resource attributes (classification, owner)</w:t>
      </w:r>
    </w:p>
    <w:p>
      <w:pPr>
        <w:shd w:fill="F5F5F5" w:val="clear"/>
        <w:spacing w:after="0" w:line="200" w:lineRule="exact"/>
        <w:ind w:left="360"/>
      </w:pPr>
      <w:r>
        <w:rPr>
          <w:rFonts w:ascii="Consolas" w:cs="Consolas" w:eastAsia="Consolas" w:hAnsi="Consolas"/>
          <w:sz w:val="17"/>
          <w:szCs w:val="17"/>
        </w:rPr>
        <w:t xml:space="preserve">| - environment (time, location, device posture)</w:t>
      </w:r>
    </w:p>
    <w:p>
      <w:pPr>
        <w:shd w:fill="F5F5F5" w:val="clear"/>
        <w:spacing w:after="0" w:line="200" w:lineRule="exact"/>
        <w:ind w:left="360"/>
      </w:pPr>
      <w:r>
        <w:rPr>
          <w:rFonts w:ascii="Consolas" w:cs="Consolas" w:eastAsia="Consolas" w:hAnsi="Consolas"/>
          <w:sz w:val="17"/>
          <w:szCs w:val="17"/>
        </w:rPr>
        <w:t xml:space="preserve">| - intent (action, resource, scope))</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[PolicyInputsAssembled]</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(evaluate policy:</w:t>
      </w:r>
    </w:p>
    <w:p>
      <w:pPr>
        <w:shd w:fill="F5F5F5" w:val="clear"/>
        <w:spacing w:after="0" w:line="200" w:lineRule="exact"/>
        <w:ind w:left="360"/>
      </w:pPr>
      <w:r>
        <w:rPr>
          <w:rFonts w:ascii="Consolas" w:cs="Consolas" w:eastAsia="Consolas" w:hAnsi="Consolas"/>
          <w:sz w:val="17"/>
          <w:szCs w:val="17"/>
        </w:rPr>
        <w:t xml:space="preserve">| - RBAC: map role -&gt; allowed actions</w:t>
      </w:r>
    </w:p>
    <w:p>
      <w:pPr>
        <w:shd w:fill="F5F5F5" w:val="clear"/>
        <w:spacing w:after="0" w:line="200" w:lineRule="exact"/>
        <w:ind w:left="360"/>
      </w:pPr>
      <w:r>
        <w:rPr>
          <w:rFonts w:ascii="Consolas" w:cs="Consolas" w:eastAsia="Consolas" w:hAnsi="Consolas"/>
          <w:sz w:val="17"/>
          <w:szCs w:val="17"/>
        </w:rPr>
        <w:t xml:space="preserve">| - ABAC: evaluate attribute expressions</w:t>
      </w:r>
    </w:p>
    <w:p>
      <w:pPr>
        <w:shd w:fill="F5F5F5" w:val="clear"/>
        <w:spacing w:after="0" w:line="200" w:lineRule="exact"/>
        <w:ind w:left="360"/>
      </w:pPr>
      <w:r>
        <w:rPr>
          <w:rFonts w:ascii="Consolas" w:cs="Consolas" w:eastAsia="Consolas" w:hAnsi="Consolas"/>
          <w:sz w:val="17"/>
          <w:szCs w:val="17"/>
        </w:rPr>
        <w:t xml:space="preserve">| - intent-specific rules:</w:t>
      </w:r>
    </w:p>
    <w:p>
      <w:pPr>
        <w:shd w:fill="F5F5F5" w:val="clear"/>
        <w:spacing w:after="0" w:line="200" w:lineRule="exact"/>
        <w:ind w:left="360"/>
      </w:pPr>
      <w:r>
        <w:rPr>
          <w:rFonts w:ascii="Consolas" w:cs="Consolas" w:eastAsia="Consolas" w:hAnsi="Consolas"/>
          <w:sz w:val="17"/>
          <w:szCs w:val="17"/>
        </w:rPr>
        <w:t xml:space="preserve">| "allow if user.role == 'Finance'</w:t>
      </w:r>
    </w:p>
    <w:p>
      <w:pPr>
        <w:shd w:fill="F5F5F5" w:val="clear"/>
        <w:spacing w:after="0" w:line="200" w:lineRule="exact"/>
        <w:ind w:left="360"/>
      </w:pPr>
      <w:r>
        <w:rPr>
          <w:rFonts w:ascii="Consolas" w:cs="Consolas" w:eastAsia="Consolas" w:hAnsi="Consolas"/>
          <w:sz w:val="17"/>
          <w:szCs w:val="17"/>
        </w:rPr>
        <w:t xml:space="preserve">| and action == 'READ'</w:t>
      </w:r>
    </w:p>
    <w:p>
      <w:pPr>
        <w:shd w:fill="F5F5F5" w:val="clear"/>
        <w:spacing w:after="0" w:line="200" w:lineRule="exact"/>
        <w:ind w:left="360"/>
      </w:pPr>
      <w:r>
        <w:rPr>
          <w:rFonts w:ascii="Consolas" w:cs="Consolas" w:eastAsia="Consolas" w:hAnsi="Consolas"/>
          <w:sz w:val="17"/>
          <w:szCs w:val="17"/>
        </w:rPr>
        <w:t xml:space="preserve">| and resource.classification != 'restricted'")</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[PolicyEvaluation]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[Decision]</w:t>
      </w:r>
    </w:p>
    <w:p>
      <w:pPr>
        <w:shd w:fill="F5F5F5" w:val="clear"/>
        <w:spacing w:after="0" w:line="200" w:lineRule="exact"/>
        <w:ind w:left="360"/>
      </w:pPr>
      <w:r>
        <w:rPr>
          <w:rFonts w:ascii="Consolas" w:cs="Consolas" w:eastAsia="Consolas" w:hAnsi="Consolas"/>
          <w:sz w:val="17"/>
          <w:szCs w:val="17"/>
        </w:rPr>
        <w:t xml:space="preserve">&gt; |--(deny)————————→ [Reject_403_Forbidden]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with obligations)——→ [EnforceObligations]</w:t>
      </w:r>
    </w:p>
    <w:p>
      <w:pPr>
        <w:shd w:fill="F5F5F5" w:val="clear"/>
        <w:spacing w:after="0" w:line="200" w:lineRule="exact"/>
        <w:ind w:left="360"/>
      </w:pPr>
      <w:r>
        <w:rPr>
          <w:rFonts w:ascii="Consolas" w:cs="Consolas" w:eastAsia="Consolas" w:hAnsi="Consolas"/>
          <w:sz w:val="17"/>
          <w:szCs w:val="17"/>
        </w:rPr>
        <w:t xml:space="preserve">| |</w:t>
      </w:r>
    </w:p>
    <w:p>
      <w:pPr>
        <w:shd w:fill="F5F5F5" w:val="clear"/>
        <w:spacing w:after="0" w:line="200" w:lineRule="exact"/>
        <w:ind w:left="360"/>
      </w:pPr>
      <w:r>
        <w:rPr>
          <w:rFonts w:ascii="Consolas" w:cs="Consolas" w:eastAsia="Consolas" w:hAnsi="Consolas"/>
          <w:sz w:val="17"/>
          <w:szCs w:val="17"/>
        </w:rPr>
        <w:t xml:space="preserve">| | (mask sensitive fields,</w:t>
      </w:r>
    </w:p>
    <w:p>
      <w:pPr>
        <w:shd w:fill="F5F5F5" w:val="clear"/>
        <w:spacing w:after="0" w:line="200" w:lineRule="exact"/>
        <w:ind w:left="360"/>
      </w:pPr>
      <w:r>
        <w:rPr>
          <w:rFonts w:ascii="Consolas" w:cs="Consolas" w:eastAsia="Consolas" w:hAnsi="Consolas"/>
          <w:sz w:val="17"/>
          <w:szCs w:val="17"/>
        </w:rPr>
        <w:t xml:space="preserve">| | downgrade operation,</w:t>
      </w:r>
    </w:p>
    <w:p>
      <w:pPr>
        <w:shd w:fill="F5F5F5" w:val="clear"/>
        <w:spacing w:after="0" w:line="200" w:lineRule="exact"/>
        <w:ind w:left="360"/>
      </w:pPr>
      <w:r>
        <w:rPr>
          <w:rFonts w:ascii="Consolas" w:cs="Consolas" w:eastAsia="Consolas" w:hAnsi="Consolas"/>
          <w:sz w:val="17"/>
          <w:szCs w:val="17"/>
        </w:rPr>
        <w:t xml:space="preserve">| | add audit tags,</w:t>
      </w:r>
    </w:p>
    <w:p>
      <w:pPr>
        <w:shd w:fill="F5F5F5" w:val="clear"/>
        <w:spacing w:after="0" w:line="200" w:lineRule="exact"/>
        <w:ind w:left="360"/>
      </w:pPr>
      <w:r>
        <w:rPr>
          <w:rFonts w:ascii="Consolas" w:cs="Consolas" w:eastAsia="Consolas" w:hAnsi="Consolas"/>
          <w:sz w:val="17"/>
          <w:szCs w:val="17"/>
        </w:rPr>
        <w:t xml:space="preserve">| | trigger alert)</w:t>
      </w:r>
    </w:p>
    <w:p>
      <w:pPr>
        <w:shd w:fill="F5F5F5" w:val="clear"/>
        <w:spacing w:after="0" w:line="200" w:lineRule="exact"/>
        <w:ind w:left="360"/>
      </w:pPr>
      <w:r>
        <w:rPr>
          <w:rFonts w:ascii="Consolas" w:cs="Consolas" w:eastAsia="Consolas" w:hAnsi="Consolas"/>
          <w:sz w:val="17"/>
          <w:szCs w:val="17"/>
        </w:rPr>
        <w:t xml:space="preserve">| v</w:t>
      </w:r>
    </w:p>
    <w:p>
      <w:pPr>
        <w:shd w:fill="F5F5F5" w:val="clear"/>
        <w:spacing w:after="0" w:line="200" w:lineRule="exact"/>
        <w:ind w:left="360"/>
      </w:pPr>
      <w:r>
        <w:rPr>
          <w:rFonts w:ascii="Consolas" w:cs="Consolas" w:eastAsia="Consolas" w:hAnsi="Consolas"/>
          <w:sz w:val="17"/>
          <w:szCs w:val="17"/>
        </w:rPr>
        <w:t xml:space="preserve">| [ExecuteAction]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[ExecuteAction]</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[AuditLog]</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[ReturnResult]</w:t>
      </w:r>
    </w:p>
    <w:p>
      <w:pPr>
        <w:pStyle w:val="Heading2"/>
      </w:pPr>
      <w:r>
        <w:rPr>
          <w:rFonts w:ascii="Times New Roman" w:cs="Times New Roman" w:eastAsia="Times New Roman" w:hAnsi="Times New Roman"/>
          <w:b/>
          <w:bCs/>
          <w:sz w:val="22"/>
          <w:szCs w:val="22"/>
        </w:rPr>
        <w:t xml:space="preserve">M.4 Where Authorization Logic Lives</w:t>
      </w:r>
    </w:p>
    <w:p>
      <w:pPr>
        <w:spacing w:after="120" w:line="276" w:lineRule="exact"/>
        <w:jc w:val="both"/>
      </w:pPr>
      <w:r>
        <w:rPr>
          <w:rFonts w:ascii="Times New Roman" w:cs="Times New Roman" w:eastAsia="Times New Roman" w:hAnsi="Times New Roman"/>
          <w:b/>
          <w:bCs/>
          <w:sz w:val="22"/>
          <w:szCs w:val="22"/>
        </w:rPr>
        <w:t xml:space="preserve">Authorization is not a single component but a distributed responsibility across multiple enforcement points:</w:t>
      </w:r>
    </w:p>
    <w:p>
      <w:pPr>
        <w:spacing w:after="80" w:before="120"/>
        <w:jc w:val="center"/>
      </w:pPr>
      <w:r>
        <w:rPr>
          <w:rFonts w:ascii="Times New Roman" w:cs="Times New Roman" w:eastAsia="Times New Roman" w:hAnsi="Times New Roman"/>
          <w:i/>
          <w:iCs/>
          <w:sz w:val="20"/>
          <w:szCs w:val="20"/>
        </w:rPr>
        <w:t xml:space="preserve">Table 2: Common authorization enforcement points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464"/>
        <w:gridCol w:w="4464"/>
      </w:tblGrid>
      <w:tr>
        <w:tc>
          <w:tcPr>
            <w:tcW w:type="dxa" w:w="4464"/>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Enforcement Point</w:t>
            </w:r>
          </w:p>
        </w:tc>
        <w:tc>
          <w:tcPr>
            <w:tcW w:type="dxa" w:w="4464"/>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Authorization Capability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Application Code</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Richest context; understands business semantics, can enforce complex rules (e.g., "only resource owner can delete")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API Gateway</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Centralized enforcement for coarse-grained rules (e.g., "only authenticated users with scope read:orders" can access /orders/\*)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Policy Engine (OPA, Cedar, XACML PDP)   Centralized policy authoring and evaluation; services call policy engine with subject, action, resource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Database Row-Level Security</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Filters queries based on session variables or JWT claims passed via connection properties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PAM System</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Controls privileged access to infrastructure (SSH, RDP, database admin); enforces time-based or approval-based grants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F.5 Authorization Models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Role-Based Access Control (RBAC):</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Users are assigned roles; roles are granted permissions.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Simple to administer for coarse-grained access (e.g., "Finance role can read /api/invoices").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Does not handle dynamic context (device posture, location, risk score).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Attribute-Based Access Control (ABAC):</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Policies evaluate attributes of subject, resource, action, and environment.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More flexible and context-aware (e.g., "allow if user.department == resource.owner_department and device.compliant == true").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Requires richer identity tokens and policy engines.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Intent-Based / Policy-as-Code: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Policies are written as code (Rego, Cedar, Python) and version-controlled.</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Intent (specific operation) is explicitly modeled and evaluated.</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Best fit for ZT-native architectures where every service independently enforces policy.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F.6 ZT-Native vs Legacy Authorization</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ZT-native: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Identity is validated and authorization is enforced at every tier and every API call.</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Claims from the JWT (groups, device posture, risk score) are evaluated per request.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Policy is enforced locally (in service code or via sidecar) and continuously, not just at login.</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Least privilege is transaction-level: "user X can read invoice Y at time T from device D."</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Legacy: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Authorization is often evaluated only at login or session establishment.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Backend tiers assume any authenticated request is fully authorized.</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Shared service accounts and broad permissions dominate; fine-grained controls (row-level security, field masking) are rare.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Changes to user permissions or device posture do not affect active sessions until logout.</w:t>
            </w:r>
          </w:p>
        </w:tc>
      </w:tr>
      <w:tr>
        <w:tc>
          <w:tcPr>
            <w:tcW w:type="dxa" w:w="4464"/>
            <w:tcBorders>
              <w:top w:val="none" w:sz="0"/>
              <w:left w:val="none" w:sz="0"/>
              <w:bottom w:val="single" w:color="000000" w:sz="12"/>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Result: ZT-native authorization is continuous, distributed, and context-aware; legacy authorization is coarse-grained, centralized, and static.</w:t>
            </w:r>
          </w:p>
        </w:tc>
      </w:tr>
    </w:tbl>
    <w:p>
      <w:r>
        <w:br w:type="page"/>
      </w:r>
    </w:p>
    <w:p>
      <w:pPr>
        <w:pStyle w:val="Heading1"/>
      </w:pPr>
      <w:r>
        <w:rPr>
          <w:rFonts w:ascii="Times New Roman" w:cs="Times New Roman" w:eastAsia="Times New Roman" w:hAnsi="Times New Roman"/>
          <w:b/>
          <w:bCs/>
          <w:caps/>
          <w:sz w:val="26"/>
          <w:szCs w:val="26"/>
        </w:rPr>
        <w:t xml:space="preserve">APPENDIX N — IDENTITY PROPAGATION ACROSS TIERS</w:t>
      </w:r>
    </w:p>
    <w:p>
      <w:pPr>
        <w:spacing w:after="120" w:line="276" w:lineRule="exact"/>
        <w:jc w:val="both"/>
      </w:pPr>
      <w:r>
        <w:rPr>
          <w:rFonts w:ascii="Times New Roman" w:cs="Times New Roman" w:eastAsia="Times New Roman" w:hAnsi="Times New Roman"/>
          <w:sz w:val="22"/>
          <w:szCs w:val="22"/>
        </w:rPr>
        <w:t xml:space="preserve">Identity propagation is the practice of maintaining user and contextual identity information across multiple service layers (UI, API, middleware, database) so that each tier can independently authenticate, authorize, and audit requests.</w:t>
      </w:r>
    </w:p>
    <w:p>
      <w:pPr>
        <w:pStyle w:val="Heading2"/>
      </w:pPr>
      <w:r>
        <w:rPr>
          <w:rFonts w:ascii="Times New Roman" w:cs="Times New Roman" w:eastAsia="Times New Roman" w:hAnsi="Times New Roman"/>
          <w:b/>
          <w:bCs/>
          <w:sz w:val="22"/>
          <w:szCs w:val="22"/>
        </w:rPr>
        <w:t xml:space="preserve">N.1 Conceptual Role of Identity Propagation</w:t>
      </w:r>
    </w:p>
    <w:p>
      <w:pPr>
        <w:spacing w:after="120" w:line="276" w:lineRule="exact"/>
        <w:jc w:val="both"/>
      </w:pPr>
      <w:r>
        <w:rPr>
          <w:rFonts w:ascii="Times New Roman" w:cs="Times New Roman" w:eastAsia="Times New Roman" w:hAnsi="Times New Roman"/>
          <w:b/>
          <w:bCs/>
          <w:sz w:val="22"/>
          <w:szCs w:val="22"/>
        </w:rPr>
        <w:t xml:space="preserve">Without identity propagation: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edge tier (UI, gateway, broker) knows who the user is.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Backend tiers (APIs, databases) see only a shared service account or the broker's IP.</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Audit logs are generic: "service account X accessed database Y" (no user-level attribution).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Authorization is coarse: any request from the service account is trusted.</w:t>
      </w:r>
    </w:p>
    <w:p>
      <w:pPr>
        <w:spacing w:after="120" w:line="276" w:lineRule="exact"/>
        <w:jc w:val="both"/>
      </w:pPr>
      <w:r>
        <w:rPr>
          <w:rFonts w:ascii="Times New Roman" w:cs="Times New Roman" w:eastAsia="Times New Roman" w:hAnsi="Times New Roman"/>
          <w:b/>
          <w:bCs/>
          <w:sz w:val="22"/>
          <w:szCs w:val="22"/>
        </w:rPr>
        <w:t xml:space="preserve">With identity propagation: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Every tier sees and validates the user's identity (and optionally device, risk, and context).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Authorization is per-tier and per-request: "user Alice can read invoice 12345 from compliant device."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Audit logs are precise: "Alice from device D accessed row 12345 in table invoices at 14:32:17 UTC."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Least privilege is enforceable at every hop, including row-level security at the database.</w:t>
      </w:r>
    </w:p>
    <w:p>
      <w:pPr>
        <w:pStyle w:val="Heading2"/>
      </w:pPr>
      <w:r>
        <w:rPr>
          <w:rFonts w:ascii="Times New Roman" w:cs="Times New Roman" w:eastAsia="Times New Roman" w:hAnsi="Times New Roman"/>
          <w:b/>
          <w:bCs/>
          <w:sz w:val="22"/>
          <w:szCs w:val="22"/>
        </w:rPr>
        <w:t xml:space="preserve">N.2 Multi-Tier Request Flow with Propagated Identity</w:t>
      </w:r>
    </w:p>
    <w:p>
      <w:pPr>
        <w:shd w:fill="F5F5F5" w:val="clear"/>
        <w:spacing w:after="0" w:line="200" w:lineRule="exact"/>
        <w:ind w:left="360"/>
      </w:pPr>
      <w:r>
        <w:rPr>
          <w:rFonts w:ascii="Consolas" w:cs="Consolas" w:eastAsia="Consolas" w:hAnsi="Consolas"/>
          <w:sz w:val="17"/>
          <w:szCs w:val="17"/>
        </w:rPr>
        <w:t xml:space="preserve">[UserActionInUI]</w:t>
      </w:r>
    </w:p>
    <w:p>
      <w:pPr>
        <w:shd w:fill="F5F5F5" w:val="clear"/>
        <w:spacing w:after="0" w:line="200" w:lineRule="exact"/>
        <w:ind w:left="360"/>
      </w:pPr>
      <w:r>
        <w:rPr>
          <w:rFonts w:ascii="Consolas" w:cs="Consolas" w:eastAsia="Consolas" w:hAnsi="Consolas"/>
          <w:sz w:val="17"/>
          <w:szCs w:val="17"/>
        </w:rPr>
        <w:t xml:space="preserve">| (user clicks "View Invoice 12345")</w:t>
      </w:r>
    </w:p>
    <w:p>
      <w:pPr>
        <w:shd w:fill="F5F5F5" w:val="clear"/>
        <w:spacing w:after="0" w:line="200" w:lineRule="exact"/>
        <w:ind w:left="360"/>
      </w:pPr>
      <w:r>
        <w:rPr>
          <w:rFonts w:ascii="Consolas" w:cs="Consolas" w:eastAsia="Consolas" w:hAnsi="Consolas"/>
          <w:sz w:val="17"/>
          <w:szCs w:val="17"/>
        </w:rPr>
        <w:t xml:space="preserve">| (UI holds access token / ID token from IdP)</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[UI_PrepareAPIRequest]</w:t>
      </w:r>
    </w:p>
    <w:p>
      <w:pPr>
        <w:shd w:fill="F5F5F5" w:val="clear"/>
        <w:spacing w:after="0" w:line="200" w:lineRule="exact"/>
        <w:ind w:left="360"/>
      </w:pPr>
      <w:r>
        <w:rPr>
          <w:rFonts w:ascii="Consolas" w:cs="Consolas" w:eastAsia="Consolas" w:hAnsi="Consolas"/>
          <w:sz w:val="17"/>
          <w:szCs w:val="17"/>
        </w:rPr>
        <w:t xml:space="preserve">| (attach JWT as Authorization: Bearer &lt;token&gt;)</w:t>
      </w:r>
    </w:p>
    <w:p>
      <w:pPr>
        <w:shd w:fill="F5F5F5" w:val="clear"/>
        <w:spacing w:after="0" w:line="200" w:lineRule="exact"/>
        <w:ind w:left="360"/>
      </w:pPr>
      <w:r>
        <w:rPr>
          <w:rFonts w:ascii="Consolas" w:cs="Consolas" w:eastAsia="Consolas" w:hAnsi="Consolas"/>
          <w:sz w:val="17"/>
          <w:szCs w:val="17"/>
        </w:rPr>
        <w:t xml:space="preserve">| (or exchange token for API-specific token via OAuth Token Exchange)</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[API_ReceiveRequest]</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(validate JWT: signature, expiry, audience, issuer)</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[API_ValidateToken]</w:t>
      </w:r>
    </w:p>
    <w:p>
      <w:pPr>
        <w:shd w:fill="F5F5F5" w:val="clear"/>
        <w:spacing w:after="0" w:line="200" w:lineRule="exact"/>
        <w:ind w:left="360"/>
      </w:pPr>
      <w:r>
        <w:rPr>
          <w:rFonts w:ascii="Consolas" w:cs="Consolas" w:eastAsia="Consolas" w:hAnsi="Consolas"/>
          <w:sz w:val="17"/>
          <w:szCs w:val="17"/>
        </w:rPr>
        <w:t xml:space="preserve">&gt; |--(invalid)—————————————-→ [Reject_401]</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|--(valid)—————————————--→ [API_AuthorizeIntent]</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(evaluate:</w:t>
      </w:r>
    </w:p>
    <w:p>
      <w:pPr>
        <w:shd w:fill="F5F5F5" w:val="clear"/>
        <w:spacing w:after="0" w:line="200" w:lineRule="exact"/>
        <w:ind w:left="360"/>
      </w:pPr>
      <w:r>
        <w:rPr>
          <w:rFonts w:ascii="Consolas" w:cs="Consolas" w:eastAsia="Consolas" w:hAnsi="Consolas"/>
          <w:sz w:val="17"/>
          <w:szCs w:val="17"/>
        </w:rPr>
        <w:t xml:space="preserve">| "user.role == 'Accountant'</w:t>
      </w:r>
    </w:p>
    <w:p>
      <w:pPr>
        <w:shd w:fill="F5F5F5" w:val="clear"/>
        <w:spacing w:after="0" w:line="200" w:lineRule="exact"/>
        <w:ind w:left="360"/>
      </w:pPr>
      <w:r>
        <w:rPr>
          <w:rFonts w:ascii="Consolas" w:cs="Consolas" w:eastAsia="Consolas" w:hAnsi="Consolas"/>
          <w:sz w:val="17"/>
          <w:szCs w:val="17"/>
        </w:rPr>
        <w:t xml:space="preserve">| and action == 'READ'</w:t>
      </w:r>
    </w:p>
    <w:p>
      <w:pPr>
        <w:shd w:fill="F5F5F5" w:val="clear"/>
        <w:spacing w:after="0" w:line="200" w:lineRule="exact"/>
        <w:ind w:left="360"/>
      </w:pPr>
      <w:r>
        <w:rPr>
          <w:rFonts w:ascii="Consolas" w:cs="Consolas" w:eastAsia="Consolas" w:hAnsi="Consolas"/>
          <w:sz w:val="17"/>
          <w:szCs w:val="17"/>
        </w:rPr>
        <w:t xml:space="preserve">| and resource.id == 12345")</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[API_AuthzDecision]</w:t>
      </w:r>
    </w:p>
    <w:p>
      <w:pPr>
        <w:shd w:fill="F5F5F5" w:val="clear"/>
        <w:spacing w:after="0" w:line="200" w:lineRule="exact"/>
        <w:ind w:left="360"/>
      </w:pPr>
      <w:r>
        <w:rPr>
          <w:rFonts w:ascii="Consolas" w:cs="Consolas" w:eastAsia="Consolas" w:hAnsi="Consolas"/>
          <w:sz w:val="17"/>
          <w:szCs w:val="17"/>
        </w:rPr>
        <w:t xml:space="preserve">&gt; |--(deny)-→ [Reject_403]</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[API_CallDownstreamService]</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(options for downstream call:</w:t>
      </w:r>
    </w:p>
    <w:p>
      <w:pPr>
        <w:shd w:fill="F5F5F5" w:val="clear"/>
        <w:spacing w:after="0" w:line="200" w:lineRule="exact"/>
        <w:ind w:left="360"/>
      </w:pPr>
      <w:r>
        <w:rPr>
          <w:rFonts w:ascii="Consolas" w:cs="Consolas" w:eastAsia="Consolas" w:hAnsi="Consolas"/>
          <w:sz w:val="17"/>
          <w:szCs w:val="17"/>
        </w:rPr>
        <w:t xml:space="preserve">| 1. Forward original user token</w:t>
      </w:r>
    </w:p>
    <w:p>
      <w:pPr>
        <w:shd w:fill="F5F5F5" w:val="clear"/>
        <w:spacing w:after="0" w:line="200" w:lineRule="exact"/>
        <w:ind w:left="360"/>
      </w:pPr>
      <w:r>
        <w:rPr>
          <w:rFonts w:ascii="Consolas" w:cs="Consolas" w:eastAsia="Consolas" w:hAnsi="Consolas"/>
          <w:sz w:val="17"/>
          <w:szCs w:val="17"/>
        </w:rPr>
        <w:t xml:space="preserve">| 2. Exchange for service-scoped token</w:t>
      </w:r>
    </w:p>
    <w:p>
      <w:pPr>
        <w:shd w:fill="F5F5F5" w:val="clear"/>
        <w:spacing w:after="0" w:line="200" w:lineRule="exact"/>
        <w:ind w:left="360"/>
      </w:pPr>
      <w:r>
        <w:rPr>
          <w:rFonts w:ascii="Consolas" w:cs="Consolas" w:eastAsia="Consolas" w:hAnsi="Consolas"/>
          <w:sz w:val="17"/>
          <w:szCs w:val="17"/>
        </w:rPr>
        <w:t xml:space="preserve">| with on-behalf-of (OBO) claim</w:t>
      </w:r>
    </w:p>
    <w:p>
      <w:pPr>
        <w:shd w:fill="F5F5F5" w:val="clear"/>
        <w:spacing w:after="0" w:line="200" w:lineRule="exact"/>
        <w:ind w:left="360"/>
      </w:pPr>
      <w:r>
        <w:rPr>
          <w:rFonts w:ascii="Consolas" w:cs="Consolas" w:eastAsia="Consolas" w:hAnsi="Consolas"/>
          <w:sz w:val="17"/>
          <w:szCs w:val="17"/>
        </w:rPr>
        <w:t xml:space="preserve">| 3. Use service principal + user context claims)</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[Service_ReceiveRequest]</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(validate token again)</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[Service_ValidateToken]</w:t>
      </w:r>
    </w:p>
    <w:p>
      <w:pPr>
        <w:shd w:fill="F5F5F5" w:val="clear"/>
        <w:spacing w:after="0" w:line="200" w:lineRule="exact"/>
        <w:ind w:left="360"/>
      </w:pPr>
      <w:r>
        <w:rPr>
          <w:rFonts w:ascii="Consolas" w:cs="Consolas" w:eastAsia="Consolas" w:hAnsi="Consolas"/>
          <w:sz w:val="17"/>
          <w:szCs w:val="17"/>
        </w:rPr>
        <w:t xml:space="preserve">&gt; |--(invalid)→ [Reject_401]</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|--(valid)-→ [Service_AuthorizeIntent]</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(service-local policy)</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[Service_AuthzDecision]</w:t>
      </w:r>
    </w:p>
    <w:p>
      <w:pPr>
        <w:shd w:fill="F5F5F5" w:val="clear"/>
        <w:spacing w:after="0" w:line="200" w:lineRule="exact"/>
        <w:ind w:left="360"/>
      </w:pPr>
      <w:r>
        <w:rPr>
          <w:rFonts w:ascii="Consolas" w:cs="Consolas" w:eastAsia="Consolas" w:hAnsi="Consolas"/>
          <w:sz w:val="17"/>
          <w:szCs w:val="17"/>
        </w:rPr>
        <w:t xml:space="preserve">&gt; |--(deny)-→ [Reject_403]</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[Service_QueryDatabase]</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(DB connection with:</w:t>
      </w:r>
    </w:p>
    <w:p>
      <w:pPr>
        <w:shd w:fill="F5F5F5" w:val="clear"/>
        <w:spacing w:after="0" w:line="200" w:lineRule="exact"/>
        <w:ind w:left="360"/>
      </w:pPr>
      <w:r>
        <w:rPr>
          <w:rFonts w:ascii="Consolas" w:cs="Consolas" w:eastAsia="Consolas" w:hAnsi="Consolas"/>
          <w:sz w:val="17"/>
          <w:szCs w:val="17"/>
        </w:rPr>
        <w:t xml:space="preserve">| - user identity in connection properties</w:t>
      </w:r>
    </w:p>
    <w:p>
      <w:pPr>
        <w:shd w:fill="F5F5F5" w:val="clear"/>
        <w:spacing w:after="0" w:line="200" w:lineRule="exact"/>
        <w:ind w:left="360"/>
      </w:pPr>
      <w:r>
        <w:rPr>
          <w:rFonts w:ascii="Consolas" w:cs="Consolas" w:eastAsia="Consolas" w:hAnsi="Consolas"/>
          <w:sz w:val="17"/>
          <w:szCs w:val="17"/>
        </w:rPr>
        <w:t xml:space="preserve">| - or scoped service principal</w:t>
      </w:r>
    </w:p>
    <w:p>
      <w:pPr>
        <w:shd w:fill="F5F5F5" w:val="clear"/>
        <w:spacing w:after="0" w:line="200" w:lineRule="exact"/>
        <w:ind w:left="360"/>
      </w:pPr>
      <w:r>
        <w:rPr>
          <w:rFonts w:ascii="Consolas" w:cs="Consolas" w:eastAsia="Consolas" w:hAnsi="Consolas"/>
          <w:sz w:val="17"/>
          <w:szCs w:val="17"/>
        </w:rPr>
        <w:t xml:space="preserve">| - or JWT claim passed via session variable)</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[DB_Access]</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(DB enforces row-level security:</w:t>
      </w:r>
    </w:p>
    <w:p>
      <w:pPr>
        <w:shd w:fill="F5F5F5" w:val="clear"/>
        <w:spacing w:after="0" w:line="200" w:lineRule="exact"/>
        <w:ind w:left="360"/>
      </w:pPr>
      <w:r>
        <w:rPr>
          <w:rFonts w:ascii="Consolas" w:cs="Consolas" w:eastAsia="Consolas" w:hAnsi="Consolas"/>
          <w:sz w:val="17"/>
          <w:szCs w:val="17"/>
        </w:rPr>
        <w:t xml:space="preserve">| "allow if current_user == 'alice@corp.com'</w:t>
      </w:r>
    </w:p>
    <w:p>
      <w:pPr>
        <w:shd w:fill="F5F5F5" w:val="clear"/>
        <w:spacing w:after="0" w:line="200" w:lineRule="exact"/>
        <w:ind w:left="360"/>
      </w:pPr>
      <w:r>
        <w:rPr>
          <w:rFonts w:ascii="Consolas" w:cs="Consolas" w:eastAsia="Consolas" w:hAnsi="Consolas"/>
          <w:sz w:val="17"/>
          <w:szCs w:val="17"/>
        </w:rPr>
        <w:t xml:space="preserve">| and invoice.department == user.department")</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[DB_ReturnRows]</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(propagate results back up stack)</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[ResponseBackToUser]</w:t>
      </w:r>
    </w:p>
    <w:p>
      <w:pPr>
        <w:pStyle w:val="Heading2"/>
      </w:pPr>
      <w:r>
        <w:rPr>
          <w:rFonts w:ascii="Times New Roman" w:cs="Times New Roman" w:eastAsia="Times New Roman" w:hAnsi="Times New Roman"/>
          <w:b/>
          <w:bCs/>
          <w:sz w:val="22"/>
          <w:szCs w:val="22"/>
        </w:rPr>
        <w:t xml:space="preserve">N.3 Token Propagation Patterns</w:t>
      </w:r>
    </w:p>
    <w:p>
      <w:pPr>
        <w:spacing w:after="120" w:line="276" w:lineRule="exact"/>
        <w:jc w:val="both"/>
      </w:pPr>
      <w:r>
        <w:rPr>
          <w:rFonts w:ascii="Times New Roman" w:cs="Times New Roman" w:eastAsia="Times New Roman" w:hAnsi="Times New Roman"/>
          <w:sz w:val="22"/>
          <w:szCs w:val="22"/>
        </w:rPr>
        <w:t xml:space="preserve">Option 1: Forward Original User Token</w:t>
      </w:r>
    </w:p>
    <w:p>
      <w:pPr>
        <w:spacing w:after="120" w:line="276" w:lineRule="exact"/>
        <w:jc w:val="both"/>
      </w:pPr>
      <w:r>
        <w:rPr>
          <w:rFonts w:ascii="Times New Roman" w:cs="Times New Roman" w:eastAsia="Times New Roman" w:hAnsi="Times New Roman"/>
          <w:sz w:val="22"/>
          <w:szCs w:val="22"/>
        </w:rPr>
        <w:t xml:space="preserve">The UI or API forwards the same JWT it received from the IdP to downstream services.</w:t>
      </w:r>
    </w:p>
    <w:p>
      <w:pPr>
        <w:spacing w:after="120" w:line="276" w:lineRule="exact"/>
        <w:jc w:val="both"/>
      </w:pPr>
      <w:r>
        <w:rPr>
          <w:rFonts w:ascii="Times New Roman" w:cs="Times New Roman" w:eastAsia="Times New Roman" w:hAnsi="Times New Roman"/>
          <w:sz w:val="22"/>
          <w:szCs w:val="22"/>
        </w:rPr>
        <w:t xml:space="preserve">Pros: Simple; full user context available at every tier.</w:t>
      </w:r>
    </w:p>
    <w:p>
      <w:pPr>
        <w:spacing w:after="120" w:line="276" w:lineRule="exact"/>
        <w:jc w:val="both"/>
      </w:pPr>
      <w:r>
        <w:rPr>
          <w:rFonts w:ascii="Times New Roman" w:cs="Times New Roman" w:eastAsia="Times New Roman" w:hAnsi="Times New Roman"/>
          <w:sz w:val="22"/>
          <w:szCs w:val="22"/>
        </w:rPr>
        <w:t xml:space="preserve">Cons: Token lifetime must be long enough to traverse all tiers; audience restrictions can be complex; token reuse increases blast radius if leaked.</w:t>
      </w:r>
    </w:p>
    <w:p>
      <w:pPr>
        <w:spacing w:after="120" w:line="276" w:lineRule="exact"/>
        <w:jc w:val="both"/>
      </w:pPr>
      <w:r>
        <w:rPr>
          <w:rFonts w:ascii="Times New Roman" w:cs="Times New Roman" w:eastAsia="Times New Roman" w:hAnsi="Times New Roman"/>
          <w:sz w:val="22"/>
          <w:szCs w:val="22"/>
        </w:rPr>
        <w:t xml:space="preserve">Option 2: Token Exchange (OAuth 2.0 Token Exchange RFC 8693)</w:t>
      </w:r>
    </w:p>
    <w:p>
      <w:pPr>
        <w:spacing w:after="120" w:line="276" w:lineRule="exact"/>
        <w:jc w:val="both"/>
      </w:pPr>
      <w:r>
        <w:rPr>
          <w:rFonts w:ascii="Times New Roman" w:cs="Times New Roman" w:eastAsia="Times New Roman" w:hAnsi="Times New Roman"/>
          <w:sz w:val="22"/>
          <w:szCs w:val="22"/>
        </w:rPr>
        <w:t xml:space="preserve">Each service exchanges the incoming token for a new token scoped to the downstream service's audience, preserving user context via an act or sub claim.</w:t>
      </w:r>
    </w:p>
    <w:p>
      <w:pPr>
        <w:spacing w:after="120" w:line="276" w:lineRule="exact"/>
        <w:jc w:val="both"/>
      </w:pPr>
      <w:r>
        <w:rPr>
          <w:rFonts w:ascii="Times New Roman" w:cs="Times New Roman" w:eastAsia="Times New Roman" w:hAnsi="Times New Roman"/>
          <w:sz w:val="22"/>
          <w:szCs w:val="22"/>
        </w:rPr>
        <w:t xml:space="preserve">Pros: Each tier gets a short-lived, audience-specific token; reduced blast radius; better audit trails.</w:t>
      </w:r>
    </w:p>
    <w:p>
      <w:pPr>
        <w:spacing w:after="120" w:line="276" w:lineRule="exact"/>
        <w:jc w:val="both"/>
      </w:pPr>
      <w:r>
        <w:rPr>
          <w:rFonts w:ascii="Times New Roman" w:cs="Times New Roman" w:eastAsia="Times New Roman" w:hAnsi="Times New Roman"/>
          <w:sz w:val="22"/>
          <w:szCs w:val="22"/>
        </w:rPr>
        <w:t xml:space="preserve">Cons: Requires token exchange infrastructure; adds latency.</w:t>
      </w:r>
    </w:p>
    <w:p>
      <w:pPr>
        <w:spacing w:after="120" w:line="276" w:lineRule="exact"/>
        <w:jc w:val="both"/>
      </w:pPr>
      <w:r>
        <w:rPr>
          <w:rFonts w:ascii="Times New Roman" w:cs="Times New Roman" w:eastAsia="Times New Roman" w:hAnsi="Times New Roman"/>
          <w:sz w:val="22"/>
          <w:szCs w:val="22"/>
        </w:rPr>
        <w:t xml:space="preserve">Option 3: Service Principal + User Context Claims</w:t>
      </w:r>
    </w:p>
    <w:p>
      <w:pPr>
        <w:spacing w:after="120" w:line="276" w:lineRule="exact"/>
        <w:jc w:val="both"/>
      </w:pPr>
      <w:r>
        <w:rPr>
          <w:rFonts w:ascii="Times New Roman" w:cs="Times New Roman" w:eastAsia="Times New Roman" w:hAnsi="Times New Roman"/>
          <w:sz w:val="22"/>
          <w:szCs w:val="22"/>
        </w:rPr>
        <w:t xml:space="preserve">The service calls downstream systems using its own workload identity (mTLS or service token) but includes user context as additional claims or headers.</w:t>
      </w:r>
    </w:p>
    <w:p>
      <w:pPr>
        <w:spacing w:after="120" w:line="276" w:lineRule="exact"/>
        <w:jc w:val="both"/>
      </w:pPr>
      <w:r>
        <w:rPr>
          <w:rFonts w:ascii="Times New Roman" w:cs="Times New Roman" w:eastAsia="Times New Roman" w:hAnsi="Times New Roman"/>
          <w:sz w:val="22"/>
          <w:szCs w:val="22"/>
        </w:rPr>
        <w:t xml:space="preserve">Pros: Workload identity is stable and manageable; user context is still available for authorization and audit.</w:t>
      </w:r>
    </w:p>
    <w:p>
      <w:pPr>
        <w:spacing w:after="120" w:line="276" w:lineRule="exact"/>
        <w:jc w:val="both"/>
      </w:pPr>
      <w:r>
        <w:rPr>
          <w:rFonts w:ascii="Times New Roman" w:cs="Times New Roman" w:eastAsia="Times New Roman" w:hAnsi="Times New Roman"/>
          <w:sz w:val="22"/>
          <w:szCs w:val="22"/>
        </w:rPr>
        <w:t xml:space="preserve">Cons: Requires downstream systems to trust and parse custom headers or claims; less standardized.</w:t>
      </w:r>
    </w:p>
    <w:p>
      <w:pPr>
        <w:pStyle w:val="Heading2"/>
      </w:pPr>
      <w:r>
        <w:rPr>
          <w:rFonts w:ascii="Times New Roman" w:cs="Times New Roman" w:eastAsia="Times New Roman" w:hAnsi="Times New Roman"/>
          <w:b/>
          <w:bCs/>
          <w:sz w:val="22"/>
          <w:szCs w:val="22"/>
        </w:rPr>
        <w:t xml:space="preserve">N.4 Database-Level Identity Propagation</w:t>
      </w:r>
    </w:p>
    <w:p>
      <w:pPr>
        <w:spacing w:after="120" w:line="276" w:lineRule="exact"/>
        <w:jc w:val="both"/>
      </w:pPr>
      <w:r>
        <w:rPr>
          <w:rFonts w:ascii="Times New Roman" w:cs="Times New Roman" w:eastAsia="Times New Roman" w:hAnsi="Times New Roman"/>
          <w:b/>
          <w:bCs/>
          <w:sz w:val="22"/>
          <w:szCs w:val="22"/>
        </w:rPr>
        <w:t xml:space="preserve">Most databases support identity-aware access controls:</w:t>
      </w:r>
    </w:p>
    <w:p>
      <w:pPr>
        <w:spacing w:after="80" w:before="120"/>
        <w:jc w:val="center"/>
      </w:pPr>
      <w:r>
        <w:rPr>
          <w:rFonts w:ascii="Times New Roman" w:cs="Times New Roman" w:eastAsia="Times New Roman" w:hAnsi="Times New Roman"/>
          <w:i/>
          <w:iCs/>
          <w:sz w:val="20"/>
          <w:szCs w:val="20"/>
        </w:rPr>
        <w:t xml:space="preserve">Table 3: Database identity propagation mechanisms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464"/>
        <w:gridCol w:w="4464"/>
      </w:tblGrid>
      <w:tr>
        <w:tc>
          <w:tcPr>
            <w:tcW w:type="dxa" w:w="4464"/>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Database</w:t>
            </w:r>
          </w:p>
        </w:tc>
        <w:tc>
          <w:tcPr>
            <w:tcW w:type="dxa" w:w="4464"/>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Identity Propagation Mechanism</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PostgreSQL</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Row-level security (RLS) policies using current_user or session variables (SET app.user_id = 'alice@corp.com')</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Oracle</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Virtual Private Database (VPD) with application context (DBMS_SESSION.SET_CONTEXT)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SQL Server</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Row-level security with SESSION_CONTEXT (sp_set_session_context)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Snowflake</w:t>
            </w:r>
          </w:p>
        </w:tc>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Session parameters and role-based access control; user context via CURRENT_USER()</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Example (PostgreSQL RLS):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 Policy: users can only see invoices from their own department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&gt; CREATE POLICY invoice_department_isolation ON invoices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&gt; USING (department = current_setting('app.user_department'));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 At connection time, application sets: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&gt; SET app.user_department = 'Finance';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G.5 What Identity Propagation Enables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Per-tier authorization: Each service independently enforces policy based on user identity and intent.</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Granular audit trails: Logs capture "Alice from device D accessed resource X at tier 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Least privilege enforcement: Database queries are filtered by user; no shared service accounts with broad access.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Compliance and forensics: Regulatory frameworks (GDPR, HIPAA, SOX) require user-level access logs, not service-account logs.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G.6 What Identity Propagation Does Not Provide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Authentication: Identity propagation assumes the user is already authenticated; it does not replace IdP or token issuance.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Automatic policy enforcement: Propagating identity makes policy enforcement possible, but each tier must still implement authorization logic.</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G.7 ZT-Native vs Legacy Propagation</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ZT-native: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Identity is validated at every hop (UI, API, service, database).</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Token exchange or context propagation occurs between tiers.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Row-level security and field masking are enforced at the database based on user identity.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Audit logs are user-centric and provide end-to-end traceability.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Legacy:</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Identity is consumed at the broker or UI layer and terminated.</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Backend services and databases use shared service accounts.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Audit logs are generic: "app_service_account accessed table customers."</w:t>
            </w:r>
          </w:p>
        </w:tc>
      </w:tr>
      <w:tr>
        <w:tc>
          <w:tcPr>
            <w:tcW w:type="dxa" w:w="4464"/>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No per-user least privilege at the data layer.</w:t>
            </w:r>
          </w:p>
        </w:tc>
      </w:tr>
      <w:tr>
        <w:tc>
          <w:tcPr>
            <w:tcW w:type="dxa" w:w="4464"/>
            <w:tcBorders>
              <w:top w:val="none" w:sz="0"/>
              <w:left w:val="none" w:sz="0"/>
              <w:bottom w:val="single" w:color="000000" w:sz="12"/>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Result: Identity propagation transforms "trust the network" into "trust the identity at every layer."</w:t>
            </w:r>
          </w:p>
        </w:tc>
      </w:tr>
    </w:tbl>
    <w:p>
      <w:r>
        <w:br w:type="page"/>
      </w:r>
    </w:p>
    <w:p>
      <w:pPr>
        <w:pStyle w:val="Heading1"/>
      </w:pPr>
      <w:r>
        <w:rPr>
          <w:rFonts w:ascii="Times New Roman" w:cs="Times New Roman" w:eastAsia="Times New Roman" w:hAnsi="Times New Roman"/>
          <w:b/>
          <w:bCs/>
          <w:caps/>
          <w:sz w:val="26"/>
          <w:szCs w:val="26"/>
        </w:rPr>
        <w:t xml:space="preserve">APPENDIX O — ZTNA BROKERAGE MODELS AND END-TO-END ARCHITECTURES</w:t>
      </w:r>
    </w:p>
    <w:p>
      <w:pPr>
        <w:spacing w:after="120" w:line="276" w:lineRule="exact"/>
        <w:jc w:val="both"/>
      </w:pPr>
      <w:r>
        <w:rPr>
          <w:rFonts w:ascii="Times New Roman" w:cs="Times New Roman" w:eastAsia="Times New Roman" w:hAnsi="Times New Roman"/>
          <w:sz w:val="22"/>
          <w:szCs w:val="22"/>
        </w:rPr>
        <w:t xml:space="preserve">ZTNA brokerage is one enforcement pattern within a broader Zero Trust architecture. This appendix contrasts brokerage-centric models (common in legacy modernization) with ZT-native, identity-everywhere models.</w:t>
      </w:r>
    </w:p>
    <w:p>
      <w:pPr>
        <w:pStyle w:val="Heading2"/>
      </w:pPr>
      <w:r>
        <w:rPr>
          <w:rFonts w:ascii="Times New Roman" w:cs="Times New Roman" w:eastAsia="Times New Roman" w:hAnsi="Times New Roman"/>
          <w:b/>
          <w:bCs/>
          <w:sz w:val="22"/>
          <w:szCs w:val="22"/>
        </w:rPr>
        <w:t xml:space="preserve">O.1 What Is ZTNA Brokerage?</w:t>
      </w:r>
    </w:p>
    <w:p>
      <w:pPr>
        <w:spacing w:after="120" w:line="276" w:lineRule="exact"/>
        <w:jc w:val="both"/>
      </w:pPr>
      <w:r>
        <w:rPr>
          <w:rFonts w:ascii="Times New Roman" w:cs="Times New Roman" w:eastAsia="Times New Roman" w:hAnsi="Times New Roman"/>
          <w:sz w:val="22"/>
          <w:szCs w:val="22"/>
        </w:rPr>
        <w:t xml:space="preserve">ZTNA brokerage is a design pattern in which a centralized gateway (the broker) mediates all access between users and applications: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Users authenticate to the broker via an IdP.</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broker evaluates access policy (user, device, location, risk).</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If allowed, the broker establishes a tunnel or proxy connection to the backend application.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Application traffic flows through the broker; the application itself may remain legacy (no OIDC, no JWT awareness).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Brokerage provides strong perimeter control but does not inherently create identity-native, multi-tier enforcement.</w:t>
      </w:r>
    </w:p>
    <w:p>
      <w:pPr>
        <w:pStyle w:val="Heading2"/>
      </w:pPr>
      <w:r>
        <w:rPr>
          <w:rFonts w:ascii="Times New Roman" w:cs="Times New Roman" w:eastAsia="Times New Roman" w:hAnsi="Times New Roman"/>
          <w:b/>
          <w:bCs/>
          <w:sz w:val="22"/>
          <w:szCs w:val="22"/>
        </w:rPr>
        <w:t xml:space="preserve">O.2 Brokered Legacy Architecture Flow</w:t>
      </w:r>
    </w:p>
    <w:p>
      <w:pPr>
        <w:shd w:fill="F5F5F5" w:val="clear"/>
        <w:spacing w:after="0" w:line="200" w:lineRule="exact"/>
        <w:ind w:left="360"/>
      </w:pPr>
      <w:r>
        <w:rPr>
          <w:rFonts w:ascii="Consolas" w:cs="Consolas" w:eastAsia="Consolas" w:hAnsi="Consolas"/>
          <w:sz w:val="17"/>
          <w:szCs w:val="17"/>
        </w:rPr>
        <w:t xml:space="preserve">[User]</w:t>
      </w:r>
    </w:p>
    <w:p>
      <w:pPr>
        <w:shd w:fill="F5F5F5" w:val="clear"/>
        <w:spacing w:after="0" w:line="200" w:lineRule="exact"/>
        <w:ind w:left="360"/>
      </w:pPr>
      <w:r>
        <w:rPr>
          <w:rFonts w:ascii="Consolas" w:cs="Consolas" w:eastAsia="Consolas" w:hAnsi="Consolas"/>
          <w:sz w:val="17"/>
          <w:szCs w:val="17"/>
        </w:rPr>
        <w:t xml:space="preserve">| (browser or lightweight agent)</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[Broker]</w:t>
      </w:r>
    </w:p>
    <w:p>
      <w:pPr>
        <w:shd w:fill="F5F5F5" w:val="clear"/>
        <w:spacing w:after="0" w:line="200" w:lineRule="exact"/>
        <w:ind w:left="360"/>
      </w:pPr>
      <w:r>
        <w:rPr>
          <w:rFonts w:ascii="Consolas" w:cs="Consolas" w:eastAsia="Consolas" w:hAnsi="Consolas"/>
          <w:sz w:val="17"/>
          <w:szCs w:val="17"/>
        </w:rPr>
        <w:t xml:space="preserve">| (authenticate via IdP, enforce device/geo/time policy)</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[AccessDecision]</w:t>
      </w:r>
    </w:p>
    <w:p>
      <w:pPr>
        <w:shd w:fill="F5F5F5" w:val="clear"/>
        <w:spacing w:after="0" w:line="200" w:lineRule="exact"/>
        <w:ind w:left="360"/>
      </w:pPr>
      <w:r>
        <w:rPr>
          <w:rFonts w:ascii="Consolas" w:cs="Consolas" w:eastAsia="Consolas" w:hAnsi="Consolas"/>
          <w:sz w:val="17"/>
          <w:szCs w:val="17"/>
        </w:rPr>
        <w:t xml:space="preserve">&gt; |--(deny)-→ [RejectUser]</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&gt; |--(allow)-→ [EstablishTunnelToApp]</w:t>
      </w:r>
    </w:p>
    <w:p>
      <w:pPr>
        <w:shd w:fill="F5F5F5" w:val="clear"/>
        <w:spacing w:after="0" w:line="200" w:lineRule="exact"/>
        <w:ind w:left="360"/>
      </w:pPr>
      <w:r>
        <w:rPr>
          <w:rFonts w:ascii="Consolas" w:cs="Consolas" w:eastAsia="Consolas" w:hAnsi="Consolas"/>
          <w:sz w:val="17"/>
          <w:szCs w:val="17"/>
        </w:rPr>
        <w:t xml:space="preserve">|</w:t>
      </w:r>
    </w:p>
    <w:p>
      <w:pPr>
        <w:shd w:fill="F5F5F5" w:val="clear"/>
        <w:spacing w:after="0" w:line="200" w:lineRule="exact"/>
        <w:ind w:left="360"/>
      </w:pPr>
      <w:r>
        <w:rPr>
          <w:rFonts w:ascii="Consolas" w:cs="Consolas" w:eastAsia="Consolas" w:hAnsi="Consolas"/>
          <w:sz w:val="17"/>
          <w:szCs w:val="17"/>
        </w:rPr>
        <w:t xml:space="preserve">| (generic TCP/HTTP proxy, possibly mTLS to app)</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[App]</w:t>
      </w:r>
    </w:p>
    <w:p>
      <w:pPr>
        <w:shd w:fill="F5F5F5" w:val="clear"/>
        <w:spacing w:after="0" w:line="200" w:lineRule="exact"/>
        <w:ind w:left="360"/>
      </w:pPr>
      <w:r>
        <w:rPr>
          <w:rFonts w:ascii="Consolas" w:cs="Consolas" w:eastAsia="Consolas" w:hAnsi="Consolas"/>
          <w:sz w:val="17"/>
          <w:szCs w:val="17"/>
        </w:rPr>
        <w:t xml:space="preserve">| (app sees traffic from broker, not user identity)</w:t>
      </w:r>
    </w:p>
    <w:p>
      <w:pPr>
        <w:shd w:fill="F5F5F5" w:val="clear"/>
        <w:spacing w:after="0" w:line="200" w:lineRule="exact"/>
        <w:ind w:left="360"/>
      </w:pPr>
      <w:r>
        <w:rPr>
          <w:rFonts w:ascii="Consolas" w:cs="Consolas" w:eastAsia="Consolas" w:hAnsi="Consolas"/>
          <w:sz w:val="17"/>
          <w:szCs w:val="17"/>
        </w:rPr>
        <w:t xml:space="preserve">| (backend uses shared service account for DB)</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[Database]</w:t>
      </w:r>
    </w:p>
    <w:p>
      <w:pPr>
        <w:spacing w:after="120" w:line="276" w:lineRule="exact"/>
        <w:jc w:val="both"/>
      </w:pPr>
      <w:r>
        <w:rPr>
          <w:rFonts w:ascii="Times New Roman" w:cs="Times New Roman" w:eastAsia="Times New Roman" w:hAnsi="Times New Roman"/>
          <w:b/>
          <w:bCs/>
          <w:sz w:val="22"/>
          <w:szCs w:val="22"/>
        </w:rPr>
        <w:t xml:space="preserve">Properties of brokered legacy model: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Identity stops at the broker: Backend tiers see only the broker's IP or a generic credential.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Coarse-grained policy: Broker decides "user X can access app Y" but does not evaluate API-level intent or data-level permissions.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Implicit trust downstream: Once traffic passes the broker, backend systems trust it without re-validating user identity.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Single enforcement choke point: The broker becomes a bottleneck and a high-value target.</w:t>
      </w:r>
    </w:p>
    <w:p>
      <w:pPr>
        <w:pStyle w:val="Heading2"/>
      </w:pPr>
      <w:r>
        <w:rPr>
          <w:rFonts w:ascii="Times New Roman" w:cs="Times New Roman" w:eastAsia="Times New Roman" w:hAnsi="Times New Roman"/>
          <w:b/>
          <w:bCs/>
          <w:sz w:val="22"/>
          <w:szCs w:val="22"/>
        </w:rPr>
        <w:t xml:space="preserve">O.3 ZT-Native End-to-End Architecture Flow</w:t>
      </w:r>
    </w:p>
    <w:p>
      <w:pPr>
        <w:shd w:fill="F5F5F5" w:val="clear"/>
        <w:spacing w:after="0" w:line="200" w:lineRule="exact"/>
        <w:ind w:left="360"/>
      </w:pPr>
      <w:r>
        <w:rPr>
          <w:rFonts w:ascii="Consolas" w:cs="Consolas" w:eastAsia="Consolas" w:hAnsi="Consolas"/>
          <w:sz w:val="17"/>
          <w:szCs w:val="17"/>
        </w:rPr>
        <w:t xml:space="preserve">[User]</w:t>
      </w:r>
    </w:p>
    <w:p>
      <w:pPr>
        <w:shd w:fill="F5F5F5" w:val="clear"/>
        <w:spacing w:after="0" w:line="200" w:lineRule="exact"/>
        <w:ind w:left="360"/>
      </w:pPr>
      <w:r>
        <w:rPr>
          <w:rFonts w:ascii="Consolas" w:cs="Consolas" w:eastAsia="Consolas" w:hAnsi="Consolas"/>
          <w:sz w:val="17"/>
          <w:szCs w:val="17"/>
        </w:rPr>
        <w:t xml:space="preserve">| (authenticate to IdP, receive JWT with user, device, risk claims)</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[Broker (optional)]</w:t>
      </w:r>
    </w:p>
    <w:p>
      <w:pPr>
        <w:shd w:fill="F5F5F5" w:val="clear"/>
        <w:spacing w:after="0" w:line="200" w:lineRule="exact"/>
        <w:ind w:left="360"/>
      </w:pPr>
      <w:r>
        <w:rPr>
          <w:rFonts w:ascii="Consolas" w:cs="Consolas" w:eastAsia="Consolas" w:hAnsi="Consolas"/>
          <w:sz w:val="17"/>
          <w:szCs w:val="17"/>
        </w:rPr>
        <w:t xml:space="preserve">| (validate JWT, apply ingress policy, forward identity-bearing request)</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[UI Service]</w:t>
      </w:r>
    </w:p>
    <w:p>
      <w:pPr>
        <w:shd w:fill="F5F5F5" w:val="clear"/>
        <w:spacing w:after="0" w:line="200" w:lineRule="exact"/>
        <w:ind w:left="360"/>
      </w:pPr>
      <w:r>
        <w:rPr>
          <w:rFonts w:ascii="Consolas" w:cs="Consolas" w:eastAsia="Consolas" w:hAnsi="Consolas"/>
          <w:sz w:val="17"/>
          <w:szCs w:val="17"/>
        </w:rPr>
        <w:t xml:space="preserve">| (validate JWT, enforce UI-tier authz policy, prepare API call)</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[API Service]</w:t>
      </w:r>
    </w:p>
    <w:p>
      <w:pPr>
        <w:shd w:fill="F5F5F5" w:val="clear"/>
        <w:spacing w:after="0" w:line="200" w:lineRule="exact"/>
        <w:ind w:left="360"/>
      </w:pPr>
      <w:r>
        <w:rPr>
          <w:rFonts w:ascii="Consolas" w:cs="Consolas" w:eastAsia="Consolas" w:hAnsi="Consolas"/>
          <w:sz w:val="17"/>
          <w:szCs w:val="17"/>
        </w:rPr>
        <w:t xml:space="preserve">| (validate JWT or exchanged token, enforce API-tier authz policy)</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[Middleware Service]</w:t>
      </w:r>
    </w:p>
    <w:p>
      <w:pPr>
        <w:shd w:fill="F5F5F5" w:val="clear"/>
        <w:spacing w:after="0" w:line="200" w:lineRule="exact"/>
        <w:ind w:left="360"/>
      </w:pPr>
      <w:r>
        <w:rPr>
          <w:rFonts w:ascii="Consolas" w:cs="Consolas" w:eastAsia="Consolas" w:hAnsi="Consolas"/>
          <w:sz w:val="17"/>
          <w:szCs w:val="17"/>
        </w:rPr>
        <w:t xml:space="preserve">| (validate token, enforce service-tier authz policy)</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[Database Proxy or Direct Connection]</w:t>
      </w:r>
    </w:p>
    <w:p>
      <w:pPr>
        <w:shd w:fill="F5F5F5" w:val="clear"/>
        <w:spacing w:after="0" w:line="200" w:lineRule="exact"/>
        <w:ind w:left="360"/>
      </w:pPr>
      <w:r>
        <w:rPr>
          <w:rFonts w:ascii="Consolas" w:cs="Consolas" w:eastAsia="Consolas" w:hAnsi="Consolas"/>
          <w:sz w:val="17"/>
          <w:szCs w:val="17"/>
        </w:rPr>
        <w:t xml:space="preserve">| (propagate user identity, enforce row-level security)</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[Database]</w:t>
      </w:r>
    </w:p>
    <w:p>
      <w:pPr>
        <w:spacing w:after="120" w:line="276" w:lineRule="exact"/>
        <w:jc w:val="both"/>
      </w:pPr>
      <w:r>
        <w:rPr>
          <w:rFonts w:ascii="Times New Roman" w:cs="Times New Roman" w:eastAsia="Times New Roman" w:hAnsi="Times New Roman"/>
          <w:b/>
          <w:bCs/>
          <w:sz w:val="22"/>
          <w:szCs w:val="22"/>
        </w:rPr>
        <w:t xml:space="preserve">Properties of ZT-native model: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Identity is validated at every hop: UI, API, middleware, and database all independently verify user identity and context.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Distributed enforcement: Authorization policy is enforced locally at each service, not centrally at a single choke point.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Workload identity for east--west calls: Services authenticate to each other using mTLS with scoped workload identities (SPIFFE, service principals).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Per-request, intent-aware policy: Each tier evaluates not just "who" but "what operation on what resource."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Continuous audit and risk evaluation: Every tier logs user + action + resource; changes in user risk or device posture can trigger reauthentication or step-up.</w:t>
      </w:r>
    </w:p>
    <w:p>
      <w:pPr>
        <w:pStyle w:val="Heading2"/>
      </w:pPr>
      <w:r>
        <w:rPr>
          <w:rFonts w:ascii="Times New Roman" w:cs="Times New Roman" w:eastAsia="Times New Roman" w:hAnsi="Times New Roman"/>
          <w:b/>
          <w:bCs/>
          <w:sz w:val="22"/>
          <w:szCs w:val="22"/>
        </w:rPr>
        <w:t xml:space="preserve">O.4 Hybrid Model: Broker + Identity Propagation</w:t>
      </w:r>
    </w:p>
    <w:p>
      <w:pPr>
        <w:spacing w:after="120" w:line="276" w:lineRule="exact"/>
        <w:jc w:val="both"/>
      </w:pPr>
      <w:r>
        <w:rPr>
          <w:rFonts w:ascii="Times New Roman" w:cs="Times New Roman" w:eastAsia="Times New Roman" w:hAnsi="Times New Roman"/>
          <w:b/>
          <w:bCs/>
          <w:sz w:val="22"/>
          <w:szCs w:val="22"/>
        </w:rPr>
        <w:t xml:space="preserve">A pragmatic approach for transitioning from legacy to ZT-native:</w:t>
      </w:r>
    </w:p>
    <w:p>
      <w:pPr>
        <w:shd w:fill="F5F5F5" w:val="clear"/>
        <w:spacing w:after="0" w:line="200" w:lineRule="exact"/>
        <w:ind w:left="360"/>
      </w:pPr>
      <w:r>
        <w:rPr>
          <w:rFonts w:ascii="Consolas" w:cs="Consolas" w:eastAsia="Consolas" w:hAnsi="Consolas"/>
          <w:sz w:val="17"/>
          <w:szCs w:val="17"/>
        </w:rPr>
        <w:t xml:space="preserve">[User]</w:t>
      </w:r>
    </w:p>
    <w:p>
      <w:pPr>
        <w:shd w:fill="F5F5F5" w:val="clear"/>
        <w:spacing w:after="0" w:line="200" w:lineRule="exact"/>
        <w:ind w:left="360"/>
      </w:pPr>
      <w:r>
        <w:rPr>
          <w:rFonts w:ascii="Consolas" w:cs="Consolas" w:eastAsia="Consolas" w:hAnsi="Consolas"/>
          <w:sz w:val="17"/>
          <w:szCs w:val="17"/>
        </w:rPr>
        <w:t xml:space="preserve">| (authenticate to IdP)</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[Broker]</w:t>
      </w:r>
    </w:p>
    <w:p>
      <w:pPr>
        <w:shd w:fill="F5F5F5" w:val="clear"/>
        <w:spacing w:after="0" w:line="200" w:lineRule="exact"/>
        <w:ind w:left="360"/>
      </w:pPr>
      <w:r>
        <w:rPr>
          <w:rFonts w:ascii="Consolas" w:cs="Consolas" w:eastAsia="Consolas" w:hAnsi="Consolas"/>
          <w:sz w:val="17"/>
          <w:szCs w:val="17"/>
        </w:rPr>
        <w:t xml:space="preserve">| (validate JWT, apply ingress policy, inject headers or forward JWT)</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[UI Service]</w:t>
      </w:r>
    </w:p>
    <w:p>
      <w:pPr>
        <w:shd w:fill="F5F5F5" w:val="clear"/>
        <w:spacing w:after="0" w:line="200" w:lineRule="exact"/>
        <w:ind w:left="360"/>
      </w:pPr>
      <w:r>
        <w:rPr>
          <w:rFonts w:ascii="Consolas" w:cs="Consolas" w:eastAsia="Consolas" w:hAnsi="Consolas"/>
          <w:sz w:val="17"/>
          <w:szCs w:val="17"/>
        </w:rPr>
        <w:t xml:space="preserve">| (consume JWT from header, validate, enforce local authz)</w:t>
      </w:r>
    </w:p>
    <w:p>
      <w:pPr>
        <w:shd w:fill="F5F5F5" w:val="clear"/>
        <w:spacing w:after="0" w:line="200" w:lineRule="exact"/>
        <w:ind w:left="360"/>
      </w:pPr>
      <w:r>
        <w:rPr>
          <w:rFonts w:ascii="Consolas" w:cs="Consolas" w:eastAsia="Consolas" w:hAnsi="Consolas"/>
          <w:sz w:val="17"/>
          <w:szCs w:val="17"/>
        </w:rPr>
        <w:t xml:space="preserve">v</w:t>
      </w:r>
    </w:p>
    <w:p>
      <w:pPr>
        <w:spacing w:after="120" w:line="276" w:lineRule="exact"/>
        <w:jc w:val="both"/>
      </w:pPr>
      <w:r>
        <w:rPr>
          <w:rFonts w:ascii="Times New Roman" w:cs="Times New Roman" w:eastAsia="Times New Roman" w:hAnsi="Times New Roman"/>
          <w:sz w:val="22"/>
          <w:szCs w:val="22"/>
        </w:rPr>
        <w:t xml:space="preserve">[API Service]</w:t>
      </w:r>
    </w:p>
    <w:p>
      <w:pPr>
        <w:shd w:fill="F5F5F5" w:val="clear"/>
        <w:spacing w:after="0" w:line="200" w:lineRule="exact"/>
        <w:ind w:left="360"/>
      </w:pPr>
      <w:r>
        <w:rPr>
          <w:rFonts w:ascii="Consolas" w:cs="Consolas" w:eastAsia="Consolas" w:hAnsi="Consolas"/>
          <w:sz w:val="17"/>
          <w:szCs w:val="17"/>
        </w:rPr>
        <w:t xml:space="preserve">| (validate JWT, exchange for API-scoped token, call downstream)</w:t>
      </w:r>
    </w:p>
    <w:p>
      <w:pPr>
        <w:shd w:fill="F5F5F5" w:val="clear"/>
        <w:spacing w:after="0" w:line="200" w:lineRule="exact"/>
        <w:ind w:left="360"/>
      </w:pPr>
      <w:r>
        <w:rPr>
          <w:rFonts w:ascii="Consolas" w:cs="Consolas" w:eastAsia="Consolas" w:hAnsi="Consolas"/>
          <w:sz w:val="17"/>
          <w:szCs w:val="17"/>
        </w:rPr>
        <w:t xml:space="preserve">v</w:t>
      </w:r>
    </w:p>
    <w:p>
      <w:pPr>
        <w:shd w:fill="F5F5F5" w:val="clear"/>
        <w:spacing w:after="0" w:line="200" w:lineRule="exact"/>
        <w:ind w:left="360"/>
      </w:pPr>
      <w:r>
        <w:rPr>
          <w:rFonts w:ascii="Consolas" w:cs="Consolas" w:eastAsia="Consolas" w:hAnsi="Consolas"/>
          <w:sz w:val="17"/>
          <w:szCs w:val="17"/>
        </w:rPr>
        <w:t xml:space="preserve">[Database]</w:t>
      </w:r>
    </w:p>
    <w:p>
      <w:pPr>
        <w:shd w:fill="F5F5F5" w:val="clear"/>
        <w:spacing w:after="0" w:line="200" w:lineRule="exact"/>
        <w:ind w:left="360"/>
      </w:pPr>
      <w:r>
        <w:rPr>
          <w:rFonts w:ascii="Consolas" w:cs="Consolas" w:eastAsia="Consolas" w:hAnsi="Consolas"/>
          <w:sz w:val="17"/>
          <w:szCs w:val="17"/>
        </w:rPr>
        <w:t xml:space="preserve">| (row-level security using user identity from connection properties)</w:t>
      </w:r>
    </w:p>
    <w:p>
      <w:pPr>
        <w:spacing w:after="120" w:line="276" w:lineRule="exact"/>
        <w:jc w:val="both"/>
      </w:pPr>
      <w:r>
        <w:rPr>
          <w:rFonts w:ascii="Times New Roman" w:cs="Times New Roman" w:eastAsia="Times New Roman" w:hAnsi="Times New Roman"/>
          <w:sz w:val="22"/>
          <w:szCs w:val="22"/>
        </w:rPr>
        <w:t xml:space="preserve">This model retains the broker for perimeter defense and legacy app support while progressively adding identity propagation and per-tier authorization.</w:t>
      </w:r>
    </w:p>
    <w:p>
      <w:pPr>
        <w:pStyle w:val="Heading2"/>
      </w:pPr>
      <w:r>
        <w:rPr>
          <w:rFonts w:ascii="Times New Roman" w:cs="Times New Roman" w:eastAsia="Times New Roman" w:hAnsi="Times New Roman"/>
          <w:b/>
          <w:bCs/>
          <w:sz w:val="22"/>
          <w:szCs w:val="22"/>
        </w:rPr>
        <w:t xml:space="preserve">O.5 Comparative Analysis</w:t>
      </w:r>
    </w:p>
    <w:p>
      <w:pPr>
        <w:spacing w:after="80" w:before="120"/>
        <w:jc w:val="center"/>
      </w:pPr>
      <w:r>
        <w:rPr>
          <w:rFonts w:ascii="Times New Roman" w:cs="Times New Roman" w:eastAsia="Times New Roman" w:hAnsi="Times New Roman"/>
          <w:i/>
          <w:iCs/>
          <w:sz w:val="20"/>
          <w:szCs w:val="20"/>
        </w:rPr>
        <w:t xml:space="preserve">Table 4: Brokered vs ZT-native architecture comparison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976"/>
        <w:gridCol w:w="2976"/>
        <w:gridCol w:w="2976"/>
      </w:tblGrid>
      <w:tr>
        <w:tc>
          <w:tcPr>
            <w:tcW w:type="dxa" w:w="2976"/>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Aspect</w:t>
            </w:r>
          </w:p>
        </w:tc>
        <w:tc>
          <w:tcPr>
            <w:tcW w:type="dxa" w:w="2976"/>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Brokered Legacy</w:t>
            </w:r>
          </w:p>
        </w:tc>
        <w:tc>
          <w:tcPr>
            <w:tcW w:type="dxa" w:w="2976"/>
            <w:tcBorders>
              <w:top w:val="single" w:color="000000" w:sz="12"/>
              <w:left w:val="none" w:sz="0"/>
              <w:bottom w:val="single" w:color="000000" w:sz="6"/>
              <w:right w:val="none" w:sz="0"/>
            </w:tcBorders>
            <w:tcMar>
              <w:top w:type="dxa" w:w="40"/>
              <w:left w:type="dxa" w:w="80"/>
              <w:bottom w:type="dxa" w:w="40"/>
              <w:right w:type="dxa" w:w="80"/>
            </w:tcMar>
          </w:tcPr>
          <w:p>
            <w:r>
              <w:rPr>
                <w:rFonts w:ascii="Times New Roman" w:cs="Times New Roman" w:eastAsia="Times New Roman" w:hAnsi="Times New Roman"/>
                <w:b/>
                <w:bCs/>
                <w:sz w:val="19"/>
                <w:szCs w:val="19"/>
              </w:rPr>
              <w:t xml:space="preserve">ZT-Native End-to-End</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Identity propagation</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Stops at broker</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Validated at every tier</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Authorization granularity</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Coarse (app-level)</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Fine (API, row-level)</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Workload identity</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Minimal or none</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mTLS for all east--west</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Policy enforcement</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Centralized at broker</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Distributed at each service</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Audit traceability</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Service account logs</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User + device + action per tier</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Blast radius of compromise   High (broker = full access)   Low (per-service, per-token)</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Continuous evaluation</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Rare (session-based)</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Per-request</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Legacy app compatibility</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High</w:t>
            </w:r>
          </w:p>
        </w:tc>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Requires modernization</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H.6 Brokerage as a Step, Not a Destination</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ZTNA brokers are valuable for:</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Rapidly improving security posture by hiding legacy apps behind strong authentication and centralized policy.</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Providing a consistent user experience across diverse backend systems.</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Enabling remote access without VPNs and their associated attack surface.</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However, brokerage alone is not Zero Trust:</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It does not eliminate implicit trust between backend tiers.</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It does not provide workload identity or service-to-service least privilege.</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It does not enable per-request, context-aware authorization deep in the stack.</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True Zero Trust requires identity propagation, distributed authorization, continuous validation, and workload-level identity — capabilities that extend far beyond the broker.</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H.7 Migration Path</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Phase 1: Deploy broker for perimeter defense and strong ingress authentication.</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Phase 2: Add identity propagation by injecting JWTs or user context headers into backend calls.</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Phase 3: Implement per-tier authorization by having services validate tokens and enforce local policies.</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Phase 4: Introduce workload identity (mTLS, SPIFFE) for east--west service-to-service calls.</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Phase 5: Enable database-level identity propagation with row-level security and user-scoped credentials.</w:t>
            </w:r>
          </w:p>
        </w:tc>
      </w:tr>
      <w:tr>
        <w:tc>
          <w:tcPr>
            <w:tcW w:type="dxa" w:w="2976"/>
            <w:tcBorders>
              <w:top w:val="none" w:sz="0"/>
              <w:left w:val="none" w:sz="0"/>
              <w:bottom w:val="none" w:sz="0"/>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Phase 6: Continuous evaluation and policy-as-code with centralized policy engines (OPA, Cedar) and real-time risk scoring.</w:t>
            </w:r>
          </w:p>
        </w:tc>
      </w:tr>
      <w:tr>
        <w:tc>
          <w:tcPr>
            <w:tcW w:type="dxa" w:w="2976"/>
            <w:tcBorders>
              <w:top w:val="none" w:sz="0"/>
              <w:left w:val="none" w:sz="0"/>
              <w:bottom w:val="single" w:color="000000" w:sz="12"/>
              <w:right w:val="none" w:sz="0"/>
            </w:tcBorders>
            <w:tcMar>
              <w:top w:type="dxa" w:w="40"/>
              <w:left w:type="dxa" w:w="80"/>
              <w:bottom w:type="dxa" w:w="40"/>
              <w:right w:type="dxa" w:w="80"/>
            </w:tcMar>
          </w:tcPr>
          <w:p>
            <w:r>
              <w:rPr>
                <w:rFonts w:ascii="Times New Roman" w:cs="Times New Roman" w:eastAsia="Times New Roman" w:hAnsi="Times New Roman"/>
                <w:sz w:val="19"/>
                <w:szCs w:val="19"/>
              </w:rPr>
              <w:t xml:space="preserve">Result: A phased evolution from broker-centric perimeter security to distributed, identity-native Zero Trust.</w:t>
            </w:r>
          </w:p>
        </w:tc>
      </w:tr>
    </w:tbl>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Governed Connectivity and Identity-Driven Zero Trust</w:t>
    </w:r>
    <w:r>
      <w:t xml:space="preserve">	</w:t>
    </w:r>
    <w:r>
      <w:t xml:space="preserve">	</w:t>
    </w: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2026-03-26T15:42:44.002Z</dcterms:created>
  <dcterms:modified xsi:type="dcterms:W3CDTF">2026-03-26T15:42:44.018Z</dcterms:modified>
</cp:coreProperties>
</file>

<file path=docProps/custom.xml><?xml version="1.0" encoding="utf-8"?>
<Properties xmlns="http://schemas.openxmlformats.org/officeDocument/2006/custom-properties" xmlns:vt="http://schemas.openxmlformats.org/officeDocument/2006/docPropsVTypes"/>
</file>