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Zero Trust Network Access Control Architecture v3</w:t>
      </w:r>
    </w:p>
    <w:p>
      <w:pPr>
        <w:spacing w:after="120"/>
        <w:jc w:val="center"/>
      </w:pPr>
      <w:r>
        <w:rPr>
          <w:rFonts w:ascii="Times New Roman" w:cs="Times New Roman" w:eastAsia="Times New Roman" w:hAnsi="Times New Roman"/>
          <w:sz w:val="26"/>
          <w:szCs w:val="26"/>
        </w:rPr>
        <w:t xml:space="preserve">Executive Summary</w:t>
      </w:r>
    </w:p>
    <w:p>
      <w:pPr>
        <w:spacing w:after="60"/>
        <w:jc w:val="center"/>
      </w:pPr>
      <w:r>
        <w:rPr>
          <w:rFonts w:ascii="Times New Roman" w:cs="Times New Roman" w:eastAsia="Times New Roman" w:hAnsi="Times New Roman"/>
          <w:sz w:val="22"/>
          <w:szCs w:val="22"/>
        </w:rPr>
        <w:t xml:space="preserve">Michael J. Martin</w:t>
      </w:r>
    </w:p>
    <w:p>
      <w:pPr>
        <w:spacing w:after="60"/>
        <w:jc w:val="center"/>
      </w:pPr>
      <w:r>
        <w:rPr>
          <w:rFonts w:ascii="Times New Roman" w:cs="Times New Roman" w:eastAsia="Times New Roman" w:hAnsi="Times New Roman"/>
          <w:sz w:val="20"/>
          <w:szCs w:val="20"/>
        </w:rPr>
        <w:t xml:space="preserve">Lead Director, Information Security</w:t>
      </w:r>
    </w:p>
    <w:p>
      <w:pPr>
        <w:spacing w:after="60"/>
        <w:jc w:val="center"/>
      </w:pPr>
      <w:r>
        <w:rPr>
          <w:rFonts w:ascii="Times New Roman" w:cs="Times New Roman" w:eastAsia="Times New Roman" w:hAnsi="Times New Roman"/>
          <w:sz w:val="20"/>
          <w:szCs w:val="20"/>
        </w:rPr>
        <w:t xml:space="preserve">March 25, 2026</w:t>
      </w:r>
    </w:p>
    <w:p>
      <w:pPr>
        <w:spacing w:after="60"/>
        <w:jc w:val="center"/>
      </w:pPr>
      <w:r>
        <w:rPr>
          <w:rFonts w:ascii="Times New Roman" w:cs="Times New Roman" w:eastAsia="Times New Roman" w:hAnsi="Times New Roman"/>
          <w:b/>
          <w:bCs/>
          <w:sz w:val="20"/>
          <w:szCs w:val="20"/>
        </w:rPr>
        <w:t xml:space="preserve">Classification: Confidential</w:t>
      </w:r>
    </w:p>
    <w:p>
      <w:r>
        <w:br w:type="page"/>
      </w:r>
    </w:p>
    <w:p>
      <w:pPr>
        <w:pStyle w:val="Heading1"/>
      </w:pPr>
      <w:r>
        <w:rPr>
          <w:rFonts w:ascii="Times New Roman" w:cs="Times New Roman" w:eastAsia="Times New Roman" w:hAnsi="Times New Roman"/>
          <w:b/>
          <w:bCs/>
          <w:caps w:val="false"/>
          <w:sz w:val="26"/>
          <w:szCs w:val="26"/>
        </w:rPr>
        <w:t xml:space="preserve">1. PROGRAM OVERVIEW</w:t>
      </w:r>
    </w:p>
    <w:p>
      <w:pPr>
        <w:spacing w:after="120" w:line="276" w:lineRule="exact"/>
        <w:jc w:val="both"/>
      </w:pPr>
      <w:r>
        <w:rPr>
          <w:rFonts w:ascii="Times New Roman" w:cs="Times New Roman" w:eastAsia="Times New Roman" w:hAnsi="Times New Roman"/>
          <w:sz w:val="22"/>
          <w:szCs w:val="22"/>
        </w:rPr>
        <w:t xml:space="preserve">The Zero Trust Network Access Control (ZTNA-NAC) Architecture v3 fundamentally replaces the traditional model of implicit, location-based network trust with a continuous, identity- and posture-driven authorization framework enforced at the network edge. Under this architecture, no device is granted access based solely on its physical connection point. Instead, every network session is individually authorized, continuously monitored, and subject to immediate revocation if the device's security posture degrades.</w:t>
      </w:r>
    </w:p>
    <w:p>
      <w:pPr>
        <w:spacing w:after="120" w:line="276" w:lineRule="exact"/>
        <w:jc w:val="both"/>
      </w:pPr>
      <w:r>
        <w:rPr>
          <w:rFonts w:ascii="Times New Roman" w:cs="Times New Roman" w:eastAsia="Times New Roman" w:hAnsi="Times New Roman"/>
          <w:sz w:val="22"/>
          <w:szCs w:val="22"/>
        </w:rPr>
        <w:t xml:space="preserve">The program addresses a critical architectural constraint: the existing wireless LAN platform cannot natively enforce admission or post-admission network access control policy. The ZTNA-NAC design resolves this by shifting enforcement to the access switch—the first controllable network hop—using RADIUS MAC Authentication Bypass (MAB) as the authorization control plane. This approach preserves the existing VLAN structure, IP addressing, and network topology, eliminating the need for disruptive infrastructure redesign.</w:t>
      </w:r>
    </w:p>
    <w:p>
      <w:pPr>
        <w:spacing w:after="120" w:line="276" w:lineRule="exact"/>
        <w:jc w:val="both"/>
      </w:pPr>
      <w:r>
        <w:rPr>
          <w:rFonts w:ascii="Times New Roman" w:cs="Times New Roman" w:eastAsia="Times New Roman" w:hAnsi="Times New Roman"/>
          <w:sz w:val="22"/>
          <w:szCs w:val="22"/>
        </w:rPr>
        <w:t xml:space="preserve">Forescout serves as the central RADIUS policy engine, integrating with Microsoft Intune and Jamf Pro for device management authority, CrowdStrike Falcon for endpoint detection and response, Qualys and Tanium for vulnerability and compliance assessment, and Zscaler Internet Access for universal internet brokerage. The program targets an initial rollout across 30 core corporate and back-office locations, with subsequent expansion to specialty environments including distribution centers and laboratories.</w:t>
      </w:r>
    </w:p>
    <w:p>
      <w:pPr>
        <w:pStyle w:val="Heading1"/>
      </w:pPr>
      <w:r>
        <w:rPr>
          <w:rFonts w:ascii="Times New Roman" w:cs="Times New Roman" w:eastAsia="Times New Roman" w:hAnsi="Times New Roman"/>
          <w:b/>
          <w:bCs/>
          <w:caps w:val="false"/>
          <w:sz w:val="26"/>
          <w:szCs w:val="26"/>
        </w:rPr>
        <w:t xml:space="preserve">2. SECURITY AND OPERATIONAL OUTCOMES</w:t>
      </w:r>
    </w:p>
    <w:p>
      <w:pPr>
        <w:spacing w:after="120" w:line="276" w:lineRule="exact"/>
        <w:jc w:val="both"/>
      </w:pPr>
      <w:r>
        <w:rPr>
          <w:rFonts w:ascii="Times New Roman" w:cs="Times New Roman" w:eastAsia="Times New Roman" w:hAnsi="Times New Roman"/>
          <w:sz w:val="22"/>
          <w:szCs w:val="22"/>
        </w:rPr>
        <w:t xml:space="preserve">The architecture delivers measurable improvements across both security and operational dimensions:</w:t>
      </w:r>
    </w:p>
    <w:p>
      <w:pPr>
        <w:pStyle w:val="Heading2"/>
      </w:pPr>
      <w:r>
        <w:rPr>
          <w:rFonts w:ascii="Times New Roman" w:cs="Times New Roman" w:eastAsia="Times New Roman" w:hAnsi="Times New Roman"/>
          <w:b/>
          <w:bCs/>
          <w:sz w:val="22"/>
          <w:szCs w:val="22"/>
        </w:rPr>
        <w:t xml:space="preserve">Security Outcomes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Elimination of location-based trust. </w:t>
      </w:r>
      <w:r>
        <w:rPr>
          <w:rFonts w:ascii="Times New Roman" w:cs="Times New Roman" w:eastAsia="Times New Roman" w:hAnsi="Times New Roman"/>
          <w:sz w:val="22"/>
          <w:szCs w:val="22"/>
        </w:rPr>
        <w:t xml:space="preserve">Network access becomes conditional, time-bound, and revocable. A device connected to a corporate switch port receives no implicit privilege—authorization is earned through verified identity and continuous posture compliance.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Lateral movement prevention. </w:t>
      </w:r>
      <w:r>
        <w:rPr>
          <w:rFonts w:ascii="Times New Roman" w:cs="Times New Roman" w:eastAsia="Times New Roman" w:hAnsi="Times New Roman"/>
          <w:sz w:val="22"/>
          <w:szCs w:val="22"/>
        </w:rPr>
        <w:t xml:space="preserve">Compromised or non-compliant devices are immediately placed into Restricted Egress, a quarantine state that blocks all internal network access while permitting only remediation traffic. This containment occurs without VLAN reassignment.</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Continuous posture enforcement. </w:t>
      </w:r>
      <w:r>
        <w:rPr>
          <w:rFonts w:ascii="Times New Roman" w:cs="Times New Roman" w:eastAsia="Times New Roman" w:hAnsi="Times New Roman"/>
          <w:sz w:val="22"/>
          <w:szCs w:val="22"/>
        </w:rPr>
        <w:t xml:space="preserve">Device posture is recalculated every 5–15 minutes under normal conditions, with real-time evaluation for security events. The target P95 posture-to-enforcement latency is 15 seconds.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Comprehensive device visibility. </w:t>
      </w:r>
      <w:r>
        <w:rPr>
          <w:rFonts w:ascii="Times New Roman" w:cs="Times New Roman" w:eastAsia="Times New Roman" w:hAnsi="Times New Roman"/>
          <w:sz w:val="22"/>
          <w:szCs w:val="22"/>
        </w:rPr>
        <w:t xml:space="preserve">The platform maintains a continuously updated inventory of all network-connected devices, providing security operations with complete situational awareness.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Fail-safe degradation. </w:t>
      </w:r>
      <w:r>
        <w:rPr>
          <w:rFonts w:ascii="Times New Roman" w:cs="Times New Roman" w:eastAsia="Times New Roman" w:hAnsi="Times New Roman"/>
          <w:sz w:val="22"/>
          <w:szCs w:val="22"/>
        </w:rPr>
        <w:t xml:space="preserve">The system never fails open. When the control plane is unavailable, new sessions default to Restricted Egress, ensuring that network access is denied rather than granted in degraded conditions.</w:t>
      </w:r>
    </w:p>
    <w:p>
      <w:pPr>
        <w:pStyle w:val="Heading2"/>
      </w:pPr>
      <w:r>
        <w:rPr>
          <w:rFonts w:ascii="Times New Roman" w:cs="Times New Roman" w:eastAsia="Times New Roman" w:hAnsi="Times New Roman"/>
          <w:b/>
          <w:bCs/>
          <w:sz w:val="22"/>
          <w:szCs w:val="22"/>
        </w:rPr>
        <w:t xml:space="preserve">Operational Outcomes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Infrastructure preservation. </w:t>
      </w:r>
      <w:r>
        <w:rPr>
          <w:rFonts w:ascii="Times New Roman" w:cs="Times New Roman" w:eastAsia="Times New Roman" w:hAnsi="Times New Roman"/>
          <w:sz w:val="22"/>
          <w:szCs w:val="22"/>
        </w:rPr>
        <w:t xml:space="preserve">No modifications are required to VLAN design, IP addressing, or network topology. The architecture layers authorization on top of the existing infrastructure.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Automated remediation. </w:t>
      </w:r>
      <w:r>
        <w:rPr>
          <w:rFonts w:ascii="Times New Roman" w:cs="Times New Roman" w:eastAsia="Times New Roman" w:hAnsi="Times New Roman"/>
          <w:sz w:val="22"/>
          <w:szCs w:val="22"/>
        </w:rPr>
        <w:t xml:space="preserve">Self-healing workflows are projected to reduce access-related support requests by 60–80%, as devices that return to compliance are automatically re-authorized without helpdesk intervention.</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Unified policy enforcement. </w:t>
      </w:r>
      <w:r>
        <w:rPr>
          <w:rFonts w:ascii="Times New Roman" w:cs="Times New Roman" w:eastAsia="Times New Roman" w:hAnsi="Times New Roman"/>
          <w:sz w:val="22"/>
          <w:szCs w:val="22"/>
        </w:rPr>
        <w:t xml:space="preserve">A single policy framework governs both wired and wireless connections, eliminating inconsistent enforcement across access methods.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Accelerated incident response. </w:t>
      </w:r>
      <w:r>
        <w:rPr>
          <w:rFonts w:ascii="Times New Roman" w:cs="Times New Roman" w:eastAsia="Times New Roman" w:hAnsi="Times New Roman"/>
          <w:sz w:val="22"/>
          <w:szCs w:val="22"/>
        </w:rPr>
        <w:t xml:space="preserve">CrowdStrike threat detections trigger immediate network restriction via RADIUS Change of Authorization (CoA), reducing the time between detection and containment to seconds.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Auditable authorization. </w:t>
      </w:r>
      <w:r>
        <w:rPr>
          <w:rFonts w:ascii="Times New Roman" w:cs="Times New Roman" w:eastAsia="Times New Roman" w:hAnsi="Times New Roman"/>
          <w:sz w:val="22"/>
          <w:szCs w:val="22"/>
        </w:rPr>
        <w:t xml:space="preserve">Every access decision is a formal RADIUS transaction with a complete audit trail, supporting compliance evidence requirements.</w:t>
      </w:r>
    </w:p>
    <w:p>
      <w:pPr>
        <w:pStyle w:val="Heading1"/>
      </w:pPr>
      <w:r>
        <w:rPr>
          <w:rFonts w:ascii="Times New Roman" w:cs="Times New Roman" w:eastAsia="Times New Roman" w:hAnsi="Times New Roman"/>
          <w:b/>
          <w:bCs/>
          <w:caps w:val="false"/>
          <w:sz w:val="26"/>
          <w:szCs w:val="26"/>
        </w:rPr>
        <w:t xml:space="preserve">3. TECHNICAL APPROACH</w:t>
      </w:r>
    </w:p>
    <w:p>
      <w:pPr>
        <w:spacing w:after="120" w:line="276" w:lineRule="exact"/>
        <w:jc w:val="both"/>
      </w:pPr>
      <w:r>
        <w:rPr>
          <w:rFonts w:ascii="Times New Roman" w:cs="Times New Roman" w:eastAsia="Times New Roman" w:hAnsi="Times New Roman"/>
          <w:sz w:val="22"/>
          <w:szCs w:val="22"/>
        </w:rPr>
        <w:t xml:space="preserve">The enforcement model uses RADIUS MAC Authentication Bypass (MAB) as the authorization control plane. When a device connects to the network, the access switch issues a RADIUS request to Forescout, which evaluates the device's identity, management enrollment, EDR health, patch status, and configuration compliance. Based on this evaluation, Forescout returns an authorization decision that the switch enforces via downloadable access control lists (dACLs) applied to the individual port or client session.</w:t>
      </w:r>
    </w:p>
    <w:p>
      <w:pPr>
        <w:spacing w:after="120" w:line="276" w:lineRule="exact"/>
        <w:jc w:val="both"/>
      </w:pPr>
      <w:r>
        <w:rPr>
          <w:rFonts w:ascii="Times New Roman" w:cs="Times New Roman" w:eastAsia="Times New Roman" w:hAnsi="Times New Roman"/>
          <w:sz w:val="22"/>
          <w:szCs w:val="22"/>
        </w:rPr>
        <w:t xml:space="preserve">Mid-session policy changes are handled through RADIUS Change of Authorization (CoA). When a device's posture changes—for example, if CrowdStrike detects a threat or a critical patch deadline expires—Forescout pushes an updated authorization to the switch without requiring the device to re-authenticate. The target P95 latency from posture change to enforcement is 15 seconds.</w:t>
      </w:r>
    </w:p>
    <w:p>
      <w:pPr>
        <w:spacing w:after="120" w:line="276" w:lineRule="exact"/>
        <w:jc w:val="both"/>
      </w:pPr>
      <w:r>
        <w:rPr>
          <w:rFonts w:ascii="Times New Roman" w:cs="Times New Roman" w:eastAsia="Times New Roman" w:hAnsi="Times New Roman"/>
          <w:sz w:val="22"/>
          <w:szCs w:val="22"/>
        </w:rPr>
        <w:t xml:space="preserve">The architecture employs a three-tier posture framework. </w:t>
      </w:r>
      <w:r>
        <w:rPr>
          <w:rFonts w:ascii="Times New Roman" w:cs="Times New Roman" w:eastAsia="Times New Roman" w:hAnsi="Times New Roman"/>
          <w:b/>
          <w:bCs/>
          <w:sz w:val="22"/>
          <w:szCs w:val="22"/>
        </w:rPr>
        <w:t xml:space="preserve">Tier 1 (Full Access) </w:t>
      </w:r>
      <w:r>
        <w:rPr>
          <w:rFonts w:ascii="Times New Roman" w:cs="Times New Roman" w:eastAsia="Times New Roman" w:hAnsi="Times New Roman"/>
          <w:sz w:val="22"/>
          <w:szCs w:val="22"/>
        </w:rPr>
        <w:t xml:space="preserve">is granted to devices that are fully managed, running healthy EDR, and compliant with patch and configuration policies. </w:t>
      </w:r>
      <w:r>
        <w:rPr>
          <w:rFonts w:ascii="Times New Roman" w:cs="Times New Roman" w:eastAsia="Times New Roman" w:hAnsi="Times New Roman"/>
          <w:b/>
          <w:bCs/>
          <w:sz w:val="22"/>
          <w:szCs w:val="22"/>
        </w:rPr>
        <w:t xml:space="preserve">Tier 2 (Limited Access) </w:t>
      </w:r>
      <w:r>
        <w:rPr>
          <w:rFonts w:ascii="Times New Roman" w:cs="Times New Roman" w:eastAsia="Times New Roman" w:hAnsi="Times New Roman"/>
          <w:sz w:val="22"/>
          <w:szCs w:val="22"/>
        </w:rPr>
        <w:t xml:space="preserve">applies to managed devices with posture deficiencies such as pending patches or configuration drift. </w:t>
      </w:r>
      <w:r>
        <w:rPr>
          <w:rFonts w:ascii="Times New Roman" w:cs="Times New Roman" w:eastAsia="Times New Roman" w:hAnsi="Times New Roman"/>
          <w:b/>
          <w:bCs/>
          <w:sz w:val="22"/>
          <w:szCs w:val="22"/>
        </w:rPr>
        <w:t xml:space="preserve">Tier 3 (Restricted Egress) </w:t>
      </w:r>
      <w:r>
        <w:rPr>
          <w:rFonts w:ascii="Times New Roman" w:cs="Times New Roman" w:eastAsia="Times New Roman" w:hAnsi="Times New Roman"/>
          <w:sz w:val="22"/>
          <w:szCs w:val="22"/>
        </w:rPr>
        <w:t xml:space="preserve">confines non-compliant, unmanaged, or actively compromised devices to remediation-only traffic. Tier assignments are dynamic and continuously recalculated.</w:t>
      </w:r>
    </w:p>
    <w:p>
      <w:pPr>
        <w:spacing w:after="120" w:line="276" w:lineRule="exact"/>
        <w:jc w:val="both"/>
      </w:pPr>
      <w:r>
        <w:rPr>
          <w:rFonts w:ascii="Times New Roman" w:cs="Times New Roman" w:eastAsia="Times New Roman" w:hAnsi="Times New Roman"/>
          <w:sz w:val="22"/>
          <w:szCs w:val="22"/>
        </w:rPr>
        <w:t xml:space="preserve">A key architectural distinction is that Restricted Egress is implemented as a behavior, not a VLAN. The device retains its current VLAN and IP address but loses all internal access through dACL enforcement. This approach enables per-client enforcement on shared access point uplinks, where multiple devices on the same physical port each receive individual authorization decisions. Identity hardening is provided through DHCP snooping and Dynamic ARP Inspection.</w:t>
      </w:r>
    </w:p>
    <w:p>
      <w:pPr>
        <w:pStyle w:val="Heading1"/>
      </w:pPr>
      <w:r>
        <w:rPr>
          <w:rFonts w:ascii="Times New Roman" w:cs="Times New Roman" w:eastAsia="Times New Roman" w:hAnsi="Times New Roman"/>
          <w:b/>
          <w:bCs/>
          <w:caps w:val="false"/>
          <w:sz w:val="26"/>
          <w:szCs w:val="26"/>
        </w:rPr>
        <w:t xml:space="preserve">4. INTEGRATION PLATFORM</w:t>
      </w:r>
    </w:p>
    <w:p>
      <w:pPr>
        <w:spacing w:after="120" w:line="276" w:lineRule="exact"/>
        <w:jc w:val="both"/>
      </w:pPr>
      <w:r>
        <w:rPr>
          <w:rFonts w:ascii="Times New Roman" w:cs="Times New Roman" w:eastAsia="Times New Roman" w:hAnsi="Times New Roman"/>
          <w:sz w:val="22"/>
          <w:szCs w:val="22"/>
        </w:rPr>
        <w:t xml:space="preserve">The ZTNA-NAC architecture integrates five core technology platforms, each contributing a specific function to the posture evaluation and enforcement pipeline:</w:t>
      </w:r>
    </w:p>
    <w:p>
      <w:pPr>
        <w:spacing w:after="80" w:before="120"/>
        <w:jc w:val="center"/>
      </w:pPr>
      <w:r>
        <w:rPr>
          <w:rFonts w:ascii="Times New Roman" w:cs="Times New Roman" w:eastAsia="Times New Roman" w:hAnsi="Times New Roman"/>
          <w:i/>
          <w:iCs/>
          <w:sz w:val="20"/>
          <w:szCs w:val="20"/>
        </w:rPr>
        <w:t xml:space="preserve">Table 1. Integration Platform Components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800"/>
        <w:gridCol w:w="6128"/>
      </w:tblGrid>
      <w:tr>
        <w:tc>
          <w:tcPr>
            <w:tcW w:type="dxa" w:w="2800"/>
            <w:tcBorders>
              <w:top w:val="single" w:color="000000" w:sz="12"/>
              <w:left w:val="none" w:sz="0"/>
              <w:bottom w:val="single" w:color="000000" w:sz="6"/>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Platform</w:t>
            </w:r>
          </w:p>
        </w:tc>
        <w:tc>
          <w:tcPr>
            <w:tcW w:type="dxa" w:w="6128"/>
            <w:tcBorders>
              <w:top w:val="single" w:color="000000" w:sz="12"/>
              <w:left w:val="none" w:sz="0"/>
              <w:bottom w:val="single" w:color="000000" w:sz="6"/>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Role</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Forescout</w:t>
            </w:r>
          </w:p>
        </w:tc>
        <w:tc>
          <w:tcPr>
            <w:tcW w:type="dxa" w:w="6128"/>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sz w:val="19"/>
                <w:szCs w:val="19"/>
              </w:rPr>
              <w:t xml:space="preserve">Central NAC/RADIUS policy engine; continuous posture evaluation and enforcement orchestration</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Microsoft Intune / Jamf Pro</w:t>
            </w:r>
          </w:p>
        </w:tc>
        <w:tc>
          <w:tcPr>
            <w:tcW w:type="dxa" w:w="6128"/>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sz w:val="19"/>
                <w:szCs w:val="19"/>
              </w:rPr>
              <w:t xml:space="preserve">Mobile Device Management (MDM) authority for Windows and macOS; supplies enrollment and compliance status</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CrowdStrike Falcon</w:t>
            </w:r>
          </w:p>
        </w:tc>
        <w:tc>
          <w:tcPr>
            <w:tcW w:type="dxa" w:w="6128"/>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sz w:val="19"/>
                <w:szCs w:val="19"/>
              </w:rPr>
              <w:t xml:space="preserve">Endpoint Detection and Response (EDR); provides runtime threat intelligence and triggers immediate network restriction on detection</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Qualys / Tanium</w:t>
            </w:r>
          </w:p>
        </w:tc>
        <w:tc>
          <w:tcPr>
            <w:tcW w:type="dxa" w:w="6128"/>
            <w:tcBorders>
              <w:top w:val="none" w:sz="0"/>
              <w:left w:val="none" w:sz="0"/>
              <w:bottom w:val="none" w:sz="0"/>
              <w:right w:val="none" w:sz="0"/>
            </w:tcBorders>
            <w:tcMar>
              <w:top w:type="dxa" w:w="40"/>
              <w:left w:type="dxa" w:w="80"/>
              <w:bottom w:type="dxa" w:w="40"/>
              <w:right w:type="dxa" w:w="80"/>
            </w:tcMar>
          </w:tcPr>
          <w:p>
            <w:pPr>
              <w:spacing w:after="0"/>
            </w:pPr>
            <w:r>
              <w:rPr>
                <w:rFonts w:ascii="Times New Roman" w:cs="Times New Roman" w:eastAsia="Times New Roman" w:hAnsi="Times New Roman"/>
                <w:sz w:val="19"/>
                <w:szCs w:val="19"/>
              </w:rPr>
              <w:t xml:space="preserve">Vulnerability scanning and configuration compliance; feeds patch status and configuration drift data into posture calculations</w:t>
            </w:r>
          </w:p>
        </w:tc>
      </w:tr>
      <w:tr>
        <w:tc>
          <w:tcPr>
            <w:tcW w:type="dxa" w:w="2800"/>
            <w:tcBorders>
              <w:top w:val="none" w:sz="0"/>
              <w:left w:val="none" w:sz="0"/>
              <w:bottom w:val="single" w:color="000000" w:sz="12"/>
              <w:right w:val="none" w:sz="0"/>
            </w:tcBorders>
            <w:tcMar>
              <w:top w:type="dxa" w:w="40"/>
              <w:left w:type="dxa" w:w="80"/>
              <w:bottom w:type="dxa" w:w="40"/>
              <w:right w:type="dxa" w:w="80"/>
            </w:tcMar>
          </w:tcPr>
          <w:p>
            <w:pPr>
              <w:spacing w:after="0"/>
            </w:pPr>
            <w:r>
              <w:rPr>
                <w:rFonts w:ascii="Times New Roman" w:cs="Times New Roman" w:eastAsia="Times New Roman" w:hAnsi="Times New Roman"/>
                <w:b/>
                <w:bCs/>
                <w:sz w:val="19"/>
                <w:szCs w:val="19"/>
              </w:rPr>
              <w:t xml:space="preserve">Zscaler Internet Access</w:t>
            </w:r>
          </w:p>
        </w:tc>
        <w:tc>
          <w:tcPr>
            <w:tcW w:type="dxa" w:w="6128"/>
            <w:tcBorders>
              <w:top w:val="none" w:sz="0"/>
              <w:left w:val="none" w:sz="0"/>
              <w:bottom w:val="single" w:color="000000" w:sz="12"/>
              <w:right w:val="none" w:sz="0"/>
            </w:tcBorders>
            <w:tcMar>
              <w:top w:type="dxa" w:w="40"/>
              <w:left w:type="dxa" w:w="80"/>
              <w:bottom w:type="dxa" w:w="40"/>
              <w:right w:type="dxa" w:w="80"/>
            </w:tcMar>
          </w:tcPr>
          <w:p>
            <w:pPr>
              <w:spacing w:after="0"/>
            </w:pPr>
            <w:r>
              <w:rPr>
                <w:rFonts w:ascii="Times New Roman" w:cs="Times New Roman" w:eastAsia="Times New Roman" w:hAnsi="Times New Roman"/>
                <w:sz w:val="19"/>
                <w:szCs w:val="19"/>
              </w:rPr>
              <w:t xml:space="preserve">Universal internet broker; enforces consistent web security policy regardless of device location or network segment</w:t>
            </w:r>
          </w:p>
        </w:tc>
      </w:tr>
    </w:tbl>
    <w:p>
      <w:pPr>
        <w:pStyle w:val="Heading1"/>
      </w:pPr>
      <w:r>
        <w:rPr>
          <w:rFonts w:ascii="Times New Roman" w:cs="Times New Roman" w:eastAsia="Times New Roman" w:hAnsi="Times New Roman"/>
          <w:b/>
          <w:bCs/>
          <w:caps w:val="false"/>
          <w:sz w:val="26"/>
          <w:szCs w:val="26"/>
        </w:rPr>
        <w:t xml:space="preserve">5. DEPLOYMENT STRATEGY</w:t>
      </w:r>
    </w:p>
    <w:p>
      <w:pPr>
        <w:spacing w:after="120" w:line="276" w:lineRule="exact"/>
        <w:jc w:val="both"/>
      </w:pPr>
      <w:r>
        <w:rPr>
          <w:rFonts w:ascii="Times New Roman" w:cs="Times New Roman" w:eastAsia="Times New Roman" w:hAnsi="Times New Roman"/>
          <w:sz w:val="22"/>
          <w:szCs w:val="22"/>
        </w:rPr>
        <w:t xml:space="preserve">Deployment follows a phased approach designed to minimize operational disruption while building organizational confidence. </w:t>
      </w:r>
      <w:r>
        <w:rPr>
          <w:rFonts w:ascii="Times New Roman" w:cs="Times New Roman" w:eastAsia="Times New Roman" w:hAnsi="Times New Roman"/>
          <w:b/>
          <w:bCs/>
          <w:sz w:val="22"/>
          <w:szCs w:val="22"/>
        </w:rPr>
        <w:t xml:space="preserve">Phase 1 </w:t>
      </w:r>
      <w:r>
        <w:rPr>
          <w:rFonts w:ascii="Times New Roman" w:cs="Times New Roman" w:eastAsia="Times New Roman" w:hAnsi="Times New Roman"/>
          <w:sz w:val="22"/>
          <w:szCs w:val="22"/>
        </w:rPr>
        <w:t xml:space="preserve">targets 30 core corporate and back-office locations, encompassing infrastructure sites and back-office retail environments. </w:t>
      </w:r>
      <w:r>
        <w:rPr>
          <w:rFonts w:ascii="Times New Roman" w:cs="Times New Roman" w:eastAsia="Times New Roman" w:hAnsi="Times New Roman"/>
          <w:b/>
          <w:bCs/>
          <w:sz w:val="22"/>
          <w:szCs w:val="22"/>
        </w:rPr>
        <w:t xml:space="preserve">Phase 2 </w:t>
      </w:r>
      <w:r>
        <w:rPr>
          <w:rFonts w:ascii="Times New Roman" w:cs="Times New Roman" w:eastAsia="Times New Roman" w:hAnsi="Times New Roman"/>
          <w:sz w:val="22"/>
          <w:szCs w:val="22"/>
        </w:rPr>
        <w:t xml:space="preserve">extends enforcement to specialty environments including distribution centers, laboratories, and other operationally sensitive facilities.</w:t>
      </w:r>
    </w:p>
    <w:p>
      <w:pPr>
        <w:spacing w:after="120" w:line="276" w:lineRule="exact"/>
        <w:jc w:val="both"/>
      </w:pPr>
      <w:r>
        <w:rPr>
          <w:rFonts w:ascii="Times New Roman" w:cs="Times New Roman" w:eastAsia="Times New Roman" w:hAnsi="Times New Roman"/>
          <w:sz w:val="22"/>
          <w:szCs w:val="22"/>
        </w:rPr>
        <w:t xml:space="preserve">Each site undergoes a 30–60 day monitoring period before enforcement activation. During monitoring, the system evaluates device posture and generates authorization decisions without enforcing them, allowing the operations team to identify policy gaps, tune posture rules, and resolve exceptions before any device is restricted. This deliberate approach ensures that enforcement activation is predictable and low-risk.</w:t>
      </w:r>
    </w:p>
    <w:p>
      <w:pPr>
        <w:spacing w:after="120" w:line="276" w:lineRule="exact"/>
        <w:jc w:val="both"/>
      </w:pPr>
      <w:r>
        <w:rPr>
          <w:rFonts w:ascii="Times New Roman" w:cs="Times New Roman" w:eastAsia="Times New Roman" w:hAnsi="Times New Roman"/>
          <w:sz w:val="22"/>
          <w:szCs w:val="22"/>
        </w:rPr>
        <w:t xml:space="preserve">The enforcement model itself evolves over three stages: initial deployment uses per-session downloadable ACLs for granular control, followed by role-based abstraction to simplify policy management at scale, and ultimately migration to Cisco TrustSec Security Group Tags (SGTs) for scalable, identity-aware segmentation across the network fabric.</w:t>
      </w:r>
    </w:p>
    <w:p>
      <w:pPr>
        <w:pStyle w:val="Heading1"/>
      </w:pPr>
      <w:r>
        <w:rPr>
          <w:rFonts w:ascii="Times New Roman" w:cs="Times New Roman" w:eastAsia="Times New Roman" w:hAnsi="Times New Roman"/>
          <w:b/>
          <w:bCs/>
          <w:caps w:val="false"/>
          <w:sz w:val="26"/>
          <w:szCs w:val="26"/>
        </w:rPr>
        <w:t xml:space="preserve">6. RESILIENCE AND RISK MANAGEMENT</w:t>
      </w:r>
    </w:p>
    <w:p>
      <w:pPr>
        <w:spacing w:after="120" w:line="276" w:lineRule="exact"/>
        <w:jc w:val="both"/>
      </w:pPr>
      <w:r>
        <w:rPr>
          <w:rFonts w:ascii="Times New Roman" w:cs="Times New Roman" w:eastAsia="Times New Roman" w:hAnsi="Times New Roman"/>
          <w:sz w:val="22"/>
          <w:szCs w:val="22"/>
        </w:rPr>
        <w:t xml:space="preserve">The architecture is designed with explicit failure modes that default to a secure state. No single component failure results in uncontrolled network access: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MDM unavailable: </w:t>
      </w:r>
      <w:r>
        <w:rPr>
          <w:rFonts w:ascii="Times New Roman" w:cs="Times New Roman" w:eastAsia="Times New Roman" w:hAnsi="Times New Roman"/>
          <w:sz w:val="22"/>
          <w:szCs w:val="22"/>
        </w:rPr>
        <w:t xml:space="preserve">New sessions default to Restricted Egress; existing sessions retain their last-known-good authorization until the MDM platform is restored.</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EDR unavailable: </w:t>
      </w:r>
      <w:r>
        <w:rPr>
          <w:rFonts w:ascii="Times New Roman" w:cs="Times New Roman" w:eastAsia="Times New Roman" w:hAnsi="Times New Roman"/>
          <w:sz w:val="22"/>
          <w:szCs w:val="22"/>
        </w:rPr>
        <w:t xml:space="preserve">New sessions default to Restricted Egress with defined exceptions for critical infrastructure; existing sessions continue under current policy.</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NAC platform unavailable: </w:t>
      </w:r>
      <w:r>
        <w:rPr>
          <w:rFonts w:ascii="Times New Roman" w:cs="Times New Roman" w:eastAsia="Times New Roman" w:hAnsi="Times New Roman"/>
          <w:sz w:val="22"/>
          <w:szCs w:val="22"/>
        </w:rPr>
        <w:t xml:space="preserve">Existing sessions retain their current authorization. New connections are handled by the switch's default policy, which enforces Restricted Egress.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CoA path impaired: </w:t>
      </w:r>
      <w:r>
        <w:rPr>
          <w:rFonts w:ascii="Times New Roman" w:cs="Times New Roman" w:eastAsia="Times New Roman" w:hAnsi="Times New Roman"/>
          <w:sz w:val="22"/>
          <w:szCs w:val="22"/>
        </w:rPr>
        <w:t xml:space="preserve">Existing enforcement holds in place. Upon re-authentication, the device receives a fresh posture evaluation and updated authorization.</w:t>
      </w:r>
    </w:p>
    <w:p>
      <w:pPr>
        <w:spacing w:after="120" w:line="276" w:lineRule="exact"/>
        <w:jc w:val="both"/>
      </w:pPr>
      <w:r>
        <w:rPr>
          <w:rFonts w:ascii="Times New Roman" w:cs="Times New Roman" w:eastAsia="Times New Roman" w:hAnsi="Times New Roman"/>
          <w:sz w:val="22"/>
          <w:szCs w:val="22"/>
        </w:rPr>
        <w:t xml:space="preserve">This fail-safe design ensures that the organization’s security posture is maintained even during infrastructure degradation, eliminating the risk of a control-plane outage creating unmonitored network access.</w:t>
      </w:r>
    </w:p>
    <w:p>
      <w:pPr>
        <w:pStyle w:val="Heading1"/>
      </w:pPr>
      <w:r>
        <w:rPr>
          <w:rFonts w:ascii="Times New Roman" w:cs="Times New Roman" w:eastAsia="Times New Roman" w:hAnsi="Times New Roman"/>
          <w:b/>
          <w:bCs/>
          <w:caps w:val="false"/>
          <w:sz w:val="26"/>
          <w:szCs w:val="26"/>
        </w:rPr>
        <w:t xml:space="preserve">7. ORGANIZATIONAL REQUIREMENTS</w:t>
      </w:r>
    </w:p>
    <w:p>
      <w:pPr>
        <w:spacing w:after="120" w:line="276" w:lineRule="exact"/>
        <w:jc w:val="both"/>
      </w:pPr>
      <w:r>
        <w:rPr>
          <w:rFonts w:ascii="Times New Roman" w:cs="Times New Roman" w:eastAsia="Times New Roman" w:hAnsi="Times New Roman"/>
          <w:sz w:val="22"/>
          <w:szCs w:val="22"/>
        </w:rPr>
        <w:t xml:space="preserve">Successful implementation requires coordinated preparation across multiple teams: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Network engineering: </w:t>
      </w:r>
      <w:r>
        <w:rPr>
          <w:rFonts w:ascii="Times New Roman" w:cs="Times New Roman" w:eastAsia="Times New Roman" w:hAnsi="Times New Roman"/>
          <w:sz w:val="22"/>
          <w:szCs w:val="22"/>
        </w:rPr>
        <w:t xml:space="preserve">Switch configuration standardization, lab testing of RADIUS and CoA flows, and formal change control processes for enforcement activation at each site.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Security operations: </w:t>
      </w:r>
      <w:r>
        <w:rPr>
          <w:rFonts w:ascii="Times New Roman" w:cs="Times New Roman" w:eastAsia="Times New Roman" w:hAnsi="Times New Roman"/>
          <w:sz w:val="22"/>
          <w:szCs w:val="22"/>
        </w:rPr>
        <w:t xml:space="preserve">Agent coverage thresholds for EDR, MDM, and vulnerability tools must be met before enforcement begins. SIEM integration and response playbooks must be in place.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Helpdesk readiness: </w:t>
      </w:r>
      <w:r>
        <w:rPr>
          <w:rFonts w:ascii="Times New Roman" w:cs="Times New Roman" w:eastAsia="Times New Roman" w:hAnsi="Times New Roman"/>
          <w:sz w:val="22"/>
          <w:szCs w:val="22"/>
        </w:rPr>
        <w:t xml:space="preserve">Staff training on the three-tier posture model, escalation procedures for restricted devices, and updated knowledge base articles for end-user self-remediation.</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Executive sponsorship: </w:t>
      </w:r>
      <w:r>
        <w:rPr>
          <w:rFonts w:ascii="Times New Roman" w:cs="Times New Roman" w:eastAsia="Times New Roman" w:hAnsi="Times New Roman"/>
          <w:sz w:val="22"/>
          <w:szCs w:val="22"/>
        </w:rPr>
        <w:t xml:space="preserve">Enforcement will initially restrict some non-compliant devices. Leadership alignment is essential to maintain enforcement discipline and resist pressure to create broad exceptions.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Staffing: </w:t>
      </w:r>
      <w:r>
        <w:rPr>
          <w:rFonts w:ascii="Times New Roman" w:cs="Times New Roman" w:eastAsia="Times New Roman" w:hAnsi="Times New Roman"/>
          <w:sz w:val="22"/>
          <w:szCs w:val="22"/>
        </w:rPr>
        <w:t xml:space="preserve">A dedicated Forescout platform team of 2–3 FTEs is required, supported by network engineering, security operations, and endpoint management resources.</w:t>
      </w:r>
    </w:p>
    <w:p>
      <w:pPr>
        <w:pStyle w:val="Heading1"/>
      </w:pPr>
      <w:r>
        <w:rPr>
          <w:rFonts w:ascii="Times New Roman" w:cs="Times New Roman" w:eastAsia="Times New Roman" w:hAnsi="Times New Roman"/>
          <w:b/>
          <w:bCs/>
          <w:caps w:val="false"/>
          <w:sz w:val="26"/>
          <w:szCs w:val="26"/>
        </w:rPr>
        <w:t xml:space="preserve">8. STRATEGIC VALUE</w:t>
      </w:r>
    </w:p>
    <w:p>
      <w:pPr>
        <w:spacing w:after="120" w:line="276" w:lineRule="exact"/>
        <w:jc w:val="both"/>
      </w:pPr>
      <w:r>
        <w:rPr>
          <w:rFonts w:ascii="Times New Roman" w:cs="Times New Roman" w:eastAsia="Times New Roman" w:hAnsi="Times New Roman"/>
          <w:sz w:val="22"/>
          <w:szCs w:val="22"/>
        </w:rPr>
        <w:t xml:space="preserve">Beyond immediate security and operational improvements, the ZTNA-NAC architecture positions the organization for long-term strategic advantage: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Regulatory alignment. </w:t>
      </w:r>
      <w:r>
        <w:rPr>
          <w:rFonts w:ascii="Times New Roman" w:cs="Times New Roman" w:eastAsia="Times New Roman" w:hAnsi="Times New Roman"/>
          <w:sz w:val="22"/>
          <w:szCs w:val="22"/>
        </w:rPr>
        <w:t xml:space="preserve">The architecture directly supports compliance with NIST 800-207 (Zero Trust Architecture), PCI-DSS, HIPAA, and HITRUST CSF requirements for access control, continuous monitoring, and audit evidence.</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Evolvable architecture. </w:t>
      </w:r>
      <w:r>
        <w:rPr>
          <w:rFonts w:ascii="Times New Roman" w:cs="Times New Roman" w:eastAsia="Times New Roman" w:hAnsi="Times New Roman"/>
          <w:sz w:val="22"/>
          <w:szCs w:val="22"/>
        </w:rPr>
        <w:t xml:space="preserve">The enforcement model is designed to mature from per-session dACLs through role-based abstraction to SGT/TrustSec micro-segmentation, providing a clear technical roadmap without requiring future architectural rewrites.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IoT and OT governance. </w:t>
      </w:r>
      <w:r>
        <w:rPr>
          <w:rFonts w:ascii="Times New Roman" w:cs="Times New Roman" w:eastAsia="Times New Roman" w:hAnsi="Times New Roman"/>
          <w:sz w:val="22"/>
          <w:szCs w:val="22"/>
        </w:rPr>
        <w:t xml:space="preserve">A three-phase IoT/OT lifecycle—discovery, baseline governance, and continuous validation—extends zero trust principles to non-traditional devices that cannot run endpoint agents.</w:t>
      </w:r>
    </w:p>
    <w:p>
      <w:pPr>
        <w:pStyle w:val="ListParagraph"/>
        <w:numPr>
          <w:ilvl w:val="0"/>
          <w:numId w:val="2"/>
        </w:numPr>
        <w:spacing w:after="60" w:line="276" w:lineRule="exact"/>
        <w:jc w:val="both"/>
      </w:pPr>
      <w:r>
        <w:rPr>
          <w:rFonts w:ascii="Times New Roman" w:cs="Times New Roman" w:eastAsia="Times New Roman" w:hAnsi="Times New Roman"/>
          <w:b/>
          <w:bCs/>
          <w:sz w:val="22"/>
          <w:szCs w:val="22"/>
        </w:rPr>
        <w:t xml:space="preserve">Policy-as-code foundation. </w:t>
      </w:r>
      <w:r>
        <w:rPr>
          <w:rFonts w:ascii="Times New Roman" w:cs="Times New Roman" w:eastAsia="Times New Roman" w:hAnsi="Times New Roman"/>
          <w:sz w:val="22"/>
          <w:szCs w:val="22"/>
        </w:rPr>
        <w:t xml:space="preserve">Network access policies are managed as version-controlled, CI-driven artifacts, enabling peer review, automated testing, and auditable change history for all policy modifications.</w:t>
      </w:r>
    </w:p>
    <w:p>
      <w:pPr>
        <w:spacing w:after="120" w:line="276" w:lineRule="exact"/>
        <w:jc w:val="both"/>
      </w:pPr>
      <w:r>
        <w:rPr>
          <w:rFonts w:ascii="Times New Roman" w:cs="Times New Roman" w:eastAsia="Times New Roman" w:hAnsi="Times New Roman"/>
          <w:sz w:val="22"/>
          <w:szCs w:val="22"/>
        </w:rPr>
        <w:t xml:space="preserve">The ZTNA-NAC Architecture v3 delivers a measured, operationally responsible path to zero trust network enforcement. By preserving existing infrastructure, integrating proven enterprise security tools, and following a phased deployment model with built-in monitoring safeguards, the program minimizes disruption while establishing the access control foundation required by modern threat environments and regulatory frameworks.</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ZTNA-NAC Architecture v3 — Executive Summary</w:t>
    </w:r>
    <w:r>
      <w:rPr>
        <w:rFonts w:ascii="Times New Roman" w:cs="Times New Roman" w:eastAsia="Times New Roman" w:hAnsi="Times New Roman"/>
        <w:sz w:val="16"/>
        <w:szCs w:val="16"/>
      </w:rPr>
      <w:t xml:space="preserve">	</w:t>
    </w:r>
    <w:r>
      <w:rPr>
        <w:rFonts w:ascii="Times New Roman" w:cs="Times New Roman" w:eastAsia="Times New Roman" w:hAnsi="Times New Roman"/>
        <w:i/>
        <w:iCs/>
        <w:color w:val="888888"/>
        <w:sz w:val="16"/>
        <w:szCs w:val="16"/>
      </w:rPr>
      <w:t xml:space="preserve">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2026-03-25T15:29:21.824Z</dcterms:created>
  <dcterms:modified xsi:type="dcterms:W3CDTF">2026-03-25T15:29:21.824Z</dcterms:modified>
</cp:coreProperties>
</file>

<file path=docProps/custom.xml><?xml version="1.0" encoding="utf-8"?>
<Properties xmlns="http://schemas.openxmlformats.org/officeDocument/2006/custom-properties" xmlns:vt="http://schemas.openxmlformats.org/officeDocument/2006/docPropsVTypes"/>
</file>