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Governed Connectivity and Identity-Driven Zero Trust</w:t>
      </w:r>
    </w:p>
    <w:p>
      <w:pPr>
        <w:spacing w:after="120"/>
        <w:jc w:val="center"/>
      </w:pPr>
      <w:r>
        <w:rPr>
          <w:rFonts w:ascii="Times New Roman" w:cs="Times New Roman" w:eastAsia="Times New Roman" w:hAnsi="Times New Roman"/>
          <w:sz w:val="26"/>
          <w:szCs w:val="26"/>
        </w:rPr>
        <w:t xml:space="preserve">Executive Architectural Brief</w:t>
      </w:r>
    </w:p>
    <w:p>
      <w:pPr>
        <w:spacing w:after="60"/>
        <w:jc w:val="center"/>
      </w:pPr>
      <w:r>
        <w:rPr>
          <w:rFonts w:ascii="Times New Roman" w:cs="Times New Roman" w:eastAsia="Times New Roman" w:hAnsi="Times New Roman"/>
          <w:sz w:val="22"/>
          <w:szCs w:val="22"/>
        </w:rPr>
        <w:t xml:space="preserve">Michael J Martin</w:t>
      </w:r>
    </w:p>
    <w:p>
      <w:pPr>
        <w:spacing w:after="60"/>
        <w:jc w:val="center"/>
      </w:pPr>
      <w:r>
        <w:rPr>
          <w:rFonts w:ascii="Times New Roman" w:cs="Times New Roman" w:eastAsia="Times New Roman" w:hAnsi="Times New Roman"/>
          <w:sz w:val="22"/>
          <w:szCs w:val="22"/>
        </w:rPr>
        <w:t xml:space="preserve">Outlan.net</w:t>
      </w:r>
    </w:p>
    <w:p>
      <w:pPr>
        <w:spacing w:after="60"/>
        <w:jc w:val="center"/>
      </w:pPr>
      <w:r>
        <w:rPr>
          <w:rFonts w:ascii="Times New Roman" w:cs="Times New Roman" w:eastAsia="Times New Roman" w:hAnsi="Times New Roman"/>
          <w:sz w:val="20"/>
          <w:szCs w:val="20"/>
        </w:rPr>
        <w:t xml:space="preserve">Version 1.0 — March 2026</w:t>
      </w:r>
    </w:p>
    <w:p>
      <w:pPr>
        <w:spacing w:after="60"/>
        <w:jc w:val="center"/>
      </w:pPr>
      <w:r>
        <w:rPr>
          <w:rFonts w:ascii="Times New Roman" w:cs="Times New Roman" w:eastAsia="Times New Roman" w:hAnsi="Times New Roman"/>
          <w:sz w:val="20"/>
          <w:szCs w:val="20"/>
        </w:rPr>
        <w:t xml:space="preserve">Classification: Executive Brief — Enterprise Distribution</w:t>
      </w:r>
    </w:p>
    <w:p>
      <w:pPr>
        <w:spacing w:after="60"/>
        <w:jc w:val="center"/>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Zero Trust; Governed Connectivity; Tenant Isolation; Service Catalog; Identity Architecture; Exposure Management; Lifecycle Governance</w:t>
      </w:r>
    </w:p>
    <w:p>
      <w:pPr>
        <w:spacing w:after="120"/>
        <w:jc w:val="center"/>
      </w:pPr>
      <w:r>
        <w:rPr>
          <w:rFonts w:ascii="Times New Roman" w:cs="Times New Roman" w:eastAsia="Times New Roman" w:hAnsi="Times New Roman"/>
          <w:sz w:val="20"/>
          <w:szCs w:val="20"/>
        </w:rPr>
        <w:t xml:space="preserve">Status: Final</w:t>
      </w:r>
    </w:p>
    <w:p>
      <w:pPr>
        <w:spacing w:after="120" w:before="240"/>
        <w:jc w:val="center"/>
      </w:pPr>
      <w:r>
        <w:rPr>
          <w:rFonts w:ascii="Times New Roman" w:cs="Times New Roman" w:eastAsia="Times New Roman" w:hAnsi="Times New Roman"/>
          <w:b/>
          <w:bCs/>
          <w:sz w:val="22"/>
          <w:szCs w:val="22"/>
        </w:rPr>
        <w:t xml:space="preserve">Abstract</w:t>
      </w:r>
    </w:p>
    <w:p>
      <w:pPr>
        <w:spacing w:after="120" w:line="276" w:lineRule="exact"/>
        <w:ind w:left="360" w:right="360"/>
        <w:jc w:val="both"/>
      </w:pPr>
      <w:r>
        <w:rPr>
          <w:rFonts w:ascii="Times New Roman" w:cs="Times New Roman" w:eastAsia="Times New Roman" w:hAnsi="Times New Roman"/>
          <w:sz w:val="20"/>
          <w:szCs w:val="20"/>
        </w:rPr>
        <w:t xml:space="preserve">The modern enterprise confronts two converging architectural challenges. First, third-party connectivity has accumulated organically across organizational boundaries, creating a mesh of persistent trust relationships that carry security, compliance, and audit implications yet lack consistent ownership or lifecycle governance. Second, identity-driven Zero Trust — while conceptually sound — fails to compose in legacy application estates where backend systems cannot consume identity context natively. This brief presents a unified architectural framework that addresses both challenges through governed exposure domains, structured service delivery via a product-agnostic catalog, deterministic Tenant isolation, and progressive identity enforcement. The governance operating model provides the structural containers — Tenants, service catalog, lifecycle management — within which identity controls are deployed. The identity architecture provides the per-request accountability that governance alone cannot deliver. Together, they transform third-party connectivity from an accumulation of ungoverned network artifacts into a structured, identity-aware, lifecycle-managed enterprise capability.</w:t>
      </w:r>
    </w:p>
    <w:p>
      <w:pPr>
        <w:pStyle w:val="Heading1"/>
      </w:pPr>
      <w:r>
        <w:rPr>
          <w:rFonts w:ascii="Times New Roman" w:cs="Times New Roman" w:eastAsia="Times New Roman" w:hAnsi="Times New Roman"/>
          <w:b/>
          <w:bCs/>
          <w:caps/>
          <w:sz w:val="26"/>
          <w:szCs w:val="26"/>
        </w:rPr>
        <w:t xml:space="preserve">1. THE STRATEGIC PROBLEM</w:t>
      </w:r>
    </w:p>
    <w:p>
      <w:pPr>
        <w:spacing w:after="120" w:line="276" w:lineRule="exact"/>
        <w:jc w:val="both"/>
      </w:pPr>
      <w:r>
        <w:rPr>
          <w:rFonts w:ascii="Times New Roman" w:cs="Times New Roman" w:eastAsia="Times New Roman" w:hAnsi="Times New Roman"/>
          <w:sz w:val="22"/>
          <w:szCs w:val="22"/>
        </w:rPr>
        <w:t xml:space="preserve">Third-party connectivity is now a structural component of enterprise operations. Vendor integrations, partner data exchanges, SaaS extensions, and digital ecosystem interoperability have created a broad mesh of persistent connections. Each was implemented to meet a legitimate business need. Collectively, they represent an accumulation of trust relationships whose ongoing justification, ownership, and risk posture are rarely reviewed with the same rigor applied to their creation.</w:t>
      </w:r>
    </w:p>
    <w:p>
      <w:pPr>
        <w:spacing w:after="120" w:line="276" w:lineRule="exact"/>
        <w:jc w:val="both"/>
      </w:pPr>
      <w:r>
        <w:rPr>
          <w:rFonts w:ascii="Times New Roman" w:cs="Times New Roman" w:eastAsia="Times New Roman" w:hAnsi="Times New Roman"/>
          <w:sz w:val="22"/>
          <w:szCs w:val="22"/>
        </w:rPr>
        <w:t xml:space="preserve">Every third-party connection is an ongoing trust boundary between independent control domains. That boundary enables revenue and operational continuity, but it also introduces security risk, compliance obligations, audit complexity, and reputational exposure. When ownership is ambiguous and lifecycle management is informal, connectivity shifts from a deliberate business enabler to an unmanaged institutional liability. The pattern is nearly universal: connectivity grows proportionally to business ambition, while governance grows incrementally — producing structural asymmetry between exposure and accountability.</w:t>
      </w:r>
    </w:p>
    <w:p>
      <w:pPr>
        <w:spacing w:after="120" w:line="276" w:lineRule="exact"/>
        <w:jc w:val="both"/>
      </w:pPr>
      <w:r>
        <w:rPr>
          <w:rFonts w:ascii="Times New Roman" w:cs="Times New Roman" w:eastAsia="Times New Roman" w:hAnsi="Times New Roman"/>
          <w:sz w:val="22"/>
          <w:szCs w:val="22"/>
        </w:rPr>
        <w:t xml:space="preserve">Simultaneously, the enterprise identity conversation has stalled. The term "identity" compresses multiple independent technical planes — user authentication, device posture, workload identity, authorization context, and claim propagation — into a single word. When vendors or architects equate "identity-aware access" with "Zero Trust," they implicitly assert that these planes have been integrated end-to-end. In practice, that assertion holds only when applications can consume and enforce identity context at the point where actions occur. In legacy estates — monoliths, databases, operational shells — the action boundary cannot consume modern identity context. The claim collapses.</w:t>
      </w:r>
    </w:p>
    <w:p>
      <w:pPr>
        <w:spacing w:after="120" w:line="276" w:lineRule="exact"/>
        <w:jc w:val="both"/>
      </w:pPr>
      <w:r>
        <w:rPr>
          <w:rFonts w:ascii="Times New Roman" w:cs="Times New Roman" w:eastAsia="Times New Roman" w:hAnsi="Times New Roman"/>
          <w:sz w:val="22"/>
          <w:szCs w:val="22"/>
        </w:rPr>
        <w:t xml:space="preserve">ZTNA brokerage compounds this confusion. ZTNA is an access mediation pattern, typically implemented by a broker interposed between clients and applications. Brokerage is valuable: it eliminates direct inbound exposure, enforces multi-factor authentication, and centralizes access policy. But brokerage is a product category, not an architectural discipline. When backends cannot consume identity, the broker becomes the terminal trust anchor — traffic arriving from the broker is implicitly trusted, and the downstream system has no independent basis for authorization. Brokerage delivers exposure reduction; it does not, by itself, deliver identity-native enforcement.</w:t>
      </w:r>
    </w:p>
    <w:p>
      <w:pPr>
        <w:spacing w:after="120" w:line="276" w:lineRule="exact"/>
        <w:jc w:val="both"/>
      </w:pPr>
      <w:r>
        <w:rPr>
          <w:rFonts w:ascii="Times New Roman" w:cs="Times New Roman" w:eastAsia="Times New Roman" w:hAnsi="Times New Roman"/>
          <w:sz w:val="22"/>
          <w:szCs w:val="22"/>
        </w:rPr>
        <w:t xml:space="preserve">The enterprise therefore faces a dual challenge: govern connectivity accumulation while preserving business agility, and deploy identity controls progressively without overstating what brokerage alone delivers. This brief presents a unified framework that addresses both.</w:t>
      </w:r>
    </w:p>
    <w:p>
      <w:pPr>
        <w:pStyle w:val="Heading1"/>
        <w:pageBreakBefore/>
      </w:pPr>
      <w:r>
        <w:rPr>
          <w:rFonts w:ascii="Times New Roman" w:cs="Times New Roman" w:eastAsia="Times New Roman" w:hAnsi="Times New Roman"/>
          <w:b/>
          <w:bCs/>
          <w:caps/>
          <w:sz w:val="26"/>
          <w:szCs w:val="26"/>
        </w:rPr>
        <w:t xml:space="preserve">2. THE GOVERNANCE OPERATING MODEL</w:t>
      </w:r>
    </w:p>
    <w:p>
      <w:pPr>
        <w:spacing w:after="120" w:line="276" w:lineRule="exact"/>
        <w:jc w:val="both"/>
      </w:pPr>
      <w:r>
        <w:rPr>
          <w:rFonts w:ascii="Times New Roman" w:cs="Times New Roman" w:eastAsia="Times New Roman" w:hAnsi="Times New Roman"/>
          <w:sz w:val="22"/>
          <w:szCs w:val="22"/>
        </w:rPr>
        <w:t xml:space="preserve">Addressing ungoverned connectivity accumulation requires more than tighter technical controls. It requires an operating model in which third-party connectivity is defined, owned, delivered, and retired as a governed business construct.</w:t>
      </w:r>
    </w:p>
    <w:p>
      <w:pPr>
        <w:pStyle w:val="Heading2"/>
      </w:pPr>
      <w:r>
        <w:rPr>
          <w:rFonts w:ascii="Times New Roman" w:cs="Times New Roman" w:eastAsia="Times New Roman" w:hAnsi="Times New Roman"/>
          <w:b/>
          <w:bCs/>
          <w:sz w:val="22"/>
          <w:szCs w:val="22"/>
        </w:rPr>
        <w:t xml:space="preserve">From Network Task to Business Exposure Domain</w:t>
      </w:r>
    </w:p>
    <w:p>
      <w:pPr>
        <w:spacing w:after="120" w:line="276" w:lineRule="exact"/>
        <w:jc w:val="both"/>
      </w:pPr>
      <w:r>
        <w:rPr>
          <w:rFonts w:ascii="Times New Roman" w:cs="Times New Roman" w:eastAsia="Times New Roman" w:hAnsi="Times New Roman"/>
          <w:sz w:val="22"/>
          <w:szCs w:val="22"/>
        </w:rPr>
        <w:t xml:space="preserve">The foundational shift is conceptual. A third-party connection must no longer be treated as a network configuration artifact. It must be treated as a business-owned exposure domain. Accountability resides with the function that derives value from the connectivity — an application team integrating a vendor platform, an infrastructure owner providing shared capability, or a business function managing an external partnership. The accountable owner must articulate the purpose of the exposure, recognize the associated risk, and participate in lifecycle decisions. By aligning accountability with business value, exposure is no longer sustained by technical inertia alone.</w:t>
      </w:r>
    </w:p>
    <w:p>
      <w:pPr>
        <w:pStyle w:val="Heading2"/>
      </w:pPr>
      <w:r>
        <w:rPr>
          <w:rFonts w:ascii="Times New Roman" w:cs="Times New Roman" w:eastAsia="Times New Roman" w:hAnsi="Times New Roman"/>
          <w:b/>
          <w:bCs/>
          <w:sz w:val="22"/>
          <w:szCs w:val="22"/>
        </w:rPr>
        <w:t xml:space="preserve">Tenants as the Governance Anchor</w:t>
      </w:r>
    </w:p>
    <w:p>
      <w:pPr>
        <w:spacing w:after="120" w:line="276" w:lineRule="exact"/>
        <w:jc w:val="both"/>
      </w:pPr>
      <w:r>
        <w:rPr>
          <w:rFonts w:ascii="Times New Roman" w:cs="Times New Roman" w:eastAsia="Times New Roman" w:hAnsi="Times New Roman"/>
          <w:sz w:val="22"/>
          <w:szCs w:val="22"/>
        </w:rPr>
        <w:t xml:space="preserve">Each third-party relationship is operationalized as a Tenant — a discrete, governed exposure domain encapsulating the business relationship, associated applications, responsible owners, and intended scope of connectivity. The Tenant is not the tunnel or firewall rule set; it is the governance construct within which connectivity is authorized and managed. Each Tenant links to enterprise systems of record — application inventories, vendor management platforms, business capability catalogs — so that when an application is retired, a vendor relationship changes, or ownership transfers, the associated exposure can be reviewed and adjusted accordingly.</w:t>
      </w:r>
    </w:p>
    <w:p>
      <w:pPr>
        <w:pStyle w:val="Heading2"/>
      </w:pPr>
      <w:r>
        <w:rPr>
          <w:rFonts w:ascii="Times New Roman" w:cs="Times New Roman" w:eastAsia="Times New Roman" w:hAnsi="Times New Roman"/>
          <w:b/>
          <w:bCs/>
          <w:sz w:val="22"/>
          <w:szCs w:val="22"/>
        </w:rPr>
        <w:t xml:space="preserve">Structured Consumption via Service Catalog</w:t>
      </w:r>
    </w:p>
    <w:p>
      <w:pPr>
        <w:spacing w:after="120" w:line="276" w:lineRule="exact"/>
        <w:jc w:val="both"/>
      </w:pPr>
      <w:r>
        <w:rPr>
          <w:rFonts w:ascii="Times New Roman" w:cs="Times New Roman" w:eastAsia="Times New Roman" w:hAnsi="Times New Roman"/>
          <w:sz w:val="22"/>
          <w:szCs w:val="22"/>
        </w:rPr>
        <w:t xml:space="preserve">The enterprise defines a Service Catalog of approved connectivity patterns covering recurring interaction types: SaaS integration, API communication, managed file transfer, web application access, and controlled remote desktop. Each pattern embeds required governance and security controls — inspection standards, logging requirements, identity enforcement, containment posture — as intrinsic properties. Business owners select catalog capabilities aligned to their declared need. They do not design network topologies or negotiate security requirements per request. Structured consumption preserves flexibility while eliminating bespoke implementations that erode consistency.</w:t>
      </w:r>
    </w:p>
    <w:p>
      <w:pPr>
        <w:pStyle w:val="Heading2"/>
      </w:pPr>
      <w:r>
        <w:rPr>
          <w:rFonts w:ascii="Times New Roman" w:cs="Times New Roman" w:eastAsia="Times New Roman" w:hAnsi="Times New Roman"/>
          <w:b/>
          <w:bCs/>
          <w:sz w:val="22"/>
          <w:szCs w:val="22"/>
        </w:rPr>
        <w:t xml:space="preserve">Product-Agnostic Self-Service Portal</w:t>
      </w:r>
    </w:p>
    <w:p>
      <w:pPr>
        <w:spacing w:after="120" w:line="276" w:lineRule="exact"/>
        <w:jc w:val="both"/>
      </w:pPr>
      <w:r>
        <w:rPr>
          <w:rFonts w:ascii="Times New Roman" w:cs="Times New Roman" w:eastAsia="Times New Roman" w:hAnsi="Times New Roman"/>
          <w:sz w:val="22"/>
          <w:szCs w:val="22"/>
        </w:rPr>
        <w:t xml:space="preserve">Delivery occurs through an abstracted, product-agnostic self-service portal that surfaces governance constructs rather than infrastructure primitives. Through this interface, owners define Tenants and their purpose, associate them with enterprise inventory records, select service capabilities from the catalog, declare lifecycle attributes, and submit requests for governance validation. The portal is deliberately decoupled from the underlying platform: its contracts are stable business constructs — Tenant definition, catalog selection, lifecycle attributes — not tunnel configuration or firewall logic. This separation enables platform teams to refactor, enhance, and extend the underlying technology without altering the business interface. New technical capabilities are introduced as catalog offerings while governance workflows remain unchanged.</w:t>
      </w:r>
    </w:p>
    <w:p>
      <w:pPr>
        <w:pStyle w:val="Heading2"/>
      </w:pPr>
      <w:r>
        <w:rPr>
          <w:rFonts w:ascii="Times New Roman" w:cs="Times New Roman" w:eastAsia="Times New Roman" w:hAnsi="Times New Roman"/>
          <w:b/>
          <w:bCs/>
          <w:sz w:val="22"/>
          <w:szCs w:val="22"/>
        </w:rPr>
        <w:t xml:space="preserve">Embedded Lifecycle Management</w:t>
      </w:r>
    </w:p>
    <w:p>
      <w:pPr>
        <w:spacing w:after="120" w:line="276" w:lineRule="exact"/>
        <w:jc w:val="both"/>
      </w:pPr>
      <w:r>
        <w:rPr>
          <w:rFonts w:ascii="Times New Roman" w:cs="Times New Roman" w:eastAsia="Times New Roman" w:hAnsi="Times New Roman"/>
          <w:sz w:val="22"/>
          <w:szCs w:val="22"/>
        </w:rPr>
        <w:t xml:space="preserve">Every Tenant is created with a defined duration or explicit review schedule. Prior to expiration, the owner must re-attest that the exposure remains necessary and that its value continues to justify its risk. If renewal does not occur, the exposure is suspended or retired in a controlled, auditable manner. This transforms removal from a disruptive event into a managed process and directly addresses the systemic accumulation of unmanaged connectivity.</w:t>
      </w:r>
    </w:p>
    <w:p>
      <w:pPr>
        <w:spacing w:after="80" w:before="120"/>
        <w:jc w:val="center"/>
      </w:pPr>
      <w:r>
        <w:rPr>
          <w:rFonts w:ascii="Times New Roman" w:cs="Times New Roman" w:eastAsia="Times New Roman" w:hAnsi="Times New Roman"/>
          <w:i/>
          <w:iCs/>
          <w:sz w:val="20"/>
          <w:szCs w:val="20"/>
        </w:rPr>
        <w:t xml:space="preserve">Table 1. Operating Model Components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3364"/>
        <w:gridCol w:w="3364"/>
      </w:tblGrid>
      <w:tr>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Component</w:t>
            </w:r>
          </w:p>
        </w:tc>
        <w:tc>
          <w:tcPr>
            <w:tcW w:type="dxa" w:w="33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Purpose</w:t>
            </w:r>
          </w:p>
        </w:tc>
        <w:tc>
          <w:tcPr>
            <w:tcW w:type="dxa" w:w="33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Key Benefit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Exposure Domain</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Reframe connectivity as a business-owned construct with named accountability</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Eliminates ownership ambiguity; aligns risk with value</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Tenant</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Discrete governance anchor per third-party relationship with declared scope</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Structural boundary for isolation, audit, and lifecycle</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Service Catalog</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Standardized connectivity patterns with embedded security controls</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Consistency across implementations; no bespoke exceptions</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Self-Service Portal</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Product-agnostic interface decoupled from underlying platform</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Business stability during technology evolution</w:t>
            </w:r>
          </w:p>
        </w:tc>
      </w:tr>
      <w:tr>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Lifecycle Management</w:t>
            </w:r>
          </w:p>
        </w:tc>
        <w:tc>
          <w:tcPr>
            <w:tcW w:type="dxa" w:w="33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Mandatory expiration, review, and re-attestation for every Tenant</w:t>
            </w:r>
          </w:p>
        </w:tc>
        <w:tc>
          <w:tcPr>
            <w:tcW w:type="dxa" w:w="33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Prevents connectivity accumulation; enables reversibility</w:t>
            </w:r>
          </w:p>
        </w:tc>
      </w:tr>
    </w:tbl>
    <w:p>
      <w:pPr>
        <w:spacing w:after="120"/>
      </w:pPr>
    </w:p>
    <w:p>
      <w:pPr>
        <w:pStyle w:val="Heading1"/>
        <w:pageBreakBefore/>
      </w:pPr>
      <w:r>
        <w:rPr>
          <w:rFonts w:ascii="Times New Roman" w:cs="Times New Roman" w:eastAsia="Times New Roman" w:hAnsi="Times New Roman"/>
          <w:b/>
          <w:bCs/>
          <w:caps/>
          <w:sz w:val="26"/>
          <w:szCs w:val="26"/>
        </w:rPr>
        <w:t xml:space="preserve">3. THE GOVERNED EXPOSURE ARCHITECTURE</w:t>
      </w:r>
    </w:p>
    <w:p>
      <w:pPr>
        <w:spacing w:after="120" w:line="276" w:lineRule="exact"/>
        <w:jc w:val="both"/>
      </w:pPr>
      <w:r>
        <w:rPr>
          <w:rFonts w:ascii="Times New Roman" w:cs="Times New Roman" w:eastAsia="Times New Roman" w:hAnsi="Times New Roman"/>
          <w:sz w:val="22"/>
          <w:szCs w:val="22"/>
        </w:rPr>
        <w:t xml:space="preserve">The governance operating model establishes that third-party connectivity must be business-owned, catalog-delivered, and lifecycle-enforced. The technical architecture translates these principles into enforceable system behavior. The following capabilities collectively transform the connectivity platform from a collection of tunnels and firewall rules into governed exposure infrastructure.</w:t>
      </w:r>
    </w:p>
    <w:p>
      <w:pPr>
        <w:spacing w:after="80" w:before="120"/>
        <w:jc w:val="center"/>
      </w:pPr>
      <w:r>
        <w:rPr>
          <w:rFonts w:ascii="Times New Roman" w:cs="Times New Roman" w:eastAsia="Times New Roman" w:hAnsi="Times New Roman"/>
          <w:i/>
          <w:iCs/>
          <w:sz w:val="20"/>
          <w:szCs w:val="20"/>
        </w:rPr>
        <w:t xml:space="preserve">Table 2. Architectural Capabilities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100"/>
        <w:gridCol w:w="3414"/>
        <w:gridCol w:w="3414"/>
      </w:tblGrid>
      <w:tr>
        <w:tc>
          <w:tcPr>
            <w:tcW w:type="dxa" w:w="21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Architectural Capability</w:t>
            </w:r>
          </w:p>
        </w:tc>
        <w:tc>
          <w:tcPr>
            <w:tcW w:type="dxa" w:w="341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What It Ensures</w:t>
            </w:r>
          </w:p>
        </w:tc>
        <w:tc>
          <w:tcPr>
            <w:tcW w:type="dxa" w:w="341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Risk It Addresses</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Structural Tenant Isolation</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Each Tenant operates in a bounded routing and forwarding context; no implicit adjacency between Tenants or to internal systems</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Lateral movement between third parties; trust propagation through shared infrastructure</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Controlled Secure Transport</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Encrypted transport bound to Tenant context; route advertisement constrained to declared endpoints</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Scope creep through tunnel reuse; encryption conflated with unrestricted trust</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Mediated Service Exposure</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Enforcement layers interposed between external actors and internal capabilities; service adjacency replaces network adjacency</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Lateral exploration of internal networks; pivot from authorized service to unauthorized hosts</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Identity-Bound Access Control</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Access decisions anchored in authenticated identity scoped to Tenant context</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IP-based trust assumptions; inability to attribute actions to actors</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Deterministic Visibility</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Policy-driven inspection at defined control points inside exposure boundaries</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Ad hoc inspection gaps; inability to detect anomalous behavior within Tenant scope</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Lifecycle Automation and Reversibility</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Automated provisioning, suspension, and teardown from authoritative configuration state; no residual artifacts</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Orphaned tunnels; residual firewall rules; persistent trust after business termination</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Guardrail-Enforced Extensibility</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New capabilities inherit Tenant isolation, lifecycle control, and enforcement semantics</w:t>
            </w:r>
          </w:p>
        </w:tc>
        <w:tc>
          <w:tcPr>
            <w:tcW w:type="dxa" w:w="34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Extensions bypassing containment; governance erosion through platform evolution</w:t>
            </w:r>
          </w:p>
        </w:tc>
      </w:tr>
      <w:tr>
        <w:tc>
          <w:tcPr>
            <w:tcW w:type="dxa" w:w="21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Administrative Separation</w:t>
            </w:r>
          </w:p>
        </w:tc>
        <w:tc>
          <w:tcPr>
            <w:tcW w:type="dxa" w:w="341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Management and orchestration planes segregated from Tenant data paths</w:t>
            </w:r>
          </w:p>
        </w:tc>
        <w:tc>
          <w:tcPr>
            <w:tcW w:type="dxa" w:w="341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Tenant compromise escalating to control-plane compromise</w:t>
            </w:r>
          </w:p>
        </w:tc>
      </w:tr>
    </w:tbl>
    <w:p>
      <w:pPr>
        <w:spacing w:after="120"/>
      </w:pPr>
    </w:p>
    <w:p>
      <w:pPr>
        <w:spacing w:after="120" w:line="276" w:lineRule="exact"/>
        <w:jc w:val="both"/>
      </w:pPr>
      <w:r>
        <w:rPr>
          <w:rFonts w:ascii="Times New Roman" w:cs="Times New Roman" w:eastAsia="Times New Roman" w:hAnsi="Times New Roman"/>
          <w:sz w:val="22"/>
          <w:szCs w:val="22"/>
        </w:rPr>
        <w:t xml:space="preserve">These capabilities are mutually reinforcing. Isolation constrains trust propagation, transport supports only declared services, mediation limits scope, identity anchors accountability, inspection enables transparency, lifecycle automation prevents accumulation, extensibility preserves adaptability, and administrative separation protects the control plane. The product-agnostic separation between portal and platform ensures that technical evolution — new mediation patterns, transport technologies, or enforcement mechanisms — is introduced as catalog offerings without changing how the business governs connectivity.</w:t>
      </w:r>
    </w:p>
    <w:p>
      <w:pPr>
        <w:pStyle w:val="Heading1"/>
        <w:pageBreakBefore/>
      </w:pPr>
      <w:r>
        <w:rPr>
          <w:rFonts w:ascii="Times New Roman" w:cs="Times New Roman" w:eastAsia="Times New Roman" w:hAnsi="Times New Roman"/>
          <w:b/>
          <w:bCs/>
          <w:caps/>
          <w:sz w:val="26"/>
          <w:szCs w:val="26"/>
        </w:rPr>
        <w:t xml:space="preserve">4. THE IDENTITY ARCHITECTURE</w:t>
      </w:r>
    </w:p>
    <w:p>
      <w:pPr>
        <w:spacing w:after="120" w:line="276" w:lineRule="exact"/>
        <w:jc w:val="both"/>
      </w:pPr>
      <w:r>
        <w:rPr>
          <w:rFonts w:ascii="Times New Roman" w:cs="Times New Roman" w:eastAsia="Times New Roman" w:hAnsi="Times New Roman"/>
          <w:sz w:val="22"/>
          <w:szCs w:val="22"/>
        </w:rPr>
        <w:t xml:space="preserve">The governed exposure architecture establishes structural containment. The identity architecture determines whether the governance model's intent is carried through to the point where actions actually occur — inside applications, at API boundaries, and at data layers. Identity is not a single artifact. It decomposes into independently complex primitives, each with distinct capabilities and limitations.</w:t>
      </w:r>
    </w:p>
    <w:p>
      <w:pPr>
        <w:pStyle w:val="Heading2"/>
      </w:pPr>
      <w:r>
        <w:rPr>
          <w:rFonts w:ascii="Times New Roman" w:cs="Times New Roman" w:eastAsia="Times New Roman" w:hAnsi="Times New Roman"/>
          <w:b/>
          <w:bCs/>
          <w:sz w:val="22"/>
          <w:szCs w:val="22"/>
        </w:rPr>
        <w:t xml:space="preserve">Identity Issuance and Consumption</w:t>
      </w:r>
    </w:p>
    <w:p>
      <w:pPr>
        <w:spacing w:after="120" w:line="276" w:lineRule="exact"/>
        <w:jc w:val="both"/>
      </w:pPr>
      <w:r>
        <w:rPr>
          <w:rFonts w:ascii="Times New Roman" w:cs="Times New Roman" w:eastAsia="Times New Roman" w:hAnsi="Times New Roman"/>
          <w:sz w:val="22"/>
          <w:szCs w:val="22"/>
        </w:rPr>
        <w:t xml:space="preserve">Identity issuance answers who is asserting identity and under what conditions. Identity consumption answers where that identity is evaluated to permit or deny a specific action. Issuance commonly occurs at an Identity Provider through OIDC or SAML. Consumption must occur at the application boundary where authorization decisions are meaningful. A token that is issued but never consumed downstream is not an access control — it is an unutilized assertion.</w:t>
      </w:r>
    </w:p>
    <w:p>
      <w:pPr>
        <w:pStyle w:val="Heading2"/>
      </w:pPr>
      <w:r>
        <w:rPr>
          <w:rFonts w:ascii="Times New Roman" w:cs="Times New Roman" w:eastAsia="Times New Roman" w:hAnsi="Times New Roman"/>
          <w:b/>
          <w:bCs/>
          <w:sz w:val="22"/>
          <w:szCs w:val="22"/>
        </w:rPr>
        <w:t xml:space="preserve">JWT: Portable Claims, Conditional Value</w:t>
      </w:r>
    </w:p>
    <w:p>
      <w:pPr>
        <w:spacing w:after="120" w:line="276" w:lineRule="exact"/>
        <w:jc w:val="both"/>
      </w:pPr>
      <w:r>
        <w:rPr>
          <w:rFonts w:ascii="Times New Roman" w:cs="Times New Roman" w:eastAsia="Times New Roman" w:hAnsi="Times New Roman"/>
          <w:sz w:val="22"/>
          <w:szCs w:val="22"/>
        </w:rPr>
        <w:t xml:space="preserve">JSON Web Tokens are claim transport artifacts — signed statements carrying subject, audience, scopes, groups, and risk markers. JWT enables applications and gateways to validate user claims without re-contacting the Identity Provider on every request. However, JWT contributes to security only if the consumer validates signature, issuer, audience, expiration, and authorization semantics. A JWT passed through systems that do not validate it is not an enforcement primitive. Furthermore, audience restriction is the critical boundary between a token and a bearer credential: without it, any tier holding the token can replay it elsewhere.</w:t>
      </w:r>
    </w:p>
    <w:p>
      <w:pPr>
        <w:pStyle w:val="Heading2"/>
      </w:pPr>
      <w:r>
        <w:rPr>
          <w:rFonts w:ascii="Times New Roman" w:cs="Times New Roman" w:eastAsia="Times New Roman" w:hAnsi="Times New Roman"/>
          <w:b/>
          <w:bCs/>
          <w:sz w:val="22"/>
          <w:szCs w:val="22"/>
        </w:rPr>
        <w:t xml:space="preserve">mTLS: Workload Authenticity, Not Business Context</w:t>
      </w:r>
    </w:p>
    <w:p>
      <w:pPr>
        <w:spacing w:after="120" w:line="276" w:lineRule="exact"/>
        <w:jc w:val="both"/>
      </w:pPr>
      <w:r>
        <w:rPr>
          <w:rFonts w:ascii="Times New Roman" w:cs="Times New Roman" w:eastAsia="Times New Roman" w:hAnsi="Times New Roman"/>
          <w:sz w:val="22"/>
          <w:szCs w:val="22"/>
        </w:rPr>
        <w:t xml:space="preserve">Mutual TLS binds a connection to cryptographic identity anchored in a certificate authority. It prevents endpoint impersonation, provides channel confidentiality and integrity, and supports workload-level authentication. This is foundational for service-to-service trust and partner system authentication. However, mTLS does not inherently carry dynamic authorization context — roles, scopes, step-up state, or risk signals. JWT and mTLS are orthogonal layers: JWT helps a service reason about user context; mTLS helps a service reason about the calling workload's authenticity. They are complementary, not interchangeable. The operational cost center for mTLS is lifecycle management — issuance automation, rotation, revocation, trust bundle distribution — not cryptography.</w:t>
      </w:r>
    </w:p>
    <w:p>
      <w:pPr>
        <w:pStyle w:val="Heading2"/>
      </w:pPr>
      <w:r>
        <w:rPr>
          <w:rFonts w:ascii="Times New Roman" w:cs="Times New Roman" w:eastAsia="Times New Roman" w:hAnsi="Times New Roman"/>
          <w:b/>
          <w:bCs/>
          <w:sz w:val="22"/>
          <w:szCs w:val="22"/>
        </w:rPr>
        <w:t xml:space="preserve">Authorization: Where Zero Trust Becomes Real</w:t>
      </w:r>
    </w:p>
    <w:p>
      <w:pPr>
        <w:spacing w:after="120" w:line="276" w:lineRule="exact"/>
        <w:jc w:val="both"/>
      </w:pPr>
      <w:r>
        <w:rPr>
          <w:rFonts w:ascii="Times New Roman" w:cs="Times New Roman" w:eastAsia="Times New Roman" w:hAnsi="Times New Roman"/>
          <w:sz w:val="22"/>
          <w:szCs w:val="22"/>
        </w:rPr>
        <w:t xml:space="preserve">Authorization is the evaluation function that takes identity, action, and context as inputs and returns allow, deny, step-up, or log. Transport mechanisms establish who is communicating; they do not interpret what is being done. Intent — the specific operation attempted — is an application-layer concept: HTTP method plus path plus payload, SQL statement category, SSH command class. Any claim that a transport control "enforces intent" is a category error. Without observable action at the enforcement point and a deterministic policy to evaluate, authorization degrades into coarse session-level trust or static perimeter rules.</w:t>
      </w:r>
    </w:p>
    <w:p>
      <w:pPr>
        <w:pStyle w:val="Heading2"/>
      </w:pPr>
      <w:r>
        <w:rPr>
          <w:rFonts w:ascii="Times New Roman" w:cs="Times New Roman" w:eastAsia="Times New Roman" w:hAnsi="Times New Roman"/>
          <w:b/>
          <w:bCs/>
          <w:sz w:val="22"/>
          <w:szCs w:val="22"/>
        </w:rPr>
        <w:t xml:space="preserve">Identity Propagation: The Critical Gap</w:t>
      </w:r>
    </w:p>
    <w:p>
      <w:pPr>
        <w:spacing w:after="120" w:line="276" w:lineRule="exact"/>
        <w:jc w:val="both"/>
      </w:pPr>
      <w:r>
        <w:rPr>
          <w:rFonts w:ascii="Times New Roman" w:cs="Times New Roman" w:eastAsia="Times New Roman" w:hAnsi="Times New Roman"/>
          <w:sz w:val="22"/>
          <w:szCs w:val="22"/>
        </w:rPr>
        <w:t xml:space="preserve">If identity terminates at ingress — at the broker or load balancer — downstream tiers operate on service identity or shared accounts. This eliminates per-tier accountability and prevents least privilege at data and middleware layers. Identity propagation is the mechanism that keeps user identity available across tiers so that policies can be applied where the sensitive action occurs. In ZT-native estates, propagation is explicit: every tier validates and logs identity, and databases can leverage session identity for row-level security. In legacy estates, propagation often stops at the broker; databases see only service accounts; logs cannot attribute actions to users without correlation reconstruction.</w:t>
      </w:r>
    </w:p>
    <w:p>
      <w:pPr>
        <w:spacing w:after="80" w:before="120"/>
        <w:jc w:val="center"/>
      </w:pPr>
      <w:r>
        <w:rPr>
          <w:rFonts w:ascii="Times New Roman" w:cs="Times New Roman" w:eastAsia="Times New Roman" w:hAnsi="Times New Roman"/>
          <w:i/>
          <w:iCs/>
          <w:sz w:val="20"/>
          <w:szCs w:val="20"/>
        </w:rPr>
        <w:t xml:space="preserve">Table 3. Identity Primitives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000"/>
        <w:gridCol w:w="3464"/>
        <w:gridCol w:w="3464"/>
      </w:tblGrid>
      <w:tr>
        <w:tc>
          <w:tcPr>
            <w:tcW w:type="dxa" w:w="20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Identity Primitive</w:t>
            </w:r>
          </w:p>
        </w:tc>
        <w:tc>
          <w:tcPr>
            <w:tcW w:type="dxa" w:w="34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What It Provides</w:t>
            </w:r>
          </w:p>
        </w:tc>
        <w:tc>
          <w:tcPr>
            <w:tcW w:type="dxa" w:w="34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What It Does Not Provide</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JWT</w:t>
            </w:r>
          </w:p>
        </w:tc>
        <w:tc>
          <w:tcPr>
            <w:tcW w:type="dxa" w:w="34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Portable, signed user claims (subject, scopes, groups, risk); downstream validation without IdP round-trip</w:t>
            </w:r>
          </w:p>
        </w:tc>
        <w:tc>
          <w:tcPr>
            <w:tcW w:type="dxa" w:w="34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Workload authenticity; channel encryption; enforcement unless actively validated by the consumer</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mTLS</w:t>
            </w:r>
          </w:p>
        </w:tc>
        <w:tc>
          <w:tcPr>
            <w:tcW w:type="dxa" w:w="34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Cryptographic workload authentication; channel confidentiality and integrity; impersonation prevention</w:t>
            </w:r>
          </w:p>
        </w:tc>
        <w:tc>
          <w:tcPr>
            <w:tcW w:type="dxa" w:w="34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Dynamic user claims; business authorization context; intent awareness</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Brokerage</w:t>
            </w:r>
          </w:p>
        </w:tc>
        <w:tc>
          <w:tcPr>
            <w:tcW w:type="dxa" w:w="34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Exposure reduction; centralized authentication and MFA; policy-based access mediation</w:t>
            </w:r>
          </w:p>
        </w:tc>
        <w:tc>
          <w:tcPr>
            <w:tcW w:type="dxa" w:w="34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Downstream identity propagation; per-tier authorization; application-layer intent enforcement</w:t>
            </w:r>
          </w:p>
        </w:tc>
      </w:tr>
      <w:tr>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Identity Propagation</w:t>
            </w:r>
          </w:p>
        </w:tc>
        <w:tc>
          <w:tcPr>
            <w:tcW w:type="dxa" w:w="34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Per-tier user accountability; token exchange per hop; database-level identity for row-level security</w:t>
            </w:r>
          </w:p>
        </w:tc>
        <w:tc>
          <w:tcPr>
            <w:tcW w:type="dxa" w:w="34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Value without application support; coverage in legacy estates without modernization investment</w:t>
            </w:r>
          </w:p>
        </w:tc>
      </w:tr>
    </w:tbl>
    <w:p>
      <w:pPr>
        <w:spacing w:after="120"/>
      </w:pPr>
    </w:p>
    <w:p>
      <w:pPr>
        <w:spacing w:after="120" w:line="276" w:lineRule="exact"/>
        <w:jc w:val="both"/>
      </w:pPr>
      <w:r>
        <w:rPr>
          <w:rFonts w:ascii="Times New Roman" w:cs="Times New Roman" w:eastAsia="Times New Roman" w:hAnsi="Times New Roman"/>
          <w:sz w:val="22"/>
          <w:szCs w:val="22"/>
        </w:rPr>
        <w:t xml:space="preserve">The ZT-native versus legacy split is the central axis of feasibility. In a ZT-native estate, applications consume identity claims, enforce per-request authorization, and propagate identity to downstream tiers. In a legacy estate, applications assume network location trust, rely on coarse session semantics, and use shared service accounts. Many Zero Trust initiatives fail because they assume a ZT-native control model while operating in a legacy substrate.</w:t>
      </w:r>
    </w:p>
    <w:p>
      <w:pPr>
        <w:pStyle w:val="Heading1"/>
        <w:pageBreakBefore/>
      </w:pPr>
      <w:r>
        <w:rPr>
          <w:rFonts w:ascii="Times New Roman" w:cs="Times New Roman" w:eastAsia="Times New Roman" w:hAnsi="Times New Roman"/>
          <w:b/>
          <w:bCs/>
          <w:caps/>
          <w:sz w:val="26"/>
          <w:szCs w:val="26"/>
        </w:rPr>
        <w:t xml:space="preserve">5. BROKERAGE MODELS AND THE GOVERNED CONNECTIVITY INTERSECTION</w:t>
      </w:r>
    </w:p>
    <w:p>
      <w:pPr>
        <w:spacing w:after="120" w:line="276" w:lineRule="exact"/>
        <w:jc w:val="both"/>
      </w:pPr>
      <w:r>
        <w:rPr>
          <w:rFonts w:ascii="Times New Roman" w:cs="Times New Roman" w:eastAsia="Times New Roman" w:hAnsi="Times New Roman"/>
          <w:sz w:val="22"/>
          <w:szCs w:val="22"/>
        </w:rPr>
        <w:t xml:space="preserve">Brokerage is effective at reducing exposure. It removes inbound attack surface, eliminates direct reachability, enforces multi-factor authentication, and centralizes access policy. These are tangible improvements over VPN-based network-level access with broad lateral reach. However, when backends cannot consume identity, the broker becomes the implicit trust anchor: traffic arriving from the broker is trusted because it comes from the broker. This is a different security model than identity-native enforcement. The residual risk is dominated by broker compromise, misconfiguration, or over-broad broker-to-backend privileges.</w:t>
      </w:r>
    </w:p>
    <w:p>
      <w:pPr>
        <w:pStyle w:val="Heading2"/>
      </w:pPr>
      <w:r>
        <w:rPr>
          <w:rFonts w:ascii="Times New Roman" w:cs="Times New Roman" w:eastAsia="Times New Roman" w:hAnsi="Times New Roman"/>
          <w:b/>
          <w:bCs/>
          <w:sz w:val="22"/>
          <w:szCs w:val="22"/>
        </w:rPr>
        <w:t xml:space="preserve">Private-to-Private: The Hardest Case</w:t>
      </w:r>
    </w:p>
    <w:p>
      <w:pPr>
        <w:spacing w:after="120" w:line="276" w:lineRule="exact"/>
        <w:jc w:val="both"/>
      </w:pPr>
      <w:r>
        <w:rPr>
          <w:rFonts w:ascii="Times New Roman" w:cs="Times New Roman" w:eastAsia="Times New Roman" w:hAnsi="Times New Roman"/>
          <w:sz w:val="22"/>
          <w:szCs w:val="22"/>
        </w:rPr>
        <w:t xml:space="preserve">Private-to-private integrations — enterprise-to-enterprise machine connectivity — break common ZTNA assumptions. These integrations often require bi-directional connectivity, long-lived sessions, and non-HTTP protocols. They rely on IP allowlists, static API keys, or shared credentials. Third parties may not adopt your Identity Provider, token formats, or certificate authorities. The defensible baseline is to treat each integration as its own security domain with explicit trust contracts: mTLS with mutual authentication for machine integrations, brokerage with IdP federation for human access, and scoped network paths with protocol-aware inspection for both.</w:t>
      </w:r>
    </w:p>
    <w:p>
      <w:pPr>
        <w:pStyle w:val="Heading2"/>
      </w:pPr>
      <w:r>
        <w:rPr>
          <w:rFonts w:ascii="Times New Roman" w:cs="Times New Roman" w:eastAsia="Times New Roman" w:hAnsi="Times New Roman"/>
          <w:b/>
          <w:bCs/>
          <w:sz w:val="22"/>
          <w:szCs w:val="22"/>
        </w:rPr>
        <w:t xml:space="preserve">Comparative Positioning</w:t>
      </w:r>
    </w:p>
    <w:p>
      <w:pPr>
        <w:spacing w:after="120" w:line="276" w:lineRule="exact"/>
        <w:jc w:val="both"/>
      </w:pPr>
      <w:r>
        <w:rPr>
          <w:rFonts w:ascii="Times New Roman" w:cs="Times New Roman" w:eastAsia="Times New Roman" w:hAnsi="Times New Roman"/>
          <w:sz w:val="22"/>
          <w:szCs w:val="22"/>
        </w:rPr>
        <w:t xml:space="preserve">ZTNA addresses user-to-application ingress through authentication strength and exposure reduction, but does not deliver intra-application least privilege unless identity propagates downstream. Microsegmentation constrains east-west connectivity at the network plane, reducing lateral movement even for legacy systems, but enforces connectivity rather than intent. SASE/SSE centralizes policy enforcement in cloud-delivered services, improving user-to-internet and user-to-SaaS controls, but does not solve private-to-private or non-HTTP legacy protocol challenges. None of these models alone delivers end-to-end identity-native enforcement. They are complementary controls, each valuable within its scope, each incomplete in isolation.</w:t>
      </w:r>
    </w:p>
    <w:p>
      <w:pPr>
        <w:pStyle w:val="Heading2"/>
      </w:pPr>
      <w:r>
        <w:rPr>
          <w:rFonts w:ascii="Times New Roman" w:cs="Times New Roman" w:eastAsia="Times New Roman" w:hAnsi="Times New Roman"/>
          <w:b/>
          <w:bCs/>
          <w:sz w:val="22"/>
          <w:szCs w:val="22"/>
        </w:rPr>
        <w:t xml:space="preserve">Tenant Model as Security Domain</w:t>
      </w:r>
    </w:p>
    <w:p>
      <w:pPr>
        <w:spacing w:after="120" w:line="276" w:lineRule="exact"/>
        <w:jc w:val="both"/>
      </w:pPr>
      <w:r>
        <w:rPr>
          <w:rFonts w:ascii="Times New Roman" w:cs="Times New Roman" w:eastAsia="Times New Roman" w:hAnsi="Times New Roman"/>
          <w:sz w:val="22"/>
          <w:szCs w:val="22"/>
        </w:rPr>
        <w:t xml:space="preserve">The Tenant model from the governance framework maps directly to each third-party integration. Every partner, vendor, or external system relationship is its own governed exposure domain — structurally isolated, service-catalog-constrained, lifecycle-managed, and identity-bound. The Tenant provides the structural container; identity controls provide the enforcement mechanics within it. This is the intersection where governed connectivity and identity-driven Zero Trust converge.</w:t>
      </w:r>
    </w:p>
    <w:p>
      <w:pPr>
        <w:pStyle w:val="Heading1"/>
        <w:pageBreakBefore/>
      </w:pPr>
      <w:r>
        <w:rPr>
          <w:rFonts w:ascii="Times New Roman" w:cs="Times New Roman" w:eastAsia="Times New Roman" w:hAnsi="Times New Roman"/>
          <w:b/>
          <w:bCs/>
          <w:caps/>
          <w:sz w:val="26"/>
          <w:szCs w:val="26"/>
        </w:rPr>
        <w:t xml:space="preserve">6. PROGRESSIVE IMPLEMENTATION</w:t>
      </w:r>
    </w:p>
    <w:p>
      <w:pPr>
        <w:spacing w:after="120" w:line="276" w:lineRule="exact"/>
        <w:jc w:val="both"/>
      </w:pPr>
      <w:r>
        <w:rPr>
          <w:rFonts w:ascii="Times New Roman" w:cs="Times New Roman" w:eastAsia="Times New Roman" w:hAnsi="Times New Roman"/>
          <w:sz w:val="22"/>
          <w:szCs w:val="22"/>
        </w:rPr>
        <w:t xml:space="preserve">Neither the governance model nor the identity architecture requires a single-cutover transformation. The following five-phase progression delivers measurable risk reduction at each stage, with later phases building on the assurance established by earlier ones.</w:t>
      </w:r>
    </w:p>
    <w:p>
      <w:pPr>
        <w:spacing w:after="80" w:before="120"/>
        <w:jc w:val="center"/>
      </w:pPr>
      <w:r>
        <w:rPr>
          <w:rFonts w:ascii="Times New Roman" w:cs="Times New Roman" w:eastAsia="Times New Roman" w:hAnsi="Times New Roman"/>
          <w:i/>
          <w:iCs/>
          <w:sz w:val="20"/>
          <w:szCs w:val="20"/>
        </w:rPr>
        <w:t xml:space="preserve">Table 4. Progressive Implementation Phases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114"/>
        <w:gridCol w:w="3114"/>
      </w:tblGrid>
      <w:tr>
        <w:tc>
          <w:tcPr>
            <w:tcW w:type="dxa" w:w="9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Phase</w:t>
            </w:r>
          </w:p>
        </w:tc>
        <w:tc>
          <w:tcPr>
            <w:tcW w:type="dxa" w:w="1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Focus</w:t>
            </w:r>
          </w:p>
        </w:tc>
        <w:tc>
          <w:tcPr>
            <w:tcW w:type="dxa" w:w="311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Key Outcomes</w:t>
            </w:r>
          </w:p>
        </w:tc>
        <w:tc>
          <w:tcPr>
            <w:tcW w:type="dxa" w:w="311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Metrics</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Boundary Hardening</w:t>
            </w:r>
          </w:p>
        </w:tc>
        <w:tc>
          <w:tcPr>
            <w:tcW w:type="dxa" w:w="3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Eliminate broad VPN access; centralized authentication; baseline telemetry; initial Tenant definition</w:t>
            </w:r>
          </w:p>
        </w:tc>
        <w:tc>
          <w:tcPr>
            <w:tcW w:type="dxa" w:w="3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Exposed services count; VPN routes reduced; MFA coverage; time-to-revoke</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Brokered Identity</w:t>
            </w:r>
          </w:p>
        </w:tc>
        <w:tc>
          <w:tcPr>
            <w:tcW w:type="dxa" w:w="3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Enforce identity at ingress with device posture; consolidate remote access; session logging for admin access</w:t>
            </w:r>
          </w:p>
        </w:tc>
        <w:tc>
          <w:tcPr>
            <w:tcW w:type="dxa" w:w="3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 apps behind broker; direct admin entry points eliminated; session recording coverage</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3</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Workload Identity</w:t>
            </w:r>
          </w:p>
        </w:tc>
        <w:tc>
          <w:tcPr>
            <w:tcW w:type="dxa" w:w="3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mTLS for critical integrations and third-party machine connections; automated certificate lifecycle</w:t>
            </w:r>
          </w:p>
        </w:tc>
        <w:tc>
          <w:tcPr>
            <w:tcW w:type="dxa" w:w="3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 critical links on mTLS; rotation frequency; certificate issuance latency</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Application Modernization</w:t>
            </w:r>
          </w:p>
        </w:tc>
        <w:tc>
          <w:tcPr>
            <w:tcW w:type="dxa" w:w="3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Gateway-level token validation; per-request authorization for high-value actions; shared credential reduction</w:t>
            </w:r>
          </w:p>
        </w:tc>
        <w:tc>
          <w:tcPr>
            <w:tcW w:type="dxa" w:w="3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Services validating JWT; authorization decision coverage; shared credentials reduced</w:t>
            </w:r>
          </w:p>
        </w:tc>
      </w:tr>
      <w:tr>
        <w:tc>
          <w:tcPr>
            <w:tcW w:type="dxa" w:w="9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5</w:t>
            </w:r>
          </w:p>
        </w:tc>
        <w:tc>
          <w:tcPr>
            <w:tcW w:type="dxa" w:w="1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Identity-Native Enforcement</w:t>
            </w:r>
          </w:p>
        </w:tc>
        <w:tc>
          <w:tcPr>
            <w:tcW w:type="dxa" w:w="311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Per-tier identity propagation; token exchange per hop; policy-as-code; automated policy testing</w:t>
            </w:r>
          </w:p>
        </w:tc>
        <w:tc>
          <w:tcPr>
            <w:tcW w:type="dxa" w:w="311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sz w:val="19"/>
                <w:szCs w:val="19"/>
              </w:rPr>
              <w:t xml:space="preserve">Enforcement coverage per tier; policy change failure rate; least-privilege score</w:t>
            </w:r>
          </w:p>
        </w:tc>
      </w:tr>
    </w:tbl>
    <w:p>
      <w:pPr>
        <w:spacing w:after="120"/>
      </w:pPr>
    </w:p>
    <w:p>
      <w:pPr>
        <w:spacing w:after="120" w:line="276" w:lineRule="exact"/>
        <w:jc w:val="both"/>
      </w:pPr>
      <w:r>
        <w:rPr>
          <w:rFonts w:ascii="Times New Roman" w:cs="Times New Roman" w:eastAsia="Times New Roman" w:hAnsi="Times New Roman"/>
          <w:sz w:val="22"/>
          <w:szCs w:val="22"/>
        </w:rPr>
        <w:t xml:space="preserve">This is not a single transformation. Each phase delivers independently measurable risk reduction. Phases 1 and 2 correspond to establishing the governed exposure infrastructure — eliminating broad access, deploying Tenant-scoped mediation, and centralizing authentication. Phases 3 through 5 correspond to deepening identity maturity within the structural containers that governance has already established. Organizations advance both governance discipline and identity maturity in coordinated stages, with each phase building on the assurance provided by the previous one.</w:t>
      </w:r>
    </w:p>
    <w:p>
      <w:pPr>
        <w:pStyle w:val="Heading1"/>
        <w:pageBreakBefore/>
      </w:pPr>
      <w:r>
        <w:rPr>
          <w:rFonts w:ascii="Times New Roman" w:cs="Times New Roman" w:eastAsia="Times New Roman" w:hAnsi="Times New Roman"/>
          <w:b/>
          <w:bCs/>
          <w:caps/>
          <w:sz w:val="26"/>
          <w:szCs w:val="26"/>
        </w:rPr>
        <w:t xml:space="preserve">7. ARCHITECTURAL SYNTHESIS</w:t>
      </w:r>
    </w:p>
    <w:p>
      <w:pPr>
        <w:spacing w:after="120" w:line="276" w:lineRule="exact"/>
        <w:jc w:val="both"/>
      </w:pPr>
      <w:r>
        <w:rPr>
          <w:rFonts w:ascii="Times New Roman" w:cs="Times New Roman" w:eastAsia="Times New Roman" w:hAnsi="Times New Roman"/>
          <w:sz w:val="22"/>
          <w:szCs w:val="22"/>
        </w:rPr>
        <w:t xml:space="preserve">The governance model provides the structural containers — Tenants, service catalog, lifecycle management — within which identity controls operate. The identity architecture provides the enforcement mechanics — JWT validation, mTLS workload authentication, per-request authorization, identity propagation — inside those containers. Neither structural containment alone nor identity validation alone is sufficient.</w:t>
      </w:r>
    </w:p>
    <w:p>
      <w:pPr>
        <w:spacing w:after="120" w:line="276" w:lineRule="exact"/>
        <w:jc w:val="both"/>
      </w:pPr>
      <w:r>
        <w:rPr>
          <w:rFonts w:ascii="Times New Roman" w:cs="Times New Roman" w:eastAsia="Times New Roman" w:hAnsi="Times New Roman"/>
          <w:sz w:val="22"/>
          <w:szCs w:val="22"/>
        </w:rPr>
        <w:t xml:space="preserve">Governed exposure infrastructure without identity enforcement creates structurally sound containers that remain operationally opaque: the platform knows which Tenants exist and which services are declared, but cannot reason about whether authenticated actors are performing authorized actions. Conversely, identity-native Zero Trust without governance infrastructure creates per-request accountability that lacks structural containment: identity controls may be rigorously enforced within individual application stacks, but without Tenant isolation, lifecycle discipline, and catalog enforcement, organizational boundaries erode as connectivity accumulates.</w:t>
      </w:r>
    </w:p>
    <w:p>
      <w:pPr>
        <w:spacing w:after="120" w:line="276" w:lineRule="exact"/>
        <w:jc w:val="both"/>
      </w:pPr>
      <w:r>
        <w:rPr>
          <w:rFonts w:ascii="Times New Roman" w:cs="Times New Roman" w:eastAsia="Times New Roman" w:hAnsi="Times New Roman"/>
          <w:sz w:val="22"/>
          <w:szCs w:val="22"/>
        </w:rPr>
        <w:t xml:space="preserve">The combination — governed exposure domains populated with identity-native controls, subject to lifecycle discipline, and delivered through a product-agnostic service catalog — provides the architectural foundation for connectivity that is simultaneously agile, accountable, and reversible. Third-party connectivity is transformed from an accumulation of ungoverned network artifacts into a structured, identity-aware, lifecycle-managed enterprise capability.</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spacing w:after="0"/>
    </w:pPr>
    <w:r>
      <w:rPr>
        <w:rFonts w:ascii="Times New Roman" w:cs="Times New Roman" w:eastAsia="Times New Roman" w:hAnsi="Times New Roman"/>
        <w:i/>
        <w:iCs/>
        <w:color w:val="888888"/>
        <w:sz w:val="16"/>
        <w:szCs w:val="16"/>
      </w:rPr>
      <w:t xml:space="preserve">Executive Architectural Brief</w:t>
    </w:r>
    <w:r>
      <w:rPr>
        <w:rFonts w:ascii="Times New Roman" w:cs="Times New Roman" w:eastAsia="Times New Roman" w:hAnsi="Times New Roman"/>
        <w:sz w:val="16"/>
        <w:szCs w:val="16"/>
      </w:rPr>
      <w:t xml:space="preserve">	</w:t>
    </w:r>
    <w:r>
      <w:rPr>
        <w:rFonts w:ascii="Times New Roman" w:cs="Times New Roman" w:eastAsia="Times New Roman" w:hAnsi="Times New Roman"/>
        <w:i/>
        <w:iCs/>
        <w:color w:val="888888"/>
        <w:sz w:val="16"/>
        <w:szCs w:val="16"/>
      </w:rPr>
      <w:t xml:space="preserve">Page </w:t>
    </w:r>
    <w:r>
      <w:rPr>
        <w:rFonts w:ascii="Times New Roman" w:cs="Times New Roman" w:eastAsia="Times New Roman" w:hAnsi="Times New Roman"/>
        <w:i/>
        <w:iCs/>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i/>
        <w:iCs/>
        <w:color w:val="888888"/>
        <w:sz w:val="16"/>
        <w:szCs w:val="16"/>
      </w:rPr>
      <w:t xml:space="preserve"> of </w:t>
    </w:r>
    <w:r>
      <w:rPr>
        <w:rFonts w:ascii="Times New Roman" w:cs="Times New Roman" w:eastAsia="Times New Roman" w:hAnsi="Times New Roman"/>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2026-03-26T21:52:52.581Z</dcterms:created>
  <dcterms:modified xsi:type="dcterms:W3CDTF">2026-03-26T21:52:52.583Z</dcterms:modified>
</cp:coreProperties>
</file>

<file path=docProps/custom.xml><?xml version="1.0" encoding="utf-8"?>
<Properties xmlns="http://schemas.openxmlformats.org/officeDocument/2006/custom-properties" xmlns:vt="http://schemas.openxmlformats.org/officeDocument/2006/docPropsVTypes"/>
</file>