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235394" w:rsidRDefault="00E8629F" w:rsidP="001F390D">
      <w:pPr>
        <w:pStyle w:val="ZA"/>
        <w:framePr w:wrap="notBeside"/>
      </w:pPr>
      <w:bookmarkStart w:id="0" w:name="page1"/>
      <w:bookmarkStart w:id="1" w:name="_GoBack"/>
      <w:bookmarkEnd w:id="1"/>
      <w:r w:rsidRPr="00235394">
        <w:t xml:space="preserve">3GPP TR </w:t>
      </w:r>
      <w:r w:rsidR="00495F8F">
        <w:t>23</w:t>
      </w:r>
      <w:r w:rsidRPr="00235394">
        <w:t>.</w:t>
      </w:r>
      <w:r w:rsidR="00495F8F">
        <w:t>7</w:t>
      </w:r>
      <w:r w:rsidR="008D7A12">
        <w:t>00-64</w:t>
      </w:r>
      <w:r w:rsidRPr="00235394">
        <w:t xml:space="preserve"> V</w:t>
      </w:r>
      <w:r w:rsidR="00224795">
        <w:t>18</w:t>
      </w:r>
      <w:r w:rsidRPr="00235394">
        <w:t>.</w:t>
      </w:r>
      <w:r w:rsidR="00E412B8">
        <w:t>1</w:t>
      </w:r>
      <w:r w:rsidRPr="00235394">
        <w:t>.</w:t>
      </w:r>
      <w:r w:rsidR="00495F8F">
        <w:t>0</w:t>
      </w:r>
      <w:r w:rsidRPr="00235394">
        <w:t xml:space="preserve"> </w:t>
      </w:r>
      <w:r w:rsidRPr="00235394">
        <w:rPr>
          <w:sz w:val="32"/>
        </w:rPr>
        <w:t>(</w:t>
      </w:r>
      <w:r w:rsidR="004C3E67">
        <w:rPr>
          <w:sz w:val="32"/>
        </w:rPr>
        <w:t>202</w:t>
      </w:r>
      <w:r w:rsidR="00E412B8">
        <w:rPr>
          <w:sz w:val="32"/>
        </w:rPr>
        <w:t>3</w:t>
      </w:r>
      <w:r w:rsidRPr="00235394">
        <w:rPr>
          <w:sz w:val="32"/>
        </w:rPr>
        <w:t>-</w:t>
      </w:r>
      <w:r w:rsidR="00E412B8">
        <w:rPr>
          <w:sz w:val="32"/>
        </w:rPr>
        <w:t>03</w:t>
      </w:r>
      <w:r w:rsidRPr="00235394">
        <w:rPr>
          <w:sz w:val="32"/>
        </w:rPr>
        <w:t>)</w:t>
      </w:r>
    </w:p>
    <w:p w:rsidR="00E8629F" w:rsidRPr="00235394" w:rsidRDefault="00E8629F" w:rsidP="00A331F2">
      <w:pPr>
        <w:pStyle w:val="ZB"/>
        <w:framePr w:wrap="notBeside"/>
      </w:pPr>
      <w:r w:rsidRPr="00235394">
        <w:t xml:space="preserve">Technical </w:t>
      </w:r>
      <w:r w:rsidRPr="00A331F2">
        <w:t>Report</w:t>
      </w:r>
    </w:p>
    <w:p w:rsidR="00E8629F" w:rsidRPr="00235394" w:rsidRDefault="00E8629F">
      <w:pPr>
        <w:pStyle w:val="ZT"/>
        <w:framePr w:wrap="notBeside"/>
      </w:pPr>
      <w:r w:rsidRPr="00235394">
        <w:t>3rd Generation Partnership Project;</w:t>
      </w:r>
    </w:p>
    <w:p w:rsidR="00E8629F" w:rsidRPr="00235394" w:rsidRDefault="00E8629F">
      <w:pPr>
        <w:pStyle w:val="ZT"/>
        <w:framePr w:wrap="notBeside"/>
      </w:pPr>
      <w:r w:rsidRPr="00235394">
        <w:t xml:space="preserve">Technical Specification Group </w:t>
      </w:r>
      <w:r w:rsidR="00495F8F">
        <w:t>Services and System Aspects</w:t>
      </w:r>
      <w:r w:rsidRPr="00235394">
        <w:t>;</w:t>
      </w:r>
    </w:p>
    <w:p w:rsidR="00736A12" w:rsidRDefault="00736A12" w:rsidP="00736A12">
      <w:pPr>
        <w:pStyle w:val="ZT"/>
        <w:framePr w:wrap="notBeside"/>
      </w:pPr>
      <w:r w:rsidRPr="00736A12">
        <w:t xml:space="preserve">Study on enhancements to application layer support </w:t>
      </w:r>
    </w:p>
    <w:p w:rsidR="00E8629F" w:rsidRPr="00235394" w:rsidRDefault="00736A12" w:rsidP="00736A12">
      <w:pPr>
        <w:pStyle w:val="ZT"/>
        <w:framePr w:wrap="notBeside"/>
      </w:pPr>
      <w:r w:rsidRPr="00736A12">
        <w:t>for V2X services; Phase 2</w:t>
      </w:r>
      <w:r w:rsidR="008D7A12">
        <w:t>;</w:t>
      </w:r>
    </w:p>
    <w:p w:rsidR="00E8629F" w:rsidRPr="00235394" w:rsidRDefault="00495F8F">
      <w:pPr>
        <w:pStyle w:val="ZT"/>
        <w:framePr w:wrap="notBeside"/>
        <w:rPr>
          <w:i/>
          <w:sz w:val="28"/>
        </w:rPr>
      </w:pPr>
      <w:r w:rsidRPr="00235394">
        <w:t xml:space="preserve"> </w:t>
      </w:r>
      <w:r w:rsidR="00E8629F" w:rsidRPr="00235394">
        <w:t>(</w:t>
      </w:r>
      <w:r w:rsidR="00E8629F" w:rsidRPr="00235394">
        <w:rPr>
          <w:rStyle w:val="ZGSM"/>
        </w:rPr>
        <w:t xml:space="preserve">Release </w:t>
      </w:r>
      <w:r w:rsidR="000266A0">
        <w:rPr>
          <w:rStyle w:val="ZGSM"/>
        </w:rPr>
        <w:t>1</w:t>
      </w:r>
      <w:r w:rsidR="008D7A12">
        <w:rPr>
          <w:rStyle w:val="ZGSM"/>
        </w:rPr>
        <w:t>8</w:t>
      </w:r>
      <w:r w:rsidR="00E8629F" w:rsidRPr="00235394">
        <w:t>)</w:t>
      </w:r>
    </w:p>
    <w:p w:rsidR="00E8629F" w:rsidRPr="00235394" w:rsidRDefault="00E8629F">
      <w:pPr>
        <w:pStyle w:val="ZU"/>
        <w:framePr w:h="4929" w:hRule="exact" w:wrap="notBeside"/>
        <w:tabs>
          <w:tab w:val="right" w:pos="10206"/>
        </w:tabs>
        <w:jc w:val="left"/>
        <w:rPr>
          <w:color w:val="0000FF"/>
        </w:rPr>
      </w:pPr>
      <w:r w:rsidRPr="00235394">
        <w:rPr>
          <w:color w:val="0000FF"/>
        </w:rPr>
        <w:tab/>
      </w:r>
    </w:p>
    <w:p w:rsidR="00E8629F" w:rsidRPr="00235394" w:rsidRDefault="00E8629F">
      <w:pPr>
        <w:pStyle w:val="ZU"/>
        <w:framePr w:h="4929" w:hRule="exact" w:wrap="notBeside"/>
        <w:tabs>
          <w:tab w:val="right" w:pos="10206"/>
        </w:tabs>
        <w:jc w:val="left"/>
        <w:rPr>
          <w:color w:val="0000FF"/>
        </w:rPr>
      </w:pPr>
      <w:r w:rsidRPr="00235394">
        <w:rPr>
          <w:color w:val="0000FF"/>
        </w:rPr>
        <w:tab/>
      </w:r>
    </w:p>
    <w:p w:rsidR="00E8629F" w:rsidRPr="00235394" w:rsidRDefault="00E8629F">
      <w:pPr>
        <w:pStyle w:val="ZU"/>
        <w:framePr w:h="4929" w:hRule="exact" w:wrap="notBeside"/>
        <w:tabs>
          <w:tab w:val="right" w:pos="10206"/>
        </w:tabs>
        <w:jc w:val="left"/>
      </w:pPr>
      <w:r w:rsidRPr="00235394">
        <w:rPr>
          <w:color w:val="0000FF"/>
        </w:rPr>
        <w:tab/>
      </w:r>
    </w:p>
    <w:p w:rsidR="00983910" w:rsidRPr="00235394" w:rsidRDefault="00983910" w:rsidP="00983910">
      <w:pPr>
        <w:pStyle w:val="ZU"/>
        <w:framePr w:h="4929" w:hRule="exact" w:wrap="notBeside"/>
        <w:tabs>
          <w:tab w:val="right" w:pos="10206"/>
        </w:tabs>
        <w:jc w:val="left"/>
      </w:pPr>
      <w:r w:rsidRPr="00235394">
        <w:rPr>
          <w:color w:val="0000FF"/>
        </w:rPr>
        <w:tab/>
      </w:r>
    </w:p>
    <w:p w:rsidR="00A72864" w:rsidRPr="00235394" w:rsidRDefault="008D7A12" w:rsidP="00A72864">
      <w:pPr>
        <w:pStyle w:val="ZU"/>
        <w:framePr w:h="4929" w:hRule="exact"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45pt;height:62.6pt;visibility:visible">
            <v:imagedata r:id="rId8" o:title=""/>
          </v:shape>
        </w:pict>
      </w:r>
      <w:r w:rsidR="00A72864" w:rsidRPr="00235394">
        <w:rPr>
          <w:color w:val="0000FF"/>
        </w:rPr>
        <w:tab/>
      </w:r>
      <w:r w:rsidR="00A72864" w:rsidRPr="00235394">
        <w:pict>
          <v:shape id="_x0000_i1026" type="#_x0000_t75" style="width:127.7pt;height:75.15pt">
            <v:imagedata r:id="rId9" o:title="3GPP-logo_web"/>
          </v:shape>
        </w:pict>
      </w:r>
    </w:p>
    <w:p w:rsidR="00E8629F" w:rsidRPr="00235394" w:rsidRDefault="00E8629F">
      <w:pPr>
        <w:pStyle w:val="ZU"/>
        <w:framePr w:h="4929" w:hRule="exact" w:wrap="notBeside"/>
        <w:tabs>
          <w:tab w:val="right" w:pos="10206"/>
        </w:tabs>
        <w:jc w:val="left"/>
      </w:pPr>
    </w:p>
    <w:p w:rsidR="00E8629F" w:rsidRPr="00235394" w:rsidRDefault="00E8629F">
      <w:pPr>
        <w:framePr w:h="1636" w:hRule="exact" w:wrap="notBeside" w:vAnchor="page" w:hAnchor="margin" w:y="15121"/>
        <w:rPr>
          <w:sz w:val="16"/>
        </w:rPr>
      </w:pPr>
      <w:r w:rsidRPr="00235394">
        <w:rPr>
          <w:sz w:val="16"/>
        </w:rPr>
        <w:t>The present document has been developed within the 3</w:t>
      </w:r>
      <w:r w:rsidR="00707941">
        <w:rPr>
          <w:sz w:val="16"/>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 Publications Offices.</w:t>
      </w:r>
    </w:p>
    <w:p w:rsidR="00E8629F" w:rsidRPr="00235394" w:rsidRDefault="00E8629F">
      <w:pPr>
        <w:pStyle w:val="ZV"/>
        <w:framePr w:wrap="notBeside"/>
      </w:pPr>
    </w:p>
    <w:p w:rsidR="00E8629F" w:rsidRPr="00235394" w:rsidRDefault="00E8629F"/>
    <w:bookmarkEnd w:id="0"/>
    <w:p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rsidR="00E8629F" w:rsidRPr="00235394" w:rsidRDefault="00E8629F">
      <w:bookmarkStart w:id="2" w:name="page2"/>
    </w:p>
    <w:p w:rsidR="00E8629F" w:rsidRPr="00235394" w:rsidRDefault="00E8629F">
      <w:pPr>
        <w:pStyle w:val="FP"/>
        <w:framePr w:wrap="notBeside" w:hAnchor="margin" w:y="1419"/>
        <w:pBdr>
          <w:bottom w:val="single" w:sz="6" w:space="1" w:color="auto"/>
        </w:pBdr>
        <w:spacing w:before="240"/>
        <w:ind w:left="2835" w:right="2835"/>
        <w:jc w:val="center"/>
      </w:pPr>
      <w:r w:rsidRPr="00235394">
        <w:t>Keywords</w:t>
      </w:r>
    </w:p>
    <w:p w:rsidR="00E8629F" w:rsidRPr="00235394" w:rsidRDefault="00E8629F">
      <w:pPr>
        <w:pStyle w:val="FP"/>
        <w:framePr w:wrap="notBeside" w:hAnchor="margin" w:y="1419"/>
        <w:ind w:left="2835" w:right="2835"/>
        <w:jc w:val="center"/>
        <w:rPr>
          <w:rFonts w:ascii="Arial" w:hAnsi="Arial"/>
          <w:sz w:val="18"/>
        </w:rPr>
      </w:pPr>
      <w:r w:rsidRPr="00235394">
        <w:rPr>
          <w:rFonts w:ascii="Arial" w:hAnsi="Arial"/>
          <w:sz w:val="18"/>
        </w:rPr>
        <w:t>&lt;keyword[, keyword]&gt;</w:t>
      </w:r>
    </w:p>
    <w:p w:rsidR="00E8629F" w:rsidRPr="00235394" w:rsidRDefault="00E8629F"/>
    <w:p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rsidR="00E8629F" w:rsidRPr="00235394" w:rsidRDefault="00E8629F">
      <w:pPr>
        <w:pStyle w:val="FP"/>
        <w:framePr w:wrap="notBeside" w:hAnchor="margin" w:yAlign="center"/>
        <w:pBdr>
          <w:bottom w:val="single" w:sz="6" w:space="1" w:color="auto"/>
        </w:pBdr>
        <w:ind w:left="2835" w:right="2835"/>
        <w:jc w:val="center"/>
      </w:pPr>
      <w:r w:rsidRPr="00235394">
        <w:t>Postal address</w:t>
      </w:r>
    </w:p>
    <w:p w:rsidR="00E8629F" w:rsidRPr="00235394" w:rsidRDefault="00E8629F">
      <w:pPr>
        <w:pStyle w:val="FP"/>
        <w:framePr w:wrap="notBeside" w:hAnchor="margin" w:yAlign="center"/>
        <w:ind w:left="2835" w:right="2835"/>
        <w:jc w:val="center"/>
        <w:rPr>
          <w:rFonts w:ascii="Arial" w:hAnsi="Arial"/>
          <w:sz w:val="18"/>
        </w:rPr>
      </w:pPr>
    </w:p>
    <w:p w:rsidR="00E8629F" w:rsidRPr="00073B46" w:rsidRDefault="00E8629F">
      <w:pPr>
        <w:pStyle w:val="FP"/>
        <w:framePr w:wrap="notBeside" w:hAnchor="margin" w:yAlign="center"/>
        <w:pBdr>
          <w:bottom w:val="single" w:sz="6" w:space="1" w:color="auto"/>
        </w:pBdr>
        <w:spacing w:before="240"/>
        <w:ind w:left="2835" w:right="2835"/>
        <w:jc w:val="center"/>
        <w:rPr>
          <w:lang w:val="fr-FR"/>
        </w:rPr>
      </w:pPr>
      <w:r w:rsidRPr="00073B46">
        <w:rPr>
          <w:lang w:val="fr-FR"/>
        </w:rPr>
        <w:t>3GPP support office address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rsidR="00E8629F" w:rsidRPr="00235394" w:rsidRDefault="00E8629F">
      <w:pPr>
        <w:pStyle w:val="FP"/>
        <w:framePr w:wrap="notBeside" w:hAnchor="margin" w:yAlign="center"/>
        <w:ind w:left="2835" w:right="2835"/>
        <w:jc w:val="center"/>
        <w:rPr>
          <w:rFonts w:ascii="Arial" w:hAnsi="Arial"/>
          <w:sz w:val="18"/>
        </w:rPr>
      </w:pPr>
      <w:r w:rsidRPr="00235394">
        <w:rPr>
          <w:rFonts w:ascii="Arial" w:hAnsi="Arial"/>
          <w:sz w:val="18"/>
        </w:rPr>
        <w:t>http://www.3gpp.org</w:t>
      </w:r>
    </w:p>
    <w:p w:rsidR="00E8629F" w:rsidRPr="00235394" w:rsidRDefault="00E8629F"/>
    <w:p w:rsidR="00E8629F" w:rsidRPr="00235394"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235394">
        <w:rPr>
          <w:rFonts w:ascii="Arial" w:hAnsi="Arial"/>
          <w:b/>
          <w:i/>
          <w:noProof/>
        </w:rPr>
        <w:t>Copyright Notification</w:t>
      </w:r>
    </w:p>
    <w:p w:rsidR="00E8629F" w:rsidRPr="00235394" w:rsidRDefault="00E8629F">
      <w:pPr>
        <w:pStyle w:val="FP"/>
        <w:framePr w:h="3057" w:hRule="exact" w:wrap="notBeside" w:vAnchor="page" w:hAnchor="margin" w:y="12605"/>
        <w:jc w:val="center"/>
        <w:rPr>
          <w:noProof/>
        </w:rPr>
      </w:pPr>
      <w:r w:rsidRPr="00235394">
        <w:rPr>
          <w:noProof/>
        </w:rPr>
        <w:t>No part may be reproduced except as authorized by written permission.</w:t>
      </w:r>
      <w:r w:rsidRPr="00235394">
        <w:rPr>
          <w:noProof/>
        </w:rPr>
        <w:br/>
        <w:t>The copyright and the foregoing restriction extend to reproduction in all media.</w:t>
      </w:r>
    </w:p>
    <w:p w:rsidR="00E8629F" w:rsidRPr="00235394" w:rsidRDefault="00E8629F">
      <w:pPr>
        <w:pStyle w:val="FP"/>
        <w:framePr w:h="3057" w:hRule="exact" w:wrap="notBeside" w:vAnchor="page" w:hAnchor="margin" w:y="12605"/>
        <w:jc w:val="center"/>
        <w:rPr>
          <w:noProof/>
        </w:rPr>
      </w:pPr>
    </w:p>
    <w:p w:rsidR="00E8629F" w:rsidRPr="00235394" w:rsidRDefault="00E8629F">
      <w:pPr>
        <w:pStyle w:val="FP"/>
        <w:framePr w:h="3057" w:hRule="exact" w:wrap="notBeside" w:vAnchor="page" w:hAnchor="margin" w:y="12605"/>
        <w:jc w:val="center"/>
        <w:rPr>
          <w:noProof/>
          <w:sz w:val="18"/>
        </w:rPr>
      </w:pPr>
      <w:r w:rsidRPr="00235394">
        <w:rPr>
          <w:noProof/>
          <w:sz w:val="18"/>
        </w:rPr>
        <w:t>© 20</w:t>
      </w:r>
      <w:r w:rsidR="00073B46">
        <w:rPr>
          <w:noProof/>
          <w:sz w:val="18"/>
        </w:rPr>
        <w:t>2</w:t>
      </w:r>
      <w:r w:rsidR="00E412B8">
        <w:rPr>
          <w:noProof/>
          <w:sz w:val="18"/>
        </w:rPr>
        <w:t>3</w:t>
      </w:r>
      <w:r w:rsidRPr="00235394">
        <w:rPr>
          <w:noProof/>
          <w:sz w:val="18"/>
        </w:rPr>
        <w:t>, 3GPP Organizational Partners (ARIB, ATIS, CCSA, ETSI,</w:t>
      </w:r>
      <w:r w:rsidR="000266A0">
        <w:rPr>
          <w:noProof/>
          <w:sz w:val="18"/>
        </w:rPr>
        <w:t xml:space="preserve"> TSDSI,</w:t>
      </w:r>
      <w:r w:rsidRPr="00235394">
        <w:rPr>
          <w:noProof/>
          <w:sz w:val="18"/>
        </w:rPr>
        <w:t xml:space="preserve"> TTA, TTC).</w:t>
      </w:r>
      <w:bookmarkStart w:id="3" w:name="copyrightaddon"/>
      <w:bookmarkEnd w:id="3"/>
    </w:p>
    <w:p w:rsidR="00E8629F" w:rsidRPr="00235394" w:rsidRDefault="00E8629F">
      <w:pPr>
        <w:pStyle w:val="FP"/>
        <w:framePr w:h="3057" w:hRule="exact" w:wrap="notBeside" w:vAnchor="page" w:hAnchor="margin" w:y="12605"/>
        <w:jc w:val="center"/>
        <w:rPr>
          <w:noProof/>
          <w:sz w:val="18"/>
        </w:rPr>
      </w:pPr>
      <w:r w:rsidRPr="00235394">
        <w:rPr>
          <w:noProof/>
          <w:sz w:val="18"/>
        </w:rPr>
        <w:t>All rights reserved.</w:t>
      </w:r>
    </w:p>
    <w:p w:rsidR="00983910" w:rsidRPr="00235394" w:rsidRDefault="00983910">
      <w:pPr>
        <w:pStyle w:val="FP"/>
        <w:framePr w:h="3057" w:hRule="exact" w:wrap="notBeside" w:vAnchor="page" w:hAnchor="margin" w:y="12605"/>
        <w:rPr>
          <w:noProof/>
          <w:sz w:val="18"/>
        </w:rPr>
      </w:pPr>
    </w:p>
    <w:p w:rsidR="00E8629F" w:rsidRPr="00235394" w:rsidRDefault="00E8629F">
      <w:pPr>
        <w:pStyle w:val="FP"/>
        <w:framePr w:h="3057" w:hRule="exact" w:wrap="notBeside" w:vAnchor="page" w:hAnchor="margin" w:y="12605"/>
        <w:rPr>
          <w:noProof/>
          <w:sz w:val="18"/>
        </w:rPr>
      </w:pPr>
      <w:r w:rsidRPr="00235394">
        <w:rPr>
          <w:noProof/>
          <w:sz w:val="18"/>
        </w:rPr>
        <w:t>UMTS™ is a Trade Mark of ETSI registered for the benefit of its members</w:t>
      </w:r>
    </w:p>
    <w:p w:rsidR="00E8629F" w:rsidRPr="00235394" w:rsidRDefault="00E8629F">
      <w:pPr>
        <w:pStyle w:val="FP"/>
        <w:framePr w:h="3057" w:hRule="exact" w:wrap="notBeside" w:vAnchor="page" w:hAnchor="margin" w:y="12605"/>
        <w:rPr>
          <w:noProof/>
          <w:sz w:val="18"/>
        </w:rPr>
      </w:pPr>
      <w:r w:rsidRPr="00235394">
        <w:rPr>
          <w:noProof/>
          <w:sz w:val="18"/>
        </w:rPr>
        <w:t>3GPP™ is a Trade Mark of ETSI registered for the benefit of its Members and of the 3GPP Organizational Partners</w:t>
      </w:r>
      <w:r w:rsidRPr="00235394">
        <w:rPr>
          <w:noProof/>
          <w:sz w:val="18"/>
        </w:rPr>
        <w:br/>
        <w:t>LTE™ is a Trade Mark of ETSI registered for the benefit of its Members and of the 3GPP Organizational Partners</w:t>
      </w:r>
    </w:p>
    <w:p w:rsidR="00E8629F" w:rsidRPr="00235394" w:rsidRDefault="00E8629F">
      <w:pPr>
        <w:pStyle w:val="FP"/>
        <w:framePr w:h="3057" w:hRule="exact" w:wrap="notBeside" w:vAnchor="page" w:hAnchor="margin" w:y="12605"/>
        <w:rPr>
          <w:noProof/>
          <w:sz w:val="18"/>
        </w:rPr>
      </w:pPr>
      <w:r w:rsidRPr="00235394">
        <w:rPr>
          <w:noProof/>
          <w:sz w:val="18"/>
        </w:rPr>
        <w:t>GSM® and the GSM logo are registered and owned by the GSM Association</w:t>
      </w:r>
    </w:p>
    <w:p w:rsidR="00E8629F" w:rsidRPr="00235394" w:rsidRDefault="00E8629F"/>
    <w:bookmarkEnd w:id="2"/>
    <w:p w:rsidR="00E8629F" w:rsidRPr="00235394" w:rsidRDefault="00E8629F">
      <w:pPr>
        <w:pStyle w:val="TT"/>
      </w:pPr>
      <w:r w:rsidRPr="00235394">
        <w:br w:type="page"/>
        <w:t>Contents</w:t>
      </w:r>
    </w:p>
    <w:p w:rsidR="005C11E8" w:rsidRPr="00B4247F" w:rsidRDefault="00235394">
      <w:pPr>
        <w:pStyle w:val="TOC1"/>
        <w:rPr>
          <w:rFonts w:ascii="Calibri" w:hAnsi="Calibri"/>
          <w:noProof/>
          <w:szCs w:val="22"/>
        </w:rPr>
      </w:pPr>
      <w:r>
        <w:fldChar w:fldCharType="begin"/>
      </w:r>
      <w:r>
        <w:instrText xml:space="preserve"> TOC \o "1-9" </w:instrText>
      </w:r>
      <w:r>
        <w:fldChar w:fldCharType="separate"/>
      </w:r>
      <w:r w:rsidR="005C11E8">
        <w:rPr>
          <w:noProof/>
        </w:rPr>
        <w:t>Foreword</w:t>
      </w:r>
      <w:r w:rsidR="005C11E8">
        <w:rPr>
          <w:noProof/>
        </w:rPr>
        <w:tab/>
      </w:r>
      <w:r w:rsidR="005C11E8">
        <w:rPr>
          <w:noProof/>
        </w:rPr>
        <w:fldChar w:fldCharType="begin"/>
      </w:r>
      <w:r w:rsidR="005C11E8">
        <w:rPr>
          <w:noProof/>
        </w:rPr>
        <w:instrText xml:space="preserve"> PAGEREF _Toc131177450 \h </w:instrText>
      </w:r>
      <w:r w:rsidR="005C11E8">
        <w:rPr>
          <w:noProof/>
        </w:rPr>
      </w:r>
      <w:r w:rsidR="005C11E8">
        <w:rPr>
          <w:noProof/>
        </w:rPr>
        <w:fldChar w:fldCharType="separate"/>
      </w:r>
      <w:r w:rsidR="005C11E8">
        <w:rPr>
          <w:noProof/>
        </w:rPr>
        <w:t>5</w:t>
      </w:r>
      <w:r w:rsidR="005C11E8">
        <w:rPr>
          <w:noProof/>
        </w:rPr>
        <w:fldChar w:fldCharType="end"/>
      </w:r>
    </w:p>
    <w:p w:rsidR="005C11E8" w:rsidRPr="00B4247F" w:rsidRDefault="005C11E8">
      <w:pPr>
        <w:pStyle w:val="TOC1"/>
        <w:rPr>
          <w:rFonts w:ascii="Calibri" w:hAnsi="Calibri"/>
          <w:noProof/>
          <w:szCs w:val="22"/>
        </w:rPr>
      </w:pPr>
      <w:r>
        <w:rPr>
          <w:noProof/>
        </w:rPr>
        <w:t>1</w:t>
      </w:r>
      <w:r w:rsidRPr="00B4247F">
        <w:rPr>
          <w:rFonts w:ascii="Calibri" w:hAnsi="Calibri"/>
          <w:noProof/>
          <w:szCs w:val="22"/>
        </w:rPr>
        <w:tab/>
      </w:r>
      <w:r>
        <w:rPr>
          <w:noProof/>
        </w:rPr>
        <w:t>Scope</w:t>
      </w:r>
      <w:r>
        <w:rPr>
          <w:noProof/>
        </w:rPr>
        <w:tab/>
      </w:r>
      <w:r>
        <w:rPr>
          <w:noProof/>
        </w:rPr>
        <w:fldChar w:fldCharType="begin"/>
      </w:r>
      <w:r>
        <w:rPr>
          <w:noProof/>
        </w:rPr>
        <w:instrText xml:space="preserve"> PAGEREF _Toc131177451 \h </w:instrText>
      </w:r>
      <w:r>
        <w:rPr>
          <w:noProof/>
        </w:rPr>
      </w:r>
      <w:r>
        <w:rPr>
          <w:noProof/>
        </w:rPr>
        <w:fldChar w:fldCharType="separate"/>
      </w:r>
      <w:r>
        <w:rPr>
          <w:noProof/>
        </w:rPr>
        <w:t>6</w:t>
      </w:r>
      <w:r>
        <w:rPr>
          <w:noProof/>
        </w:rPr>
        <w:fldChar w:fldCharType="end"/>
      </w:r>
    </w:p>
    <w:p w:rsidR="005C11E8" w:rsidRPr="00B4247F" w:rsidRDefault="005C11E8">
      <w:pPr>
        <w:pStyle w:val="TOC1"/>
        <w:rPr>
          <w:rFonts w:ascii="Calibri" w:hAnsi="Calibri"/>
          <w:noProof/>
          <w:szCs w:val="22"/>
        </w:rPr>
      </w:pPr>
      <w:r>
        <w:rPr>
          <w:noProof/>
        </w:rPr>
        <w:t>2</w:t>
      </w:r>
      <w:r w:rsidRPr="00B4247F">
        <w:rPr>
          <w:rFonts w:ascii="Calibri" w:hAnsi="Calibri"/>
          <w:noProof/>
          <w:szCs w:val="22"/>
        </w:rPr>
        <w:tab/>
      </w:r>
      <w:r>
        <w:rPr>
          <w:noProof/>
        </w:rPr>
        <w:t>References</w:t>
      </w:r>
      <w:r>
        <w:rPr>
          <w:noProof/>
        </w:rPr>
        <w:tab/>
      </w:r>
      <w:r>
        <w:rPr>
          <w:noProof/>
        </w:rPr>
        <w:fldChar w:fldCharType="begin"/>
      </w:r>
      <w:r>
        <w:rPr>
          <w:noProof/>
        </w:rPr>
        <w:instrText xml:space="preserve"> PAGEREF _Toc131177452 \h </w:instrText>
      </w:r>
      <w:r>
        <w:rPr>
          <w:noProof/>
        </w:rPr>
      </w:r>
      <w:r>
        <w:rPr>
          <w:noProof/>
        </w:rPr>
        <w:fldChar w:fldCharType="separate"/>
      </w:r>
      <w:r>
        <w:rPr>
          <w:noProof/>
        </w:rPr>
        <w:t>6</w:t>
      </w:r>
      <w:r>
        <w:rPr>
          <w:noProof/>
        </w:rPr>
        <w:fldChar w:fldCharType="end"/>
      </w:r>
    </w:p>
    <w:p w:rsidR="005C11E8" w:rsidRPr="00B4247F" w:rsidRDefault="005C11E8">
      <w:pPr>
        <w:pStyle w:val="TOC1"/>
        <w:rPr>
          <w:rFonts w:ascii="Calibri" w:hAnsi="Calibri"/>
          <w:noProof/>
          <w:szCs w:val="22"/>
        </w:rPr>
      </w:pPr>
      <w:r>
        <w:rPr>
          <w:noProof/>
        </w:rPr>
        <w:t>3</w:t>
      </w:r>
      <w:r w:rsidRPr="00B4247F">
        <w:rPr>
          <w:rFonts w:ascii="Calibri" w:hAnsi="Calibri"/>
          <w:noProof/>
          <w:szCs w:val="22"/>
        </w:rPr>
        <w:tab/>
      </w:r>
      <w:r>
        <w:rPr>
          <w:noProof/>
        </w:rPr>
        <w:t>Definitions, symbols and abbreviations</w:t>
      </w:r>
      <w:r>
        <w:rPr>
          <w:noProof/>
        </w:rPr>
        <w:tab/>
      </w:r>
      <w:r>
        <w:rPr>
          <w:noProof/>
        </w:rPr>
        <w:fldChar w:fldCharType="begin"/>
      </w:r>
      <w:r>
        <w:rPr>
          <w:noProof/>
        </w:rPr>
        <w:instrText xml:space="preserve"> PAGEREF _Toc131177453 \h </w:instrText>
      </w:r>
      <w:r>
        <w:rPr>
          <w:noProof/>
        </w:rPr>
      </w:r>
      <w:r>
        <w:rPr>
          <w:noProof/>
        </w:rPr>
        <w:fldChar w:fldCharType="separate"/>
      </w:r>
      <w:r>
        <w:rPr>
          <w:noProof/>
        </w:rPr>
        <w:t>7</w:t>
      </w:r>
      <w:r>
        <w:rPr>
          <w:noProof/>
        </w:rPr>
        <w:fldChar w:fldCharType="end"/>
      </w:r>
    </w:p>
    <w:p w:rsidR="005C11E8" w:rsidRPr="00B4247F" w:rsidRDefault="005C11E8">
      <w:pPr>
        <w:pStyle w:val="TOC2"/>
        <w:rPr>
          <w:rFonts w:ascii="Calibri" w:hAnsi="Calibri"/>
          <w:noProof/>
          <w:sz w:val="22"/>
          <w:szCs w:val="22"/>
        </w:rPr>
      </w:pPr>
      <w:r>
        <w:rPr>
          <w:noProof/>
        </w:rPr>
        <w:t>3.1</w:t>
      </w:r>
      <w:r w:rsidRPr="00B4247F">
        <w:rPr>
          <w:rFonts w:ascii="Calibri" w:hAnsi="Calibri"/>
          <w:noProof/>
          <w:sz w:val="22"/>
          <w:szCs w:val="22"/>
        </w:rPr>
        <w:tab/>
      </w:r>
      <w:r>
        <w:rPr>
          <w:noProof/>
        </w:rPr>
        <w:t>Definitions</w:t>
      </w:r>
      <w:r>
        <w:rPr>
          <w:noProof/>
        </w:rPr>
        <w:tab/>
      </w:r>
      <w:r>
        <w:rPr>
          <w:noProof/>
        </w:rPr>
        <w:fldChar w:fldCharType="begin"/>
      </w:r>
      <w:r>
        <w:rPr>
          <w:noProof/>
        </w:rPr>
        <w:instrText xml:space="preserve"> PAGEREF _Toc131177454 \h </w:instrText>
      </w:r>
      <w:r>
        <w:rPr>
          <w:noProof/>
        </w:rPr>
      </w:r>
      <w:r>
        <w:rPr>
          <w:noProof/>
        </w:rPr>
        <w:fldChar w:fldCharType="separate"/>
      </w:r>
      <w:r>
        <w:rPr>
          <w:noProof/>
        </w:rPr>
        <w:t>7</w:t>
      </w:r>
      <w:r>
        <w:rPr>
          <w:noProof/>
        </w:rPr>
        <w:fldChar w:fldCharType="end"/>
      </w:r>
    </w:p>
    <w:p w:rsidR="005C11E8" w:rsidRPr="00B4247F" w:rsidRDefault="005C11E8">
      <w:pPr>
        <w:pStyle w:val="TOC2"/>
        <w:rPr>
          <w:rFonts w:ascii="Calibri" w:hAnsi="Calibri"/>
          <w:noProof/>
          <w:sz w:val="22"/>
          <w:szCs w:val="22"/>
        </w:rPr>
      </w:pPr>
      <w:r>
        <w:rPr>
          <w:noProof/>
        </w:rPr>
        <w:t>3.2</w:t>
      </w:r>
      <w:r w:rsidRPr="00B4247F">
        <w:rPr>
          <w:rFonts w:ascii="Calibri" w:hAnsi="Calibri"/>
          <w:noProof/>
          <w:sz w:val="22"/>
          <w:szCs w:val="22"/>
        </w:rPr>
        <w:tab/>
      </w:r>
      <w:r>
        <w:rPr>
          <w:noProof/>
        </w:rPr>
        <w:t>Abbreviations</w:t>
      </w:r>
      <w:r>
        <w:rPr>
          <w:noProof/>
        </w:rPr>
        <w:tab/>
      </w:r>
      <w:r>
        <w:rPr>
          <w:noProof/>
        </w:rPr>
        <w:fldChar w:fldCharType="begin"/>
      </w:r>
      <w:r>
        <w:rPr>
          <w:noProof/>
        </w:rPr>
        <w:instrText xml:space="preserve"> PAGEREF _Toc131177455 \h </w:instrText>
      </w:r>
      <w:r>
        <w:rPr>
          <w:noProof/>
        </w:rPr>
      </w:r>
      <w:r>
        <w:rPr>
          <w:noProof/>
        </w:rPr>
        <w:fldChar w:fldCharType="separate"/>
      </w:r>
      <w:r>
        <w:rPr>
          <w:noProof/>
        </w:rPr>
        <w:t>7</w:t>
      </w:r>
      <w:r>
        <w:rPr>
          <w:noProof/>
        </w:rPr>
        <w:fldChar w:fldCharType="end"/>
      </w:r>
    </w:p>
    <w:p w:rsidR="005C11E8" w:rsidRPr="00B4247F" w:rsidRDefault="005C11E8">
      <w:pPr>
        <w:pStyle w:val="TOC1"/>
        <w:rPr>
          <w:rFonts w:ascii="Calibri" w:hAnsi="Calibri"/>
          <w:noProof/>
          <w:szCs w:val="22"/>
        </w:rPr>
      </w:pPr>
      <w:r>
        <w:rPr>
          <w:noProof/>
        </w:rPr>
        <w:t>4</w:t>
      </w:r>
      <w:r w:rsidRPr="00B4247F">
        <w:rPr>
          <w:rFonts w:ascii="Calibri" w:hAnsi="Calibri"/>
          <w:noProof/>
          <w:szCs w:val="22"/>
        </w:rPr>
        <w:tab/>
      </w:r>
      <w:r>
        <w:rPr>
          <w:noProof/>
        </w:rPr>
        <w:t>Key issues</w:t>
      </w:r>
      <w:r>
        <w:rPr>
          <w:noProof/>
        </w:rPr>
        <w:tab/>
      </w:r>
      <w:r>
        <w:rPr>
          <w:noProof/>
        </w:rPr>
        <w:fldChar w:fldCharType="begin"/>
      </w:r>
      <w:r>
        <w:rPr>
          <w:noProof/>
        </w:rPr>
        <w:instrText xml:space="preserve"> PAGEREF _Toc131177456 \h </w:instrText>
      </w:r>
      <w:r>
        <w:rPr>
          <w:noProof/>
        </w:rPr>
      </w:r>
      <w:r>
        <w:rPr>
          <w:noProof/>
        </w:rPr>
        <w:fldChar w:fldCharType="separate"/>
      </w:r>
      <w:r>
        <w:rPr>
          <w:noProof/>
        </w:rPr>
        <w:t>7</w:t>
      </w:r>
      <w:r>
        <w:rPr>
          <w:noProof/>
        </w:rPr>
        <w:fldChar w:fldCharType="end"/>
      </w:r>
    </w:p>
    <w:p w:rsidR="005C11E8" w:rsidRPr="00B4247F" w:rsidRDefault="005C11E8">
      <w:pPr>
        <w:pStyle w:val="TOC2"/>
        <w:rPr>
          <w:rFonts w:ascii="Calibri" w:hAnsi="Calibri"/>
          <w:noProof/>
          <w:sz w:val="22"/>
          <w:szCs w:val="22"/>
        </w:rPr>
      </w:pPr>
      <w:r w:rsidRPr="0084464A">
        <w:rPr>
          <w:noProof/>
          <w:lang w:val="en-US" w:eastAsia="zh-CN"/>
        </w:rPr>
        <w:t>4</w:t>
      </w:r>
      <w:r>
        <w:rPr>
          <w:noProof/>
        </w:rPr>
        <w:t>.1</w:t>
      </w:r>
      <w:r w:rsidRPr="00B4247F">
        <w:rPr>
          <w:rFonts w:ascii="Calibri" w:hAnsi="Calibri"/>
          <w:noProof/>
          <w:sz w:val="22"/>
          <w:szCs w:val="22"/>
        </w:rPr>
        <w:tab/>
      </w:r>
      <w:r>
        <w:rPr>
          <w:noProof/>
        </w:rPr>
        <w:t>Key issue #1 – Support for high risk VRU zones</w:t>
      </w:r>
      <w:r>
        <w:rPr>
          <w:noProof/>
        </w:rPr>
        <w:tab/>
      </w:r>
      <w:r>
        <w:rPr>
          <w:noProof/>
        </w:rPr>
        <w:fldChar w:fldCharType="begin"/>
      </w:r>
      <w:r>
        <w:rPr>
          <w:noProof/>
        </w:rPr>
        <w:instrText xml:space="preserve"> PAGEREF _Toc131177457 \h </w:instrText>
      </w:r>
      <w:r>
        <w:rPr>
          <w:noProof/>
        </w:rPr>
      </w:r>
      <w:r>
        <w:rPr>
          <w:noProof/>
        </w:rPr>
        <w:fldChar w:fldCharType="separate"/>
      </w:r>
      <w:r>
        <w:rPr>
          <w:noProof/>
        </w:rPr>
        <w:t>7</w:t>
      </w:r>
      <w:r>
        <w:rPr>
          <w:noProof/>
        </w:rPr>
        <w:fldChar w:fldCharType="end"/>
      </w:r>
    </w:p>
    <w:p w:rsidR="005C11E8" w:rsidRPr="00B4247F" w:rsidRDefault="005C11E8">
      <w:pPr>
        <w:pStyle w:val="TOC2"/>
        <w:rPr>
          <w:rFonts w:ascii="Calibri" w:hAnsi="Calibri"/>
          <w:noProof/>
          <w:sz w:val="22"/>
          <w:szCs w:val="22"/>
        </w:rPr>
      </w:pPr>
      <w:r w:rsidRPr="0084464A">
        <w:rPr>
          <w:noProof/>
          <w:lang w:val="en-US" w:eastAsia="zh-CN"/>
        </w:rPr>
        <w:t>4</w:t>
      </w:r>
      <w:r>
        <w:rPr>
          <w:noProof/>
        </w:rPr>
        <w:t>.2</w:t>
      </w:r>
      <w:r w:rsidRPr="00B4247F">
        <w:rPr>
          <w:rFonts w:ascii="Calibri" w:hAnsi="Calibri"/>
          <w:noProof/>
          <w:sz w:val="22"/>
          <w:szCs w:val="22"/>
        </w:rPr>
        <w:tab/>
      </w:r>
      <w:r>
        <w:rPr>
          <w:noProof/>
        </w:rPr>
        <w:t>Key issue #2 – Support for V2P communications</w:t>
      </w:r>
      <w:r>
        <w:rPr>
          <w:noProof/>
        </w:rPr>
        <w:tab/>
      </w:r>
      <w:r>
        <w:rPr>
          <w:noProof/>
        </w:rPr>
        <w:fldChar w:fldCharType="begin"/>
      </w:r>
      <w:r>
        <w:rPr>
          <w:noProof/>
        </w:rPr>
        <w:instrText xml:space="preserve"> PAGEREF _Toc131177458 \h </w:instrText>
      </w:r>
      <w:r>
        <w:rPr>
          <w:noProof/>
        </w:rPr>
      </w:r>
      <w:r>
        <w:rPr>
          <w:noProof/>
        </w:rPr>
        <w:fldChar w:fldCharType="separate"/>
      </w:r>
      <w:r>
        <w:rPr>
          <w:noProof/>
        </w:rPr>
        <w:t>7</w:t>
      </w:r>
      <w:r>
        <w:rPr>
          <w:noProof/>
        </w:rPr>
        <w:fldChar w:fldCharType="end"/>
      </w:r>
    </w:p>
    <w:p w:rsidR="005C11E8" w:rsidRPr="00B4247F" w:rsidRDefault="005C11E8">
      <w:pPr>
        <w:pStyle w:val="TOC2"/>
        <w:rPr>
          <w:rFonts w:ascii="Calibri" w:hAnsi="Calibri"/>
          <w:noProof/>
          <w:sz w:val="22"/>
          <w:szCs w:val="22"/>
        </w:rPr>
      </w:pPr>
      <w:r>
        <w:rPr>
          <w:noProof/>
        </w:rPr>
        <w:t>4.3</w:t>
      </w:r>
      <w:r w:rsidRPr="00B4247F">
        <w:rPr>
          <w:rFonts w:ascii="Calibri" w:hAnsi="Calibri"/>
          <w:noProof/>
          <w:sz w:val="22"/>
          <w:szCs w:val="22"/>
        </w:rPr>
        <w:tab/>
      </w:r>
      <w:r>
        <w:rPr>
          <w:noProof/>
        </w:rPr>
        <w:t>Key issue #3 – V2X service deployment in edge data network</w:t>
      </w:r>
      <w:r>
        <w:rPr>
          <w:noProof/>
        </w:rPr>
        <w:tab/>
      </w:r>
      <w:r>
        <w:rPr>
          <w:noProof/>
        </w:rPr>
        <w:fldChar w:fldCharType="begin"/>
      </w:r>
      <w:r>
        <w:rPr>
          <w:noProof/>
        </w:rPr>
        <w:instrText xml:space="preserve"> PAGEREF _Toc131177459 \h </w:instrText>
      </w:r>
      <w:r>
        <w:rPr>
          <w:noProof/>
        </w:rPr>
      </w:r>
      <w:r>
        <w:rPr>
          <w:noProof/>
        </w:rPr>
        <w:fldChar w:fldCharType="separate"/>
      </w:r>
      <w:r>
        <w:rPr>
          <w:noProof/>
        </w:rPr>
        <w:t>8</w:t>
      </w:r>
      <w:r>
        <w:rPr>
          <w:noProof/>
        </w:rPr>
        <w:fldChar w:fldCharType="end"/>
      </w:r>
    </w:p>
    <w:p w:rsidR="005C11E8" w:rsidRPr="00B4247F" w:rsidRDefault="005C11E8">
      <w:pPr>
        <w:pStyle w:val="TOC2"/>
        <w:rPr>
          <w:rFonts w:ascii="Calibri" w:hAnsi="Calibri"/>
          <w:noProof/>
          <w:sz w:val="22"/>
          <w:szCs w:val="22"/>
        </w:rPr>
      </w:pPr>
      <w:r>
        <w:rPr>
          <w:noProof/>
        </w:rPr>
        <w:t>4.4</w:t>
      </w:r>
      <w:r w:rsidRPr="00B4247F">
        <w:rPr>
          <w:rFonts w:ascii="Calibri" w:hAnsi="Calibri"/>
          <w:noProof/>
          <w:sz w:val="22"/>
          <w:szCs w:val="22"/>
        </w:rPr>
        <w:tab/>
      </w:r>
      <w:r>
        <w:rPr>
          <w:noProof/>
        </w:rPr>
        <w:t>Key issue #4 – Enhancement to support non-simultaneous multiple service providers control for advanced V2X services</w:t>
      </w:r>
      <w:r>
        <w:rPr>
          <w:noProof/>
        </w:rPr>
        <w:tab/>
      </w:r>
      <w:r>
        <w:rPr>
          <w:noProof/>
        </w:rPr>
        <w:fldChar w:fldCharType="begin"/>
      </w:r>
      <w:r>
        <w:rPr>
          <w:noProof/>
        </w:rPr>
        <w:instrText xml:space="preserve"> PAGEREF _Toc131177460 \h </w:instrText>
      </w:r>
      <w:r>
        <w:rPr>
          <w:noProof/>
        </w:rPr>
      </w:r>
      <w:r>
        <w:rPr>
          <w:noProof/>
        </w:rPr>
        <w:fldChar w:fldCharType="separate"/>
      </w:r>
      <w:r>
        <w:rPr>
          <w:noProof/>
        </w:rPr>
        <w:t>8</w:t>
      </w:r>
      <w:r>
        <w:rPr>
          <w:noProof/>
        </w:rPr>
        <w:fldChar w:fldCharType="end"/>
      </w:r>
    </w:p>
    <w:p w:rsidR="005C11E8" w:rsidRPr="00B4247F" w:rsidRDefault="005C11E8">
      <w:pPr>
        <w:pStyle w:val="TOC2"/>
        <w:rPr>
          <w:rFonts w:ascii="Calibri" w:hAnsi="Calibri"/>
          <w:noProof/>
          <w:sz w:val="22"/>
          <w:szCs w:val="22"/>
        </w:rPr>
      </w:pPr>
      <w:r>
        <w:rPr>
          <w:noProof/>
        </w:rPr>
        <w:t>4.5</w:t>
      </w:r>
      <w:r w:rsidRPr="00B4247F">
        <w:rPr>
          <w:rFonts w:ascii="Calibri" w:hAnsi="Calibri"/>
          <w:noProof/>
          <w:sz w:val="22"/>
          <w:szCs w:val="22"/>
        </w:rPr>
        <w:tab/>
      </w:r>
      <w:r>
        <w:rPr>
          <w:noProof/>
        </w:rPr>
        <w:t>Key issue #5 – Usage of network analytics</w:t>
      </w:r>
      <w:r>
        <w:rPr>
          <w:noProof/>
        </w:rPr>
        <w:tab/>
      </w:r>
      <w:r>
        <w:rPr>
          <w:noProof/>
        </w:rPr>
        <w:fldChar w:fldCharType="begin"/>
      </w:r>
      <w:r>
        <w:rPr>
          <w:noProof/>
        </w:rPr>
        <w:instrText xml:space="preserve"> PAGEREF _Toc131177461 \h </w:instrText>
      </w:r>
      <w:r>
        <w:rPr>
          <w:noProof/>
        </w:rPr>
      </w:r>
      <w:r>
        <w:rPr>
          <w:noProof/>
        </w:rPr>
        <w:fldChar w:fldCharType="separate"/>
      </w:r>
      <w:r>
        <w:rPr>
          <w:noProof/>
        </w:rPr>
        <w:t>9</w:t>
      </w:r>
      <w:r>
        <w:rPr>
          <w:noProof/>
        </w:rPr>
        <w:fldChar w:fldCharType="end"/>
      </w:r>
    </w:p>
    <w:p w:rsidR="005C11E8" w:rsidRPr="00B4247F" w:rsidRDefault="005C11E8">
      <w:pPr>
        <w:pStyle w:val="TOC2"/>
        <w:rPr>
          <w:rFonts w:ascii="Calibri" w:hAnsi="Calibri"/>
          <w:noProof/>
          <w:sz w:val="22"/>
          <w:szCs w:val="22"/>
        </w:rPr>
      </w:pPr>
      <w:r>
        <w:rPr>
          <w:noProof/>
        </w:rPr>
        <w:t>4.6</w:t>
      </w:r>
      <w:r w:rsidRPr="00B4247F">
        <w:rPr>
          <w:rFonts w:ascii="Calibri" w:hAnsi="Calibri"/>
          <w:noProof/>
          <w:sz w:val="22"/>
          <w:szCs w:val="22"/>
        </w:rPr>
        <w:tab/>
      </w:r>
      <w:r>
        <w:rPr>
          <w:noProof/>
        </w:rPr>
        <w:t>Key issue #6 – Enhanced network monitoring to support advanced V2X services</w:t>
      </w:r>
      <w:r>
        <w:rPr>
          <w:noProof/>
        </w:rPr>
        <w:tab/>
      </w:r>
      <w:r>
        <w:rPr>
          <w:noProof/>
        </w:rPr>
        <w:fldChar w:fldCharType="begin"/>
      </w:r>
      <w:r>
        <w:rPr>
          <w:noProof/>
        </w:rPr>
        <w:instrText xml:space="preserve"> PAGEREF _Toc131177462 \h </w:instrText>
      </w:r>
      <w:r>
        <w:rPr>
          <w:noProof/>
        </w:rPr>
      </w:r>
      <w:r>
        <w:rPr>
          <w:noProof/>
        </w:rPr>
        <w:fldChar w:fldCharType="separate"/>
      </w:r>
      <w:r>
        <w:rPr>
          <w:noProof/>
        </w:rPr>
        <w:t>9</w:t>
      </w:r>
      <w:r>
        <w:rPr>
          <w:noProof/>
        </w:rPr>
        <w:fldChar w:fldCharType="end"/>
      </w:r>
    </w:p>
    <w:p w:rsidR="005C11E8" w:rsidRPr="00B4247F" w:rsidRDefault="005C11E8">
      <w:pPr>
        <w:pStyle w:val="TOC1"/>
        <w:rPr>
          <w:rFonts w:ascii="Calibri" w:hAnsi="Calibri"/>
          <w:noProof/>
          <w:szCs w:val="22"/>
        </w:rPr>
      </w:pPr>
      <w:r>
        <w:rPr>
          <w:noProof/>
        </w:rPr>
        <w:t>5</w:t>
      </w:r>
      <w:r w:rsidRPr="00B4247F">
        <w:rPr>
          <w:rFonts w:ascii="Calibri" w:hAnsi="Calibri"/>
          <w:noProof/>
          <w:szCs w:val="22"/>
        </w:rPr>
        <w:tab/>
      </w:r>
      <w:r>
        <w:rPr>
          <w:noProof/>
        </w:rPr>
        <w:t>Architectural requirements</w:t>
      </w:r>
      <w:r>
        <w:rPr>
          <w:noProof/>
        </w:rPr>
        <w:tab/>
      </w:r>
      <w:r>
        <w:rPr>
          <w:noProof/>
        </w:rPr>
        <w:fldChar w:fldCharType="begin"/>
      </w:r>
      <w:r>
        <w:rPr>
          <w:noProof/>
        </w:rPr>
        <w:instrText xml:space="preserve"> PAGEREF _Toc131177463 \h </w:instrText>
      </w:r>
      <w:r>
        <w:rPr>
          <w:noProof/>
        </w:rPr>
      </w:r>
      <w:r>
        <w:rPr>
          <w:noProof/>
        </w:rPr>
        <w:fldChar w:fldCharType="separate"/>
      </w:r>
      <w:r>
        <w:rPr>
          <w:noProof/>
        </w:rPr>
        <w:t>9</w:t>
      </w:r>
      <w:r>
        <w:rPr>
          <w:noProof/>
        </w:rPr>
        <w:fldChar w:fldCharType="end"/>
      </w:r>
    </w:p>
    <w:p w:rsidR="005C11E8" w:rsidRPr="00B4247F" w:rsidRDefault="005C11E8">
      <w:pPr>
        <w:pStyle w:val="TOC2"/>
        <w:rPr>
          <w:rFonts w:ascii="Calibri" w:hAnsi="Calibri"/>
          <w:noProof/>
          <w:sz w:val="22"/>
          <w:szCs w:val="22"/>
        </w:rPr>
      </w:pPr>
      <w:r>
        <w:rPr>
          <w:noProof/>
        </w:rPr>
        <w:t>5.1</w:t>
      </w:r>
      <w:r w:rsidRPr="00B4247F">
        <w:rPr>
          <w:rFonts w:ascii="Calibri" w:hAnsi="Calibri"/>
          <w:noProof/>
          <w:sz w:val="22"/>
          <w:szCs w:val="22"/>
        </w:rPr>
        <w:tab/>
      </w:r>
      <w:r>
        <w:rPr>
          <w:noProof/>
        </w:rPr>
        <w:t>General requirements</w:t>
      </w:r>
      <w:r>
        <w:rPr>
          <w:noProof/>
        </w:rPr>
        <w:tab/>
      </w:r>
      <w:r>
        <w:rPr>
          <w:noProof/>
        </w:rPr>
        <w:fldChar w:fldCharType="begin"/>
      </w:r>
      <w:r>
        <w:rPr>
          <w:noProof/>
        </w:rPr>
        <w:instrText xml:space="preserve"> PAGEREF _Toc131177464 \h </w:instrText>
      </w:r>
      <w:r>
        <w:rPr>
          <w:noProof/>
        </w:rPr>
      </w:r>
      <w:r>
        <w:rPr>
          <w:noProof/>
        </w:rPr>
        <w:fldChar w:fldCharType="separate"/>
      </w:r>
      <w:r>
        <w:rPr>
          <w:noProof/>
        </w:rPr>
        <w:t>9</w:t>
      </w:r>
      <w:r>
        <w:rPr>
          <w:noProof/>
        </w:rPr>
        <w:fldChar w:fldCharType="end"/>
      </w:r>
    </w:p>
    <w:p w:rsidR="005C11E8" w:rsidRPr="00B4247F" w:rsidRDefault="005C11E8">
      <w:pPr>
        <w:pStyle w:val="TOC2"/>
        <w:rPr>
          <w:rFonts w:ascii="Calibri" w:hAnsi="Calibri"/>
          <w:noProof/>
          <w:sz w:val="22"/>
          <w:szCs w:val="22"/>
        </w:rPr>
      </w:pPr>
      <w:r>
        <w:rPr>
          <w:noProof/>
        </w:rPr>
        <w:t>5.2</w:t>
      </w:r>
      <w:r w:rsidRPr="00B4247F">
        <w:rPr>
          <w:rFonts w:ascii="Calibri" w:hAnsi="Calibri"/>
          <w:noProof/>
          <w:sz w:val="22"/>
          <w:szCs w:val="22"/>
        </w:rPr>
        <w:tab/>
      </w:r>
      <w:r>
        <w:rPr>
          <w:noProof/>
        </w:rPr>
        <w:t>VRU zone configuration requirements</w:t>
      </w:r>
      <w:r>
        <w:rPr>
          <w:noProof/>
        </w:rPr>
        <w:tab/>
      </w:r>
      <w:r>
        <w:rPr>
          <w:noProof/>
        </w:rPr>
        <w:fldChar w:fldCharType="begin"/>
      </w:r>
      <w:r>
        <w:rPr>
          <w:noProof/>
        </w:rPr>
        <w:instrText xml:space="preserve"> PAGEREF _Toc131177465 \h </w:instrText>
      </w:r>
      <w:r>
        <w:rPr>
          <w:noProof/>
        </w:rPr>
      </w:r>
      <w:r>
        <w:rPr>
          <w:noProof/>
        </w:rPr>
        <w:fldChar w:fldCharType="separate"/>
      </w:r>
      <w:r>
        <w:rPr>
          <w:noProof/>
        </w:rPr>
        <w:t>9</w:t>
      </w:r>
      <w:r>
        <w:rPr>
          <w:noProof/>
        </w:rPr>
        <w:fldChar w:fldCharType="end"/>
      </w:r>
    </w:p>
    <w:p w:rsidR="005C11E8" w:rsidRPr="00B4247F" w:rsidRDefault="005C11E8">
      <w:pPr>
        <w:pStyle w:val="TOC3"/>
        <w:rPr>
          <w:rFonts w:ascii="Calibri" w:hAnsi="Calibri"/>
          <w:noProof/>
          <w:sz w:val="22"/>
          <w:szCs w:val="22"/>
        </w:rPr>
      </w:pPr>
      <w:r>
        <w:rPr>
          <w:noProof/>
        </w:rPr>
        <w:t>5.2.1</w:t>
      </w:r>
      <w:r w:rsidRPr="00B4247F">
        <w:rPr>
          <w:rFonts w:ascii="Calibri" w:hAnsi="Calibri"/>
          <w:noProof/>
          <w:sz w:val="22"/>
          <w:szCs w:val="22"/>
        </w:rPr>
        <w:tab/>
      </w:r>
      <w:r>
        <w:rPr>
          <w:noProof/>
        </w:rPr>
        <w:t>Description</w:t>
      </w:r>
      <w:r>
        <w:rPr>
          <w:noProof/>
        </w:rPr>
        <w:tab/>
      </w:r>
      <w:r>
        <w:rPr>
          <w:noProof/>
        </w:rPr>
        <w:fldChar w:fldCharType="begin"/>
      </w:r>
      <w:r>
        <w:rPr>
          <w:noProof/>
        </w:rPr>
        <w:instrText xml:space="preserve"> PAGEREF _Toc131177466 \h </w:instrText>
      </w:r>
      <w:r>
        <w:rPr>
          <w:noProof/>
        </w:rPr>
      </w:r>
      <w:r>
        <w:rPr>
          <w:noProof/>
        </w:rPr>
        <w:fldChar w:fldCharType="separate"/>
      </w:r>
      <w:r>
        <w:rPr>
          <w:noProof/>
        </w:rPr>
        <w:t>9</w:t>
      </w:r>
      <w:r>
        <w:rPr>
          <w:noProof/>
        </w:rPr>
        <w:fldChar w:fldCharType="end"/>
      </w:r>
    </w:p>
    <w:p w:rsidR="005C11E8" w:rsidRPr="00B4247F" w:rsidRDefault="005C11E8">
      <w:pPr>
        <w:pStyle w:val="TOC3"/>
        <w:rPr>
          <w:rFonts w:ascii="Calibri" w:hAnsi="Calibri"/>
          <w:noProof/>
          <w:sz w:val="22"/>
          <w:szCs w:val="22"/>
        </w:rPr>
      </w:pPr>
      <w:r>
        <w:rPr>
          <w:noProof/>
        </w:rPr>
        <w:t>5.2.2</w:t>
      </w:r>
      <w:r w:rsidRPr="00B4247F">
        <w:rPr>
          <w:rFonts w:ascii="Calibri" w:hAnsi="Calibri"/>
          <w:noProof/>
          <w:sz w:val="22"/>
          <w:szCs w:val="22"/>
        </w:rPr>
        <w:tab/>
      </w:r>
      <w:r>
        <w:rPr>
          <w:noProof/>
        </w:rPr>
        <w:t>Requirements</w:t>
      </w:r>
      <w:r>
        <w:rPr>
          <w:noProof/>
        </w:rPr>
        <w:tab/>
      </w:r>
      <w:r>
        <w:rPr>
          <w:noProof/>
        </w:rPr>
        <w:fldChar w:fldCharType="begin"/>
      </w:r>
      <w:r>
        <w:rPr>
          <w:noProof/>
        </w:rPr>
        <w:instrText xml:space="preserve"> PAGEREF _Toc131177467 \h </w:instrText>
      </w:r>
      <w:r>
        <w:rPr>
          <w:noProof/>
        </w:rPr>
      </w:r>
      <w:r>
        <w:rPr>
          <w:noProof/>
        </w:rPr>
        <w:fldChar w:fldCharType="separate"/>
      </w:r>
      <w:r>
        <w:rPr>
          <w:noProof/>
        </w:rPr>
        <w:t>9</w:t>
      </w:r>
      <w:r>
        <w:rPr>
          <w:noProof/>
        </w:rPr>
        <w:fldChar w:fldCharType="end"/>
      </w:r>
    </w:p>
    <w:p w:rsidR="005C11E8" w:rsidRPr="00B4247F" w:rsidRDefault="005C11E8">
      <w:pPr>
        <w:pStyle w:val="TOC2"/>
        <w:rPr>
          <w:rFonts w:ascii="Calibri" w:hAnsi="Calibri"/>
          <w:noProof/>
          <w:sz w:val="22"/>
          <w:szCs w:val="22"/>
        </w:rPr>
      </w:pPr>
      <w:r>
        <w:rPr>
          <w:noProof/>
        </w:rPr>
        <w:t>5.3</w:t>
      </w:r>
      <w:r w:rsidRPr="00B4247F">
        <w:rPr>
          <w:rFonts w:ascii="Calibri" w:hAnsi="Calibri"/>
          <w:noProof/>
          <w:sz w:val="22"/>
          <w:szCs w:val="22"/>
        </w:rPr>
        <w:tab/>
      </w:r>
      <w:r>
        <w:rPr>
          <w:noProof/>
        </w:rPr>
        <w:t>V2P communications requirements</w:t>
      </w:r>
      <w:r>
        <w:rPr>
          <w:noProof/>
        </w:rPr>
        <w:tab/>
      </w:r>
      <w:r>
        <w:rPr>
          <w:noProof/>
        </w:rPr>
        <w:fldChar w:fldCharType="begin"/>
      </w:r>
      <w:r>
        <w:rPr>
          <w:noProof/>
        </w:rPr>
        <w:instrText xml:space="preserve"> PAGEREF _Toc131177468 \h </w:instrText>
      </w:r>
      <w:r>
        <w:rPr>
          <w:noProof/>
        </w:rPr>
      </w:r>
      <w:r>
        <w:rPr>
          <w:noProof/>
        </w:rPr>
        <w:fldChar w:fldCharType="separate"/>
      </w:r>
      <w:r>
        <w:rPr>
          <w:noProof/>
        </w:rPr>
        <w:t>10</w:t>
      </w:r>
      <w:r>
        <w:rPr>
          <w:noProof/>
        </w:rPr>
        <w:fldChar w:fldCharType="end"/>
      </w:r>
    </w:p>
    <w:p w:rsidR="005C11E8" w:rsidRPr="00B4247F" w:rsidRDefault="005C11E8">
      <w:pPr>
        <w:pStyle w:val="TOC3"/>
        <w:rPr>
          <w:rFonts w:ascii="Calibri" w:hAnsi="Calibri"/>
          <w:noProof/>
          <w:sz w:val="22"/>
          <w:szCs w:val="22"/>
        </w:rPr>
      </w:pPr>
      <w:r>
        <w:rPr>
          <w:noProof/>
        </w:rPr>
        <w:t>5.3.1</w:t>
      </w:r>
      <w:r w:rsidRPr="00B4247F">
        <w:rPr>
          <w:rFonts w:ascii="Calibri" w:hAnsi="Calibri"/>
          <w:noProof/>
          <w:sz w:val="22"/>
          <w:szCs w:val="22"/>
        </w:rPr>
        <w:tab/>
      </w:r>
      <w:r>
        <w:rPr>
          <w:noProof/>
        </w:rPr>
        <w:t>Description</w:t>
      </w:r>
      <w:r>
        <w:rPr>
          <w:noProof/>
        </w:rPr>
        <w:tab/>
      </w:r>
      <w:r>
        <w:rPr>
          <w:noProof/>
        </w:rPr>
        <w:fldChar w:fldCharType="begin"/>
      </w:r>
      <w:r>
        <w:rPr>
          <w:noProof/>
        </w:rPr>
        <w:instrText xml:space="preserve"> PAGEREF _Toc131177469 \h </w:instrText>
      </w:r>
      <w:r>
        <w:rPr>
          <w:noProof/>
        </w:rPr>
      </w:r>
      <w:r>
        <w:rPr>
          <w:noProof/>
        </w:rPr>
        <w:fldChar w:fldCharType="separate"/>
      </w:r>
      <w:r>
        <w:rPr>
          <w:noProof/>
        </w:rPr>
        <w:t>10</w:t>
      </w:r>
      <w:r>
        <w:rPr>
          <w:noProof/>
        </w:rPr>
        <w:fldChar w:fldCharType="end"/>
      </w:r>
    </w:p>
    <w:p w:rsidR="005C11E8" w:rsidRPr="00B4247F" w:rsidRDefault="005C11E8">
      <w:pPr>
        <w:pStyle w:val="TOC3"/>
        <w:rPr>
          <w:rFonts w:ascii="Calibri" w:hAnsi="Calibri"/>
          <w:noProof/>
          <w:sz w:val="22"/>
          <w:szCs w:val="22"/>
        </w:rPr>
      </w:pPr>
      <w:r>
        <w:rPr>
          <w:noProof/>
        </w:rPr>
        <w:t>5.3.2</w:t>
      </w:r>
      <w:r w:rsidRPr="00B4247F">
        <w:rPr>
          <w:rFonts w:ascii="Calibri" w:hAnsi="Calibri"/>
          <w:noProof/>
          <w:sz w:val="22"/>
          <w:szCs w:val="22"/>
        </w:rPr>
        <w:tab/>
      </w:r>
      <w:r>
        <w:rPr>
          <w:noProof/>
        </w:rPr>
        <w:t>Requirements</w:t>
      </w:r>
      <w:r>
        <w:rPr>
          <w:noProof/>
        </w:rPr>
        <w:tab/>
      </w:r>
      <w:r>
        <w:rPr>
          <w:noProof/>
        </w:rPr>
        <w:fldChar w:fldCharType="begin"/>
      </w:r>
      <w:r>
        <w:rPr>
          <w:noProof/>
        </w:rPr>
        <w:instrText xml:space="preserve"> PAGEREF _Toc131177470 \h </w:instrText>
      </w:r>
      <w:r>
        <w:rPr>
          <w:noProof/>
        </w:rPr>
      </w:r>
      <w:r>
        <w:rPr>
          <w:noProof/>
        </w:rPr>
        <w:fldChar w:fldCharType="separate"/>
      </w:r>
      <w:r>
        <w:rPr>
          <w:noProof/>
        </w:rPr>
        <w:t>10</w:t>
      </w:r>
      <w:r>
        <w:rPr>
          <w:noProof/>
        </w:rPr>
        <w:fldChar w:fldCharType="end"/>
      </w:r>
    </w:p>
    <w:p w:rsidR="005C11E8" w:rsidRPr="00B4247F" w:rsidRDefault="005C11E8">
      <w:pPr>
        <w:pStyle w:val="TOC1"/>
        <w:rPr>
          <w:rFonts w:ascii="Calibri" w:hAnsi="Calibri"/>
          <w:noProof/>
          <w:szCs w:val="22"/>
        </w:rPr>
      </w:pPr>
      <w:r w:rsidRPr="005C11E8">
        <w:rPr>
          <w:noProof/>
        </w:rPr>
        <w:t>6</w:t>
      </w:r>
      <w:r w:rsidRPr="00B4247F">
        <w:rPr>
          <w:rFonts w:ascii="Calibri" w:hAnsi="Calibri"/>
          <w:noProof/>
          <w:szCs w:val="22"/>
        </w:rPr>
        <w:tab/>
      </w:r>
      <w:r w:rsidRPr="005C11E8">
        <w:rPr>
          <w:noProof/>
        </w:rPr>
        <w:t>Solutions</w:t>
      </w:r>
      <w:r>
        <w:rPr>
          <w:noProof/>
        </w:rPr>
        <w:tab/>
      </w:r>
      <w:r>
        <w:rPr>
          <w:noProof/>
        </w:rPr>
        <w:fldChar w:fldCharType="begin"/>
      </w:r>
      <w:r>
        <w:rPr>
          <w:noProof/>
        </w:rPr>
        <w:instrText xml:space="preserve"> PAGEREF _Toc131177471 \h </w:instrText>
      </w:r>
      <w:r>
        <w:rPr>
          <w:noProof/>
        </w:rPr>
      </w:r>
      <w:r>
        <w:rPr>
          <w:noProof/>
        </w:rPr>
        <w:fldChar w:fldCharType="separate"/>
      </w:r>
      <w:r>
        <w:rPr>
          <w:noProof/>
        </w:rPr>
        <w:t>10</w:t>
      </w:r>
      <w:r>
        <w:rPr>
          <w:noProof/>
        </w:rPr>
        <w:fldChar w:fldCharType="end"/>
      </w:r>
    </w:p>
    <w:p w:rsidR="005C11E8" w:rsidRPr="00B4247F" w:rsidRDefault="005C11E8">
      <w:pPr>
        <w:pStyle w:val="TOC2"/>
        <w:rPr>
          <w:rFonts w:ascii="Calibri" w:hAnsi="Calibri"/>
          <w:noProof/>
          <w:sz w:val="22"/>
          <w:szCs w:val="22"/>
        </w:rPr>
      </w:pPr>
      <w:r w:rsidRPr="005C11E8">
        <w:rPr>
          <w:noProof/>
        </w:rPr>
        <w:t>6.1</w:t>
      </w:r>
      <w:r w:rsidRPr="00B4247F">
        <w:rPr>
          <w:rFonts w:ascii="Calibri" w:hAnsi="Calibri"/>
          <w:noProof/>
          <w:sz w:val="22"/>
          <w:szCs w:val="22"/>
        </w:rPr>
        <w:tab/>
      </w:r>
      <w:r w:rsidRPr="005C11E8">
        <w:rPr>
          <w:noProof/>
        </w:rPr>
        <w:t>Solution #1 - VAE support for Energy Efficient V2P communications</w:t>
      </w:r>
      <w:r>
        <w:rPr>
          <w:noProof/>
        </w:rPr>
        <w:tab/>
      </w:r>
      <w:r>
        <w:rPr>
          <w:noProof/>
        </w:rPr>
        <w:fldChar w:fldCharType="begin"/>
      </w:r>
      <w:r>
        <w:rPr>
          <w:noProof/>
        </w:rPr>
        <w:instrText xml:space="preserve"> PAGEREF _Toc131177472 \h </w:instrText>
      </w:r>
      <w:r>
        <w:rPr>
          <w:noProof/>
        </w:rPr>
      </w:r>
      <w:r>
        <w:rPr>
          <w:noProof/>
        </w:rPr>
        <w:fldChar w:fldCharType="separate"/>
      </w:r>
      <w:r>
        <w:rPr>
          <w:noProof/>
        </w:rPr>
        <w:t>10</w:t>
      </w:r>
      <w:r>
        <w:rPr>
          <w:noProof/>
        </w:rPr>
        <w:fldChar w:fldCharType="end"/>
      </w:r>
    </w:p>
    <w:p w:rsidR="005C11E8" w:rsidRPr="00B4247F" w:rsidRDefault="005C11E8">
      <w:pPr>
        <w:pStyle w:val="TOC3"/>
        <w:rPr>
          <w:rFonts w:ascii="Calibri" w:hAnsi="Calibri"/>
          <w:noProof/>
          <w:sz w:val="22"/>
          <w:szCs w:val="22"/>
        </w:rPr>
      </w:pPr>
      <w:r w:rsidRPr="005C11E8">
        <w:rPr>
          <w:noProof/>
        </w:rPr>
        <w:t>6.1.1</w:t>
      </w:r>
      <w:r w:rsidRPr="00B4247F">
        <w:rPr>
          <w:rFonts w:ascii="Calibri" w:hAnsi="Calibri"/>
          <w:noProof/>
          <w:sz w:val="22"/>
          <w:szCs w:val="22"/>
        </w:rPr>
        <w:tab/>
      </w:r>
      <w:r w:rsidRPr="005C11E8">
        <w:rPr>
          <w:noProof/>
        </w:rPr>
        <w:t>Solution description</w:t>
      </w:r>
      <w:r>
        <w:rPr>
          <w:noProof/>
        </w:rPr>
        <w:tab/>
      </w:r>
      <w:r>
        <w:rPr>
          <w:noProof/>
        </w:rPr>
        <w:fldChar w:fldCharType="begin"/>
      </w:r>
      <w:r>
        <w:rPr>
          <w:noProof/>
        </w:rPr>
        <w:instrText xml:space="preserve"> PAGEREF _Toc131177473 \h </w:instrText>
      </w:r>
      <w:r>
        <w:rPr>
          <w:noProof/>
        </w:rPr>
      </w:r>
      <w:r>
        <w:rPr>
          <w:noProof/>
        </w:rPr>
        <w:fldChar w:fldCharType="separate"/>
      </w:r>
      <w:r>
        <w:rPr>
          <w:noProof/>
        </w:rPr>
        <w:t>10</w:t>
      </w:r>
      <w:r>
        <w:rPr>
          <w:noProof/>
        </w:rPr>
        <w:fldChar w:fldCharType="end"/>
      </w:r>
    </w:p>
    <w:p w:rsidR="005C11E8" w:rsidRPr="00B4247F" w:rsidRDefault="005C11E8">
      <w:pPr>
        <w:pStyle w:val="TOC4"/>
        <w:rPr>
          <w:rFonts w:ascii="Calibri" w:hAnsi="Calibri"/>
          <w:noProof/>
          <w:sz w:val="22"/>
          <w:szCs w:val="22"/>
        </w:rPr>
      </w:pPr>
      <w:r>
        <w:rPr>
          <w:noProof/>
        </w:rPr>
        <w:t>6.1.1.1</w:t>
      </w:r>
      <w:r w:rsidRPr="00B4247F">
        <w:rPr>
          <w:rFonts w:ascii="Calibri" w:hAnsi="Calibri"/>
          <w:noProof/>
          <w:sz w:val="22"/>
          <w:szCs w:val="22"/>
        </w:rPr>
        <w:tab/>
      </w:r>
      <w:r>
        <w:rPr>
          <w:noProof/>
        </w:rPr>
        <w:t>General</w:t>
      </w:r>
      <w:r>
        <w:rPr>
          <w:noProof/>
        </w:rPr>
        <w:tab/>
      </w:r>
      <w:r>
        <w:rPr>
          <w:noProof/>
        </w:rPr>
        <w:fldChar w:fldCharType="begin"/>
      </w:r>
      <w:r>
        <w:rPr>
          <w:noProof/>
        </w:rPr>
        <w:instrText xml:space="preserve"> PAGEREF _Toc131177474 \h </w:instrText>
      </w:r>
      <w:r>
        <w:rPr>
          <w:noProof/>
        </w:rPr>
      </w:r>
      <w:r>
        <w:rPr>
          <w:noProof/>
        </w:rPr>
        <w:fldChar w:fldCharType="separate"/>
      </w:r>
      <w:r>
        <w:rPr>
          <w:noProof/>
        </w:rPr>
        <w:t>10</w:t>
      </w:r>
      <w:r>
        <w:rPr>
          <w:noProof/>
        </w:rPr>
        <w:fldChar w:fldCharType="end"/>
      </w:r>
    </w:p>
    <w:p w:rsidR="005C11E8" w:rsidRPr="00B4247F" w:rsidRDefault="005C11E8">
      <w:pPr>
        <w:pStyle w:val="TOC4"/>
        <w:rPr>
          <w:rFonts w:ascii="Calibri" w:hAnsi="Calibri"/>
          <w:noProof/>
          <w:sz w:val="22"/>
          <w:szCs w:val="22"/>
        </w:rPr>
      </w:pPr>
      <w:r>
        <w:rPr>
          <w:noProof/>
        </w:rPr>
        <w:t>6.1.1.2</w:t>
      </w:r>
      <w:r w:rsidRPr="00B4247F">
        <w:rPr>
          <w:rFonts w:ascii="Calibri" w:hAnsi="Calibri"/>
          <w:noProof/>
          <w:sz w:val="22"/>
          <w:szCs w:val="22"/>
        </w:rPr>
        <w:tab/>
      </w:r>
      <w:r>
        <w:rPr>
          <w:noProof/>
        </w:rPr>
        <w:t>Procedures</w:t>
      </w:r>
      <w:r>
        <w:rPr>
          <w:noProof/>
        </w:rPr>
        <w:tab/>
      </w:r>
      <w:r>
        <w:rPr>
          <w:noProof/>
        </w:rPr>
        <w:fldChar w:fldCharType="begin"/>
      </w:r>
      <w:r>
        <w:rPr>
          <w:noProof/>
        </w:rPr>
        <w:instrText xml:space="preserve"> PAGEREF _Toc131177475 \h </w:instrText>
      </w:r>
      <w:r>
        <w:rPr>
          <w:noProof/>
        </w:rPr>
      </w:r>
      <w:r>
        <w:rPr>
          <w:noProof/>
        </w:rPr>
        <w:fldChar w:fldCharType="separate"/>
      </w:r>
      <w:r>
        <w:rPr>
          <w:noProof/>
        </w:rPr>
        <w:t>10</w:t>
      </w:r>
      <w:r>
        <w:rPr>
          <w:noProof/>
        </w:rPr>
        <w:fldChar w:fldCharType="end"/>
      </w:r>
    </w:p>
    <w:p w:rsidR="005C11E8" w:rsidRPr="00B4247F" w:rsidRDefault="005C11E8">
      <w:pPr>
        <w:pStyle w:val="TOC5"/>
        <w:rPr>
          <w:rFonts w:ascii="Calibri" w:hAnsi="Calibri"/>
          <w:noProof/>
          <w:sz w:val="22"/>
          <w:szCs w:val="22"/>
        </w:rPr>
      </w:pPr>
      <w:r>
        <w:rPr>
          <w:noProof/>
        </w:rPr>
        <w:t>6.1.1.2.1</w:t>
      </w:r>
      <w:r w:rsidRPr="00B4247F">
        <w:rPr>
          <w:rFonts w:ascii="Calibri" w:hAnsi="Calibri"/>
          <w:noProof/>
          <w:sz w:val="22"/>
          <w:szCs w:val="22"/>
        </w:rPr>
        <w:tab/>
      </w:r>
      <w:r>
        <w:rPr>
          <w:noProof/>
        </w:rPr>
        <w:t>Procedure</w:t>
      </w:r>
      <w:r w:rsidRPr="0084464A">
        <w:rPr>
          <w:noProof/>
          <w:lang w:val="en-US"/>
        </w:rPr>
        <w:t xml:space="preserve"> for VAE client enabled V2P communication schedule configuration</w:t>
      </w:r>
      <w:r>
        <w:rPr>
          <w:noProof/>
        </w:rPr>
        <w:tab/>
      </w:r>
      <w:r>
        <w:rPr>
          <w:noProof/>
        </w:rPr>
        <w:fldChar w:fldCharType="begin"/>
      </w:r>
      <w:r>
        <w:rPr>
          <w:noProof/>
        </w:rPr>
        <w:instrText xml:space="preserve"> PAGEREF _Toc131177476 \h </w:instrText>
      </w:r>
      <w:r>
        <w:rPr>
          <w:noProof/>
        </w:rPr>
      </w:r>
      <w:r>
        <w:rPr>
          <w:noProof/>
        </w:rPr>
        <w:fldChar w:fldCharType="separate"/>
      </w:r>
      <w:r>
        <w:rPr>
          <w:noProof/>
        </w:rPr>
        <w:t>11</w:t>
      </w:r>
      <w:r>
        <w:rPr>
          <w:noProof/>
        </w:rPr>
        <w:fldChar w:fldCharType="end"/>
      </w:r>
    </w:p>
    <w:p w:rsidR="005C11E8" w:rsidRPr="00B4247F" w:rsidRDefault="005C11E8">
      <w:pPr>
        <w:pStyle w:val="TOC5"/>
        <w:rPr>
          <w:rFonts w:ascii="Calibri" w:hAnsi="Calibri"/>
          <w:noProof/>
          <w:sz w:val="22"/>
          <w:szCs w:val="22"/>
        </w:rPr>
      </w:pPr>
      <w:r>
        <w:rPr>
          <w:noProof/>
        </w:rPr>
        <w:t>6.1.1.2.2</w:t>
      </w:r>
      <w:r w:rsidRPr="00B4247F">
        <w:rPr>
          <w:rFonts w:ascii="Calibri" w:hAnsi="Calibri"/>
          <w:noProof/>
          <w:sz w:val="22"/>
          <w:szCs w:val="22"/>
        </w:rPr>
        <w:tab/>
      </w:r>
      <w:r>
        <w:rPr>
          <w:noProof/>
        </w:rPr>
        <w:t>Procedure</w:t>
      </w:r>
      <w:r w:rsidRPr="0084464A">
        <w:rPr>
          <w:noProof/>
          <w:lang w:val="en-US"/>
        </w:rPr>
        <w:t xml:space="preserve"> for VAE server enabled V2P communication schedule configuration</w:t>
      </w:r>
      <w:r>
        <w:rPr>
          <w:noProof/>
        </w:rPr>
        <w:tab/>
      </w:r>
      <w:r>
        <w:rPr>
          <w:noProof/>
        </w:rPr>
        <w:fldChar w:fldCharType="begin"/>
      </w:r>
      <w:r>
        <w:rPr>
          <w:noProof/>
        </w:rPr>
        <w:instrText xml:space="preserve"> PAGEREF _Toc131177477 \h </w:instrText>
      </w:r>
      <w:r>
        <w:rPr>
          <w:noProof/>
        </w:rPr>
      </w:r>
      <w:r>
        <w:rPr>
          <w:noProof/>
        </w:rPr>
        <w:fldChar w:fldCharType="separate"/>
      </w:r>
      <w:r>
        <w:rPr>
          <w:noProof/>
        </w:rPr>
        <w:t>12</w:t>
      </w:r>
      <w:r>
        <w:rPr>
          <w:noProof/>
        </w:rPr>
        <w:fldChar w:fldCharType="end"/>
      </w:r>
    </w:p>
    <w:p w:rsidR="005C11E8" w:rsidRPr="00B4247F" w:rsidRDefault="005C11E8">
      <w:pPr>
        <w:pStyle w:val="TOC3"/>
        <w:rPr>
          <w:rFonts w:ascii="Calibri" w:hAnsi="Calibri"/>
          <w:noProof/>
          <w:sz w:val="22"/>
          <w:szCs w:val="22"/>
        </w:rPr>
      </w:pPr>
      <w:r>
        <w:rPr>
          <w:noProof/>
        </w:rPr>
        <w:t>6.1.2</w:t>
      </w:r>
      <w:r w:rsidRPr="00B4247F">
        <w:rPr>
          <w:rFonts w:ascii="Calibri" w:hAnsi="Calibri"/>
          <w:noProof/>
          <w:sz w:val="22"/>
          <w:szCs w:val="22"/>
        </w:rPr>
        <w:tab/>
      </w:r>
      <w:r>
        <w:rPr>
          <w:noProof/>
        </w:rPr>
        <w:t>Solution evaluation</w:t>
      </w:r>
      <w:r>
        <w:rPr>
          <w:noProof/>
        </w:rPr>
        <w:tab/>
      </w:r>
      <w:r>
        <w:rPr>
          <w:noProof/>
        </w:rPr>
        <w:fldChar w:fldCharType="begin"/>
      </w:r>
      <w:r>
        <w:rPr>
          <w:noProof/>
        </w:rPr>
        <w:instrText xml:space="preserve"> PAGEREF _Toc131177478 \h </w:instrText>
      </w:r>
      <w:r>
        <w:rPr>
          <w:noProof/>
        </w:rPr>
      </w:r>
      <w:r>
        <w:rPr>
          <w:noProof/>
        </w:rPr>
        <w:fldChar w:fldCharType="separate"/>
      </w:r>
      <w:r>
        <w:rPr>
          <w:noProof/>
        </w:rPr>
        <w:t>13</w:t>
      </w:r>
      <w:r>
        <w:rPr>
          <w:noProof/>
        </w:rPr>
        <w:fldChar w:fldCharType="end"/>
      </w:r>
    </w:p>
    <w:p w:rsidR="005C11E8" w:rsidRPr="00B4247F" w:rsidRDefault="005C11E8">
      <w:pPr>
        <w:pStyle w:val="TOC2"/>
        <w:rPr>
          <w:rFonts w:ascii="Calibri" w:hAnsi="Calibri"/>
          <w:noProof/>
          <w:sz w:val="22"/>
          <w:szCs w:val="22"/>
        </w:rPr>
      </w:pPr>
      <w:r w:rsidRPr="0084464A">
        <w:rPr>
          <w:noProof/>
          <w:lang w:val="en-US"/>
        </w:rPr>
        <w:t>6.2</w:t>
      </w:r>
      <w:r w:rsidRPr="00B4247F">
        <w:rPr>
          <w:rFonts w:ascii="Calibri" w:hAnsi="Calibri"/>
          <w:noProof/>
          <w:sz w:val="22"/>
          <w:szCs w:val="22"/>
        </w:rPr>
        <w:tab/>
      </w:r>
      <w:r w:rsidRPr="0084464A">
        <w:rPr>
          <w:noProof/>
          <w:lang w:val="en-US"/>
        </w:rPr>
        <w:t>Solution #2 - Support for VRU zone configuration and operation</w:t>
      </w:r>
      <w:r>
        <w:rPr>
          <w:noProof/>
        </w:rPr>
        <w:tab/>
      </w:r>
      <w:r>
        <w:rPr>
          <w:noProof/>
        </w:rPr>
        <w:fldChar w:fldCharType="begin"/>
      </w:r>
      <w:r>
        <w:rPr>
          <w:noProof/>
        </w:rPr>
        <w:instrText xml:space="preserve"> PAGEREF _Toc131177479 \h </w:instrText>
      </w:r>
      <w:r>
        <w:rPr>
          <w:noProof/>
        </w:rPr>
      </w:r>
      <w:r>
        <w:rPr>
          <w:noProof/>
        </w:rPr>
        <w:fldChar w:fldCharType="separate"/>
      </w:r>
      <w:r>
        <w:rPr>
          <w:noProof/>
        </w:rPr>
        <w:t>13</w:t>
      </w:r>
      <w:r>
        <w:rPr>
          <w:noProof/>
        </w:rPr>
        <w:fldChar w:fldCharType="end"/>
      </w:r>
    </w:p>
    <w:p w:rsidR="005C11E8" w:rsidRPr="00B4247F" w:rsidRDefault="005C11E8">
      <w:pPr>
        <w:pStyle w:val="TOC3"/>
        <w:rPr>
          <w:rFonts w:ascii="Calibri" w:hAnsi="Calibri"/>
          <w:noProof/>
          <w:sz w:val="22"/>
          <w:szCs w:val="22"/>
        </w:rPr>
      </w:pPr>
      <w:r>
        <w:rPr>
          <w:noProof/>
        </w:rPr>
        <w:t>6.2.1</w:t>
      </w:r>
      <w:r w:rsidRPr="00B4247F">
        <w:rPr>
          <w:rFonts w:ascii="Calibri" w:hAnsi="Calibri"/>
          <w:noProof/>
          <w:sz w:val="22"/>
          <w:szCs w:val="22"/>
        </w:rPr>
        <w:tab/>
      </w:r>
      <w:r>
        <w:rPr>
          <w:noProof/>
        </w:rPr>
        <w:t>Solution description</w:t>
      </w:r>
      <w:r>
        <w:rPr>
          <w:noProof/>
        </w:rPr>
        <w:tab/>
      </w:r>
      <w:r>
        <w:rPr>
          <w:noProof/>
        </w:rPr>
        <w:fldChar w:fldCharType="begin"/>
      </w:r>
      <w:r>
        <w:rPr>
          <w:noProof/>
        </w:rPr>
        <w:instrText xml:space="preserve"> PAGEREF _Toc131177480 \h </w:instrText>
      </w:r>
      <w:r>
        <w:rPr>
          <w:noProof/>
        </w:rPr>
      </w:r>
      <w:r>
        <w:rPr>
          <w:noProof/>
        </w:rPr>
        <w:fldChar w:fldCharType="separate"/>
      </w:r>
      <w:r>
        <w:rPr>
          <w:noProof/>
        </w:rPr>
        <w:t>13</w:t>
      </w:r>
      <w:r>
        <w:rPr>
          <w:noProof/>
        </w:rPr>
        <w:fldChar w:fldCharType="end"/>
      </w:r>
    </w:p>
    <w:p w:rsidR="005C11E8" w:rsidRPr="00B4247F" w:rsidRDefault="005C11E8">
      <w:pPr>
        <w:pStyle w:val="TOC4"/>
        <w:rPr>
          <w:rFonts w:ascii="Calibri" w:hAnsi="Calibri"/>
          <w:noProof/>
          <w:sz w:val="22"/>
          <w:szCs w:val="22"/>
        </w:rPr>
      </w:pPr>
      <w:r>
        <w:rPr>
          <w:noProof/>
        </w:rPr>
        <w:t>6.2.1.1</w:t>
      </w:r>
      <w:r w:rsidRPr="00B4247F">
        <w:rPr>
          <w:rFonts w:ascii="Calibri" w:hAnsi="Calibri"/>
          <w:noProof/>
          <w:sz w:val="22"/>
          <w:szCs w:val="22"/>
        </w:rPr>
        <w:tab/>
      </w:r>
      <w:r>
        <w:rPr>
          <w:noProof/>
        </w:rPr>
        <w:t>Procedure on VAL server - triggered VRU zone creation</w:t>
      </w:r>
      <w:r>
        <w:rPr>
          <w:noProof/>
        </w:rPr>
        <w:tab/>
      </w:r>
      <w:r>
        <w:rPr>
          <w:noProof/>
        </w:rPr>
        <w:fldChar w:fldCharType="begin"/>
      </w:r>
      <w:r>
        <w:rPr>
          <w:noProof/>
        </w:rPr>
        <w:instrText xml:space="preserve"> PAGEREF _Toc131177481 \h </w:instrText>
      </w:r>
      <w:r>
        <w:rPr>
          <w:noProof/>
        </w:rPr>
      </w:r>
      <w:r>
        <w:rPr>
          <w:noProof/>
        </w:rPr>
        <w:fldChar w:fldCharType="separate"/>
      </w:r>
      <w:r>
        <w:rPr>
          <w:noProof/>
        </w:rPr>
        <w:t>13</w:t>
      </w:r>
      <w:r>
        <w:rPr>
          <w:noProof/>
        </w:rPr>
        <w:fldChar w:fldCharType="end"/>
      </w:r>
    </w:p>
    <w:p w:rsidR="005C11E8" w:rsidRPr="00B4247F" w:rsidRDefault="005C11E8">
      <w:pPr>
        <w:pStyle w:val="TOC3"/>
        <w:rPr>
          <w:rFonts w:ascii="Calibri" w:hAnsi="Calibri"/>
          <w:noProof/>
          <w:sz w:val="22"/>
          <w:szCs w:val="22"/>
        </w:rPr>
      </w:pPr>
      <w:r>
        <w:rPr>
          <w:noProof/>
        </w:rPr>
        <w:t>6.2.2</w:t>
      </w:r>
      <w:r w:rsidRPr="00B4247F">
        <w:rPr>
          <w:rFonts w:ascii="Calibri" w:hAnsi="Calibri"/>
          <w:noProof/>
          <w:sz w:val="22"/>
          <w:szCs w:val="22"/>
        </w:rPr>
        <w:tab/>
      </w:r>
      <w:r>
        <w:rPr>
          <w:noProof/>
        </w:rPr>
        <w:t>Solution evaluation</w:t>
      </w:r>
      <w:r>
        <w:rPr>
          <w:noProof/>
        </w:rPr>
        <w:tab/>
      </w:r>
      <w:r>
        <w:rPr>
          <w:noProof/>
        </w:rPr>
        <w:fldChar w:fldCharType="begin"/>
      </w:r>
      <w:r>
        <w:rPr>
          <w:noProof/>
        </w:rPr>
        <w:instrText xml:space="preserve"> PAGEREF _Toc131177482 \h </w:instrText>
      </w:r>
      <w:r>
        <w:rPr>
          <w:noProof/>
        </w:rPr>
      </w:r>
      <w:r>
        <w:rPr>
          <w:noProof/>
        </w:rPr>
        <w:fldChar w:fldCharType="separate"/>
      </w:r>
      <w:r>
        <w:rPr>
          <w:noProof/>
        </w:rPr>
        <w:t>15</w:t>
      </w:r>
      <w:r>
        <w:rPr>
          <w:noProof/>
        </w:rPr>
        <w:fldChar w:fldCharType="end"/>
      </w:r>
    </w:p>
    <w:p w:rsidR="005C11E8" w:rsidRPr="00B4247F" w:rsidRDefault="005C11E8">
      <w:pPr>
        <w:pStyle w:val="TOC2"/>
        <w:rPr>
          <w:rFonts w:ascii="Calibri" w:hAnsi="Calibri"/>
          <w:noProof/>
          <w:sz w:val="22"/>
          <w:szCs w:val="22"/>
        </w:rPr>
      </w:pPr>
      <w:r w:rsidRPr="0084464A">
        <w:rPr>
          <w:rFonts w:eastAsia="SimSun"/>
          <w:noProof/>
          <w:lang w:val="en-IN"/>
        </w:rPr>
        <w:t>6.3</w:t>
      </w:r>
      <w:r w:rsidRPr="00B4247F">
        <w:rPr>
          <w:rFonts w:ascii="Calibri" w:hAnsi="Calibri"/>
          <w:noProof/>
          <w:sz w:val="22"/>
          <w:szCs w:val="22"/>
        </w:rPr>
        <w:tab/>
      </w:r>
      <w:r w:rsidRPr="0084464A">
        <w:rPr>
          <w:rFonts w:eastAsia="SimSun"/>
          <w:noProof/>
          <w:lang w:val="en-IN"/>
        </w:rPr>
        <w:t xml:space="preserve">Solution #3 - </w:t>
      </w:r>
      <w:r w:rsidRPr="0084464A">
        <w:rPr>
          <w:rFonts w:eastAsia="SimSun"/>
          <w:noProof/>
          <w:lang w:eastAsia="zh-CN"/>
        </w:rPr>
        <w:t>Deployment of V2X application layer with Edge Enabler Layer</w:t>
      </w:r>
      <w:r>
        <w:rPr>
          <w:noProof/>
        </w:rPr>
        <w:tab/>
      </w:r>
      <w:r>
        <w:rPr>
          <w:noProof/>
        </w:rPr>
        <w:fldChar w:fldCharType="begin"/>
      </w:r>
      <w:r>
        <w:rPr>
          <w:noProof/>
        </w:rPr>
        <w:instrText xml:space="preserve"> PAGEREF _Toc131177483 \h </w:instrText>
      </w:r>
      <w:r>
        <w:rPr>
          <w:noProof/>
        </w:rPr>
      </w:r>
      <w:r>
        <w:rPr>
          <w:noProof/>
        </w:rPr>
        <w:fldChar w:fldCharType="separate"/>
      </w:r>
      <w:r>
        <w:rPr>
          <w:noProof/>
        </w:rPr>
        <w:t>15</w:t>
      </w:r>
      <w:r>
        <w:rPr>
          <w:noProof/>
        </w:rPr>
        <w:fldChar w:fldCharType="end"/>
      </w:r>
    </w:p>
    <w:p w:rsidR="005C11E8" w:rsidRPr="00B4247F" w:rsidRDefault="005C11E8">
      <w:pPr>
        <w:pStyle w:val="TOC3"/>
        <w:rPr>
          <w:rFonts w:ascii="Calibri" w:hAnsi="Calibri"/>
          <w:noProof/>
          <w:sz w:val="22"/>
          <w:szCs w:val="22"/>
        </w:rPr>
      </w:pPr>
      <w:r>
        <w:rPr>
          <w:noProof/>
        </w:rPr>
        <w:t>6.3.1</w:t>
      </w:r>
      <w:r w:rsidRPr="00B4247F">
        <w:rPr>
          <w:rFonts w:ascii="Calibri" w:hAnsi="Calibri"/>
          <w:noProof/>
          <w:sz w:val="22"/>
          <w:szCs w:val="22"/>
        </w:rPr>
        <w:tab/>
      </w:r>
      <w:r>
        <w:rPr>
          <w:noProof/>
        </w:rPr>
        <w:t>Solution description</w:t>
      </w:r>
      <w:r>
        <w:rPr>
          <w:noProof/>
        </w:rPr>
        <w:tab/>
      </w:r>
      <w:r>
        <w:rPr>
          <w:noProof/>
        </w:rPr>
        <w:fldChar w:fldCharType="begin"/>
      </w:r>
      <w:r>
        <w:rPr>
          <w:noProof/>
        </w:rPr>
        <w:instrText xml:space="preserve"> PAGEREF _Toc131177484 \h </w:instrText>
      </w:r>
      <w:r>
        <w:rPr>
          <w:noProof/>
        </w:rPr>
      </w:r>
      <w:r>
        <w:rPr>
          <w:noProof/>
        </w:rPr>
        <w:fldChar w:fldCharType="separate"/>
      </w:r>
      <w:r>
        <w:rPr>
          <w:noProof/>
        </w:rPr>
        <w:t>15</w:t>
      </w:r>
      <w:r>
        <w:rPr>
          <w:noProof/>
        </w:rPr>
        <w:fldChar w:fldCharType="end"/>
      </w:r>
    </w:p>
    <w:p w:rsidR="005C11E8" w:rsidRPr="00B4247F" w:rsidRDefault="005C11E8">
      <w:pPr>
        <w:pStyle w:val="TOC3"/>
        <w:rPr>
          <w:rFonts w:ascii="Calibri" w:hAnsi="Calibri"/>
          <w:noProof/>
          <w:sz w:val="22"/>
          <w:szCs w:val="22"/>
        </w:rPr>
      </w:pPr>
      <w:r>
        <w:rPr>
          <w:noProof/>
        </w:rPr>
        <w:t>6.3.2</w:t>
      </w:r>
      <w:r w:rsidRPr="00B4247F">
        <w:rPr>
          <w:rFonts w:ascii="Calibri" w:hAnsi="Calibri"/>
          <w:noProof/>
          <w:sz w:val="22"/>
          <w:szCs w:val="22"/>
        </w:rPr>
        <w:tab/>
      </w:r>
      <w:r>
        <w:rPr>
          <w:noProof/>
        </w:rPr>
        <w:t>Solution evaluation</w:t>
      </w:r>
      <w:r>
        <w:rPr>
          <w:noProof/>
        </w:rPr>
        <w:tab/>
      </w:r>
      <w:r>
        <w:rPr>
          <w:noProof/>
        </w:rPr>
        <w:fldChar w:fldCharType="begin"/>
      </w:r>
      <w:r>
        <w:rPr>
          <w:noProof/>
        </w:rPr>
        <w:instrText xml:space="preserve"> PAGEREF _Toc131177485 \h </w:instrText>
      </w:r>
      <w:r>
        <w:rPr>
          <w:noProof/>
        </w:rPr>
      </w:r>
      <w:r>
        <w:rPr>
          <w:noProof/>
        </w:rPr>
        <w:fldChar w:fldCharType="separate"/>
      </w:r>
      <w:r>
        <w:rPr>
          <w:noProof/>
        </w:rPr>
        <w:t>16</w:t>
      </w:r>
      <w:r>
        <w:rPr>
          <w:noProof/>
        </w:rPr>
        <w:fldChar w:fldCharType="end"/>
      </w:r>
    </w:p>
    <w:p w:rsidR="005C11E8" w:rsidRPr="00B4247F" w:rsidRDefault="005C11E8">
      <w:pPr>
        <w:pStyle w:val="TOC2"/>
        <w:rPr>
          <w:rFonts w:ascii="Calibri" w:hAnsi="Calibri"/>
          <w:noProof/>
          <w:sz w:val="22"/>
          <w:szCs w:val="22"/>
        </w:rPr>
      </w:pPr>
      <w:r w:rsidRPr="0084464A">
        <w:rPr>
          <w:noProof/>
          <w:lang w:val="en-US"/>
        </w:rPr>
        <w:t>6.4</w:t>
      </w:r>
      <w:r w:rsidRPr="00B4247F">
        <w:rPr>
          <w:rFonts w:ascii="Calibri" w:hAnsi="Calibri"/>
          <w:noProof/>
          <w:sz w:val="22"/>
          <w:szCs w:val="22"/>
        </w:rPr>
        <w:tab/>
      </w:r>
      <w:r w:rsidRPr="0084464A">
        <w:rPr>
          <w:noProof/>
          <w:lang w:val="en-US"/>
        </w:rPr>
        <w:t>Solution #4 - UE initiated request for VRU zones</w:t>
      </w:r>
      <w:r>
        <w:rPr>
          <w:noProof/>
        </w:rPr>
        <w:tab/>
      </w:r>
      <w:r>
        <w:rPr>
          <w:noProof/>
        </w:rPr>
        <w:fldChar w:fldCharType="begin"/>
      </w:r>
      <w:r>
        <w:rPr>
          <w:noProof/>
        </w:rPr>
        <w:instrText xml:space="preserve"> PAGEREF _Toc131177486 \h </w:instrText>
      </w:r>
      <w:r>
        <w:rPr>
          <w:noProof/>
        </w:rPr>
      </w:r>
      <w:r>
        <w:rPr>
          <w:noProof/>
        </w:rPr>
        <w:fldChar w:fldCharType="separate"/>
      </w:r>
      <w:r>
        <w:rPr>
          <w:noProof/>
        </w:rPr>
        <w:t>16</w:t>
      </w:r>
      <w:r>
        <w:rPr>
          <w:noProof/>
        </w:rPr>
        <w:fldChar w:fldCharType="end"/>
      </w:r>
    </w:p>
    <w:p w:rsidR="005C11E8" w:rsidRPr="00B4247F" w:rsidRDefault="005C11E8">
      <w:pPr>
        <w:pStyle w:val="TOC3"/>
        <w:rPr>
          <w:rFonts w:ascii="Calibri" w:hAnsi="Calibri"/>
          <w:noProof/>
          <w:sz w:val="22"/>
          <w:szCs w:val="22"/>
        </w:rPr>
      </w:pPr>
      <w:r w:rsidRPr="0084464A">
        <w:rPr>
          <w:noProof/>
          <w:lang w:val="en-US"/>
        </w:rPr>
        <w:t>6.4.1</w:t>
      </w:r>
      <w:r w:rsidRPr="00B4247F">
        <w:rPr>
          <w:rFonts w:ascii="Calibri" w:hAnsi="Calibri"/>
          <w:noProof/>
          <w:sz w:val="22"/>
          <w:szCs w:val="22"/>
        </w:rPr>
        <w:tab/>
      </w:r>
      <w:r w:rsidRPr="0084464A">
        <w:rPr>
          <w:noProof/>
          <w:lang w:val="en-US"/>
        </w:rPr>
        <w:t>Solution description</w:t>
      </w:r>
      <w:r>
        <w:rPr>
          <w:noProof/>
        </w:rPr>
        <w:tab/>
      </w:r>
      <w:r>
        <w:rPr>
          <w:noProof/>
        </w:rPr>
        <w:fldChar w:fldCharType="begin"/>
      </w:r>
      <w:r>
        <w:rPr>
          <w:noProof/>
        </w:rPr>
        <w:instrText xml:space="preserve"> PAGEREF _Toc131177487 \h </w:instrText>
      </w:r>
      <w:r>
        <w:rPr>
          <w:noProof/>
        </w:rPr>
      </w:r>
      <w:r>
        <w:rPr>
          <w:noProof/>
        </w:rPr>
        <w:fldChar w:fldCharType="separate"/>
      </w:r>
      <w:r>
        <w:rPr>
          <w:noProof/>
        </w:rPr>
        <w:t>16</w:t>
      </w:r>
      <w:r>
        <w:rPr>
          <w:noProof/>
        </w:rPr>
        <w:fldChar w:fldCharType="end"/>
      </w:r>
    </w:p>
    <w:p w:rsidR="005C11E8" w:rsidRPr="00B4247F" w:rsidRDefault="005C11E8">
      <w:pPr>
        <w:pStyle w:val="TOC4"/>
        <w:rPr>
          <w:rFonts w:ascii="Calibri" w:hAnsi="Calibri"/>
          <w:noProof/>
          <w:sz w:val="22"/>
          <w:szCs w:val="22"/>
        </w:rPr>
      </w:pPr>
      <w:r w:rsidRPr="0084464A">
        <w:rPr>
          <w:noProof/>
          <w:lang w:val="en-US"/>
        </w:rPr>
        <w:t>6.4.1.1</w:t>
      </w:r>
      <w:r w:rsidRPr="00B4247F">
        <w:rPr>
          <w:rFonts w:ascii="Calibri" w:hAnsi="Calibri"/>
          <w:noProof/>
          <w:sz w:val="22"/>
          <w:szCs w:val="22"/>
        </w:rPr>
        <w:tab/>
      </w:r>
      <w:r w:rsidRPr="0084464A">
        <w:rPr>
          <w:noProof/>
          <w:lang w:val="en-US"/>
        </w:rPr>
        <w:t>General</w:t>
      </w:r>
      <w:r>
        <w:rPr>
          <w:noProof/>
        </w:rPr>
        <w:tab/>
      </w:r>
      <w:r>
        <w:rPr>
          <w:noProof/>
        </w:rPr>
        <w:fldChar w:fldCharType="begin"/>
      </w:r>
      <w:r>
        <w:rPr>
          <w:noProof/>
        </w:rPr>
        <w:instrText xml:space="preserve"> PAGEREF _Toc131177488 \h </w:instrText>
      </w:r>
      <w:r>
        <w:rPr>
          <w:noProof/>
        </w:rPr>
      </w:r>
      <w:r>
        <w:rPr>
          <w:noProof/>
        </w:rPr>
        <w:fldChar w:fldCharType="separate"/>
      </w:r>
      <w:r>
        <w:rPr>
          <w:noProof/>
        </w:rPr>
        <w:t>16</w:t>
      </w:r>
      <w:r>
        <w:rPr>
          <w:noProof/>
        </w:rPr>
        <w:fldChar w:fldCharType="end"/>
      </w:r>
    </w:p>
    <w:p w:rsidR="005C11E8" w:rsidRPr="00B4247F" w:rsidRDefault="005C11E8">
      <w:pPr>
        <w:pStyle w:val="TOC4"/>
        <w:rPr>
          <w:rFonts w:ascii="Calibri" w:hAnsi="Calibri"/>
          <w:noProof/>
          <w:sz w:val="22"/>
          <w:szCs w:val="22"/>
        </w:rPr>
      </w:pPr>
      <w:r w:rsidRPr="0084464A">
        <w:rPr>
          <w:noProof/>
          <w:lang w:val="en-US"/>
        </w:rPr>
        <w:t>6.4.1.2</w:t>
      </w:r>
      <w:r w:rsidRPr="00B4247F">
        <w:rPr>
          <w:rFonts w:ascii="Calibri" w:hAnsi="Calibri"/>
          <w:noProof/>
          <w:sz w:val="22"/>
          <w:szCs w:val="22"/>
        </w:rPr>
        <w:tab/>
      </w:r>
      <w:r w:rsidRPr="0084464A">
        <w:rPr>
          <w:noProof/>
          <w:lang w:val="en-US"/>
        </w:rPr>
        <w:t>Procedure</w:t>
      </w:r>
      <w:r>
        <w:rPr>
          <w:noProof/>
        </w:rPr>
        <w:tab/>
      </w:r>
      <w:r>
        <w:rPr>
          <w:noProof/>
        </w:rPr>
        <w:fldChar w:fldCharType="begin"/>
      </w:r>
      <w:r>
        <w:rPr>
          <w:noProof/>
        </w:rPr>
        <w:instrText xml:space="preserve"> PAGEREF _Toc131177489 \h </w:instrText>
      </w:r>
      <w:r>
        <w:rPr>
          <w:noProof/>
        </w:rPr>
      </w:r>
      <w:r>
        <w:rPr>
          <w:noProof/>
        </w:rPr>
        <w:fldChar w:fldCharType="separate"/>
      </w:r>
      <w:r>
        <w:rPr>
          <w:noProof/>
        </w:rPr>
        <w:t>17</w:t>
      </w:r>
      <w:r>
        <w:rPr>
          <w:noProof/>
        </w:rPr>
        <w:fldChar w:fldCharType="end"/>
      </w:r>
    </w:p>
    <w:p w:rsidR="005C11E8" w:rsidRPr="00B4247F" w:rsidRDefault="005C11E8">
      <w:pPr>
        <w:pStyle w:val="TOC2"/>
        <w:rPr>
          <w:rFonts w:ascii="Calibri" w:hAnsi="Calibri"/>
          <w:noProof/>
          <w:sz w:val="22"/>
          <w:szCs w:val="22"/>
        </w:rPr>
      </w:pPr>
      <w:r>
        <w:rPr>
          <w:noProof/>
        </w:rPr>
        <w:t>6.5</w:t>
      </w:r>
      <w:r w:rsidRPr="00B4247F">
        <w:rPr>
          <w:rFonts w:ascii="Calibri" w:hAnsi="Calibri"/>
          <w:noProof/>
          <w:sz w:val="22"/>
          <w:szCs w:val="22"/>
        </w:rPr>
        <w:tab/>
      </w:r>
      <w:r w:rsidRPr="0084464A">
        <w:rPr>
          <w:noProof/>
          <w:lang w:val="en-US"/>
        </w:rPr>
        <w:t xml:space="preserve">Solution #5 - </w:t>
      </w:r>
      <w:r>
        <w:rPr>
          <w:noProof/>
        </w:rPr>
        <w:t>Enhanced network monitoring</w:t>
      </w:r>
      <w:r>
        <w:rPr>
          <w:noProof/>
        </w:rPr>
        <w:tab/>
      </w:r>
      <w:r>
        <w:rPr>
          <w:noProof/>
        </w:rPr>
        <w:fldChar w:fldCharType="begin"/>
      </w:r>
      <w:r>
        <w:rPr>
          <w:noProof/>
        </w:rPr>
        <w:instrText xml:space="preserve"> PAGEREF _Toc131177490 \h </w:instrText>
      </w:r>
      <w:r>
        <w:rPr>
          <w:noProof/>
        </w:rPr>
      </w:r>
      <w:r>
        <w:rPr>
          <w:noProof/>
        </w:rPr>
        <w:fldChar w:fldCharType="separate"/>
      </w:r>
      <w:r>
        <w:rPr>
          <w:noProof/>
        </w:rPr>
        <w:t>18</w:t>
      </w:r>
      <w:r>
        <w:rPr>
          <w:noProof/>
        </w:rPr>
        <w:fldChar w:fldCharType="end"/>
      </w:r>
    </w:p>
    <w:p w:rsidR="005C11E8" w:rsidRPr="00B4247F" w:rsidRDefault="005C11E8">
      <w:pPr>
        <w:pStyle w:val="TOC3"/>
        <w:rPr>
          <w:rFonts w:ascii="Calibri" w:hAnsi="Calibri"/>
          <w:noProof/>
          <w:sz w:val="22"/>
          <w:szCs w:val="22"/>
        </w:rPr>
      </w:pPr>
      <w:r>
        <w:rPr>
          <w:noProof/>
        </w:rPr>
        <w:t>6.5.1</w:t>
      </w:r>
      <w:r w:rsidRPr="00B4247F">
        <w:rPr>
          <w:rFonts w:ascii="Calibri" w:hAnsi="Calibri"/>
          <w:noProof/>
          <w:sz w:val="22"/>
          <w:szCs w:val="22"/>
        </w:rPr>
        <w:tab/>
      </w:r>
      <w:r>
        <w:rPr>
          <w:noProof/>
        </w:rPr>
        <w:t>Solution description</w:t>
      </w:r>
      <w:r>
        <w:rPr>
          <w:noProof/>
        </w:rPr>
        <w:tab/>
      </w:r>
      <w:r>
        <w:rPr>
          <w:noProof/>
        </w:rPr>
        <w:fldChar w:fldCharType="begin"/>
      </w:r>
      <w:r>
        <w:rPr>
          <w:noProof/>
        </w:rPr>
        <w:instrText xml:space="preserve"> PAGEREF _Toc131177491 \h </w:instrText>
      </w:r>
      <w:r>
        <w:rPr>
          <w:noProof/>
        </w:rPr>
      </w:r>
      <w:r>
        <w:rPr>
          <w:noProof/>
        </w:rPr>
        <w:fldChar w:fldCharType="separate"/>
      </w:r>
      <w:r>
        <w:rPr>
          <w:noProof/>
        </w:rPr>
        <w:t>18</w:t>
      </w:r>
      <w:r>
        <w:rPr>
          <w:noProof/>
        </w:rPr>
        <w:fldChar w:fldCharType="end"/>
      </w:r>
    </w:p>
    <w:p w:rsidR="005C11E8" w:rsidRPr="00B4247F" w:rsidRDefault="005C11E8">
      <w:pPr>
        <w:pStyle w:val="TOC4"/>
        <w:rPr>
          <w:rFonts w:ascii="Calibri" w:hAnsi="Calibri"/>
          <w:noProof/>
          <w:sz w:val="22"/>
          <w:szCs w:val="22"/>
        </w:rPr>
      </w:pPr>
      <w:r>
        <w:rPr>
          <w:noProof/>
        </w:rPr>
        <w:t>6.5.1.1</w:t>
      </w:r>
      <w:r w:rsidRPr="00B4247F">
        <w:rPr>
          <w:rFonts w:ascii="Calibri" w:hAnsi="Calibri"/>
          <w:noProof/>
          <w:sz w:val="22"/>
          <w:szCs w:val="22"/>
        </w:rPr>
        <w:tab/>
      </w:r>
      <w:r>
        <w:rPr>
          <w:noProof/>
        </w:rPr>
        <w:t>General</w:t>
      </w:r>
      <w:r>
        <w:rPr>
          <w:noProof/>
        </w:rPr>
        <w:tab/>
      </w:r>
      <w:r>
        <w:rPr>
          <w:noProof/>
        </w:rPr>
        <w:fldChar w:fldCharType="begin"/>
      </w:r>
      <w:r>
        <w:rPr>
          <w:noProof/>
        </w:rPr>
        <w:instrText xml:space="preserve"> PAGEREF _Toc131177492 \h </w:instrText>
      </w:r>
      <w:r>
        <w:rPr>
          <w:noProof/>
        </w:rPr>
      </w:r>
      <w:r>
        <w:rPr>
          <w:noProof/>
        </w:rPr>
        <w:fldChar w:fldCharType="separate"/>
      </w:r>
      <w:r>
        <w:rPr>
          <w:noProof/>
        </w:rPr>
        <w:t>18</w:t>
      </w:r>
      <w:r>
        <w:rPr>
          <w:noProof/>
        </w:rPr>
        <w:fldChar w:fldCharType="end"/>
      </w:r>
    </w:p>
    <w:p w:rsidR="005C11E8" w:rsidRPr="00B4247F" w:rsidRDefault="005C11E8">
      <w:pPr>
        <w:pStyle w:val="TOC4"/>
        <w:rPr>
          <w:rFonts w:ascii="Calibri" w:hAnsi="Calibri"/>
          <w:noProof/>
          <w:sz w:val="22"/>
          <w:szCs w:val="22"/>
        </w:rPr>
      </w:pPr>
      <w:r>
        <w:rPr>
          <w:noProof/>
        </w:rPr>
        <w:t>6.5.1.2</w:t>
      </w:r>
      <w:r w:rsidRPr="00B4247F">
        <w:rPr>
          <w:rFonts w:ascii="Calibri" w:hAnsi="Calibri"/>
          <w:noProof/>
          <w:sz w:val="22"/>
          <w:szCs w:val="22"/>
        </w:rPr>
        <w:tab/>
      </w:r>
      <w:r>
        <w:rPr>
          <w:noProof/>
        </w:rPr>
        <w:t>Enhancements to subscription procedure in clause 9.7.3</w:t>
      </w:r>
      <w:r>
        <w:rPr>
          <w:noProof/>
        </w:rPr>
        <w:tab/>
      </w:r>
      <w:r>
        <w:rPr>
          <w:noProof/>
        </w:rPr>
        <w:fldChar w:fldCharType="begin"/>
      </w:r>
      <w:r>
        <w:rPr>
          <w:noProof/>
        </w:rPr>
        <w:instrText xml:space="preserve"> PAGEREF _Toc131177493 \h </w:instrText>
      </w:r>
      <w:r>
        <w:rPr>
          <w:noProof/>
        </w:rPr>
      </w:r>
      <w:r>
        <w:rPr>
          <w:noProof/>
        </w:rPr>
        <w:fldChar w:fldCharType="separate"/>
      </w:r>
      <w:r>
        <w:rPr>
          <w:noProof/>
        </w:rPr>
        <w:t>19</w:t>
      </w:r>
      <w:r>
        <w:rPr>
          <w:noProof/>
        </w:rPr>
        <w:fldChar w:fldCharType="end"/>
      </w:r>
    </w:p>
    <w:p w:rsidR="005C11E8" w:rsidRPr="00B4247F" w:rsidRDefault="005C11E8">
      <w:pPr>
        <w:pStyle w:val="TOC4"/>
        <w:rPr>
          <w:rFonts w:ascii="Calibri" w:hAnsi="Calibri"/>
          <w:noProof/>
          <w:sz w:val="22"/>
          <w:szCs w:val="22"/>
        </w:rPr>
      </w:pPr>
      <w:r>
        <w:rPr>
          <w:noProof/>
        </w:rPr>
        <w:t>6.5.1.3</w:t>
      </w:r>
      <w:r w:rsidRPr="00B4247F">
        <w:rPr>
          <w:rFonts w:ascii="Calibri" w:hAnsi="Calibri"/>
          <w:noProof/>
          <w:sz w:val="22"/>
          <w:szCs w:val="22"/>
        </w:rPr>
        <w:tab/>
      </w:r>
      <w:r>
        <w:rPr>
          <w:noProof/>
        </w:rPr>
        <w:t>Enhancements to notification procedure in clause 9.7.4</w:t>
      </w:r>
      <w:r>
        <w:rPr>
          <w:noProof/>
        </w:rPr>
        <w:tab/>
      </w:r>
      <w:r>
        <w:rPr>
          <w:noProof/>
        </w:rPr>
        <w:fldChar w:fldCharType="begin"/>
      </w:r>
      <w:r>
        <w:rPr>
          <w:noProof/>
        </w:rPr>
        <w:instrText xml:space="preserve"> PAGEREF _Toc131177494 \h </w:instrText>
      </w:r>
      <w:r>
        <w:rPr>
          <w:noProof/>
        </w:rPr>
      </w:r>
      <w:r>
        <w:rPr>
          <w:noProof/>
        </w:rPr>
        <w:fldChar w:fldCharType="separate"/>
      </w:r>
      <w:r>
        <w:rPr>
          <w:noProof/>
        </w:rPr>
        <w:t>19</w:t>
      </w:r>
      <w:r>
        <w:rPr>
          <w:noProof/>
        </w:rPr>
        <w:fldChar w:fldCharType="end"/>
      </w:r>
    </w:p>
    <w:p w:rsidR="005C11E8" w:rsidRPr="00B4247F" w:rsidRDefault="005C11E8">
      <w:pPr>
        <w:pStyle w:val="TOC3"/>
        <w:rPr>
          <w:rFonts w:ascii="Calibri" w:hAnsi="Calibri"/>
          <w:noProof/>
          <w:sz w:val="22"/>
          <w:szCs w:val="22"/>
        </w:rPr>
      </w:pPr>
      <w:r>
        <w:rPr>
          <w:noProof/>
        </w:rPr>
        <w:t>6.5.2</w:t>
      </w:r>
      <w:r w:rsidRPr="00B4247F">
        <w:rPr>
          <w:rFonts w:ascii="Calibri" w:hAnsi="Calibri"/>
          <w:noProof/>
          <w:sz w:val="22"/>
          <w:szCs w:val="22"/>
        </w:rPr>
        <w:tab/>
      </w:r>
      <w:r>
        <w:rPr>
          <w:noProof/>
        </w:rPr>
        <w:t>Solution evaluation</w:t>
      </w:r>
      <w:r>
        <w:rPr>
          <w:noProof/>
        </w:rPr>
        <w:tab/>
      </w:r>
      <w:r>
        <w:rPr>
          <w:noProof/>
        </w:rPr>
        <w:fldChar w:fldCharType="begin"/>
      </w:r>
      <w:r>
        <w:rPr>
          <w:noProof/>
        </w:rPr>
        <w:instrText xml:space="preserve"> PAGEREF _Toc131177495 \h </w:instrText>
      </w:r>
      <w:r>
        <w:rPr>
          <w:noProof/>
        </w:rPr>
      </w:r>
      <w:r>
        <w:rPr>
          <w:noProof/>
        </w:rPr>
        <w:fldChar w:fldCharType="separate"/>
      </w:r>
      <w:r>
        <w:rPr>
          <w:noProof/>
        </w:rPr>
        <w:t>19</w:t>
      </w:r>
      <w:r>
        <w:rPr>
          <w:noProof/>
        </w:rPr>
        <w:fldChar w:fldCharType="end"/>
      </w:r>
    </w:p>
    <w:p w:rsidR="005C11E8" w:rsidRPr="00B4247F" w:rsidRDefault="005C11E8">
      <w:pPr>
        <w:pStyle w:val="TOC2"/>
        <w:rPr>
          <w:rFonts w:ascii="Calibri" w:hAnsi="Calibri"/>
          <w:noProof/>
          <w:sz w:val="22"/>
          <w:szCs w:val="22"/>
        </w:rPr>
      </w:pPr>
      <w:r>
        <w:rPr>
          <w:noProof/>
        </w:rPr>
        <w:t>6.6</w:t>
      </w:r>
      <w:r w:rsidRPr="00B4247F">
        <w:rPr>
          <w:rFonts w:ascii="Calibri" w:hAnsi="Calibri"/>
          <w:noProof/>
          <w:sz w:val="22"/>
          <w:szCs w:val="22"/>
        </w:rPr>
        <w:tab/>
      </w:r>
      <w:r w:rsidRPr="0084464A">
        <w:rPr>
          <w:noProof/>
          <w:lang w:val="en-US"/>
        </w:rPr>
        <w:t xml:space="preserve">Solution #6 – </w:t>
      </w:r>
      <w:r>
        <w:rPr>
          <w:noProof/>
        </w:rPr>
        <w:t>Network situation enhanced with analytics</w:t>
      </w:r>
      <w:r>
        <w:rPr>
          <w:noProof/>
        </w:rPr>
        <w:tab/>
      </w:r>
      <w:r>
        <w:rPr>
          <w:noProof/>
        </w:rPr>
        <w:fldChar w:fldCharType="begin"/>
      </w:r>
      <w:r>
        <w:rPr>
          <w:noProof/>
        </w:rPr>
        <w:instrText xml:space="preserve"> PAGEREF _Toc131177496 \h </w:instrText>
      </w:r>
      <w:r>
        <w:rPr>
          <w:noProof/>
        </w:rPr>
      </w:r>
      <w:r>
        <w:rPr>
          <w:noProof/>
        </w:rPr>
        <w:fldChar w:fldCharType="separate"/>
      </w:r>
      <w:r>
        <w:rPr>
          <w:noProof/>
        </w:rPr>
        <w:t>19</w:t>
      </w:r>
      <w:r>
        <w:rPr>
          <w:noProof/>
        </w:rPr>
        <w:fldChar w:fldCharType="end"/>
      </w:r>
    </w:p>
    <w:p w:rsidR="005C11E8" w:rsidRPr="00B4247F" w:rsidRDefault="005C11E8">
      <w:pPr>
        <w:pStyle w:val="TOC3"/>
        <w:rPr>
          <w:rFonts w:ascii="Calibri" w:hAnsi="Calibri"/>
          <w:noProof/>
          <w:sz w:val="22"/>
          <w:szCs w:val="22"/>
        </w:rPr>
      </w:pPr>
      <w:r>
        <w:rPr>
          <w:noProof/>
        </w:rPr>
        <w:t>6.6.1</w:t>
      </w:r>
      <w:r w:rsidRPr="00B4247F">
        <w:rPr>
          <w:rFonts w:ascii="Calibri" w:hAnsi="Calibri"/>
          <w:noProof/>
          <w:sz w:val="22"/>
          <w:szCs w:val="22"/>
        </w:rPr>
        <w:tab/>
      </w:r>
      <w:r>
        <w:rPr>
          <w:noProof/>
        </w:rPr>
        <w:t>Solution description</w:t>
      </w:r>
      <w:r>
        <w:rPr>
          <w:noProof/>
        </w:rPr>
        <w:tab/>
      </w:r>
      <w:r>
        <w:rPr>
          <w:noProof/>
        </w:rPr>
        <w:fldChar w:fldCharType="begin"/>
      </w:r>
      <w:r>
        <w:rPr>
          <w:noProof/>
        </w:rPr>
        <w:instrText xml:space="preserve"> PAGEREF _Toc131177497 \h </w:instrText>
      </w:r>
      <w:r>
        <w:rPr>
          <w:noProof/>
        </w:rPr>
      </w:r>
      <w:r>
        <w:rPr>
          <w:noProof/>
        </w:rPr>
        <w:fldChar w:fldCharType="separate"/>
      </w:r>
      <w:r>
        <w:rPr>
          <w:noProof/>
        </w:rPr>
        <w:t>19</w:t>
      </w:r>
      <w:r>
        <w:rPr>
          <w:noProof/>
        </w:rPr>
        <w:fldChar w:fldCharType="end"/>
      </w:r>
    </w:p>
    <w:p w:rsidR="005C11E8" w:rsidRPr="00B4247F" w:rsidRDefault="005C11E8">
      <w:pPr>
        <w:pStyle w:val="TOC4"/>
        <w:rPr>
          <w:rFonts w:ascii="Calibri" w:hAnsi="Calibri"/>
          <w:noProof/>
          <w:sz w:val="22"/>
          <w:szCs w:val="22"/>
        </w:rPr>
      </w:pPr>
      <w:r>
        <w:rPr>
          <w:noProof/>
        </w:rPr>
        <w:t>6.6.1.1</w:t>
      </w:r>
      <w:r w:rsidRPr="00B4247F">
        <w:rPr>
          <w:rFonts w:ascii="Calibri" w:hAnsi="Calibri"/>
          <w:noProof/>
          <w:sz w:val="22"/>
          <w:szCs w:val="22"/>
        </w:rPr>
        <w:tab/>
      </w:r>
      <w:r>
        <w:rPr>
          <w:noProof/>
        </w:rPr>
        <w:t>General</w:t>
      </w:r>
      <w:r>
        <w:rPr>
          <w:noProof/>
        </w:rPr>
        <w:tab/>
      </w:r>
      <w:r>
        <w:rPr>
          <w:noProof/>
        </w:rPr>
        <w:fldChar w:fldCharType="begin"/>
      </w:r>
      <w:r>
        <w:rPr>
          <w:noProof/>
        </w:rPr>
        <w:instrText xml:space="preserve"> PAGEREF _Toc131177498 \h </w:instrText>
      </w:r>
      <w:r>
        <w:rPr>
          <w:noProof/>
        </w:rPr>
      </w:r>
      <w:r>
        <w:rPr>
          <w:noProof/>
        </w:rPr>
        <w:fldChar w:fldCharType="separate"/>
      </w:r>
      <w:r>
        <w:rPr>
          <w:noProof/>
        </w:rPr>
        <w:t>19</w:t>
      </w:r>
      <w:r>
        <w:rPr>
          <w:noProof/>
        </w:rPr>
        <w:fldChar w:fldCharType="end"/>
      </w:r>
    </w:p>
    <w:p w:rsidR="005C11E8" w:rsidRPr="00B4247F" w:rsidRDefault="005C11E8">
      <w:pPr>
        <w:pStyle w:val="TOC4"/>
        <w:rPr>
          <w:rFonts w:ascii="Calibri" w:hAnsi="Calibri"/>
          <w:noProof/>
          <w:sz w:val="22"/>
          <w:szCs w:val="22"/>
        </w:rPr>
      </w:pPr>
      <w:r>
        <w:rPr>
          <w:noProof/>
        </w:rPr>
        <w:t>6.6.1.2</w:t>
      </w:r>
      <w:r w:rsidRPr="00B4247F">
        <w:rPr>
          <w:rFonts w:ascii="Calibri" w:hAnsi="Calibri"/>
          <w:noProof/>
          <w:sz w:val="22"/>
          <w:szCs w:val="22"/>
        </w:rPr>
        <w:tab/>
      </w:r>
      <w:r>
        <w:rPr>
          <w:noProof/>
        </w:rPr>
        <w:t>Enhancements to network monitoring by V2X UE</w:t>
      </w:r>
      <w:r>
        <w:rPr>
          <w:noProof/>
        </w:rPr>
        <w:tab/>
      </w:r>
      <w:r>
        <w:rPr>
          <w:noProof/>
        </w:rPr>
        <w:fldChar w:fldCharType="begin"/>
      </w:r>
      <w:r>
        <w:rPr>
          <w:noProof/>
        </w:rPr>
        <w:instrText xml:space="preserve"> PAGEREF _Toc131177499 \h </w:instrText>
      </w:r>
      <w:r>
        <w:rPr>
          <w:noProof/>
        </w:rPr>
      </w:r>
      <w:r>
        <w:rPr>
          <w:noProof/>
        </w:rPr>
        <w:fldChar w:fldCharType="separate"/>
      </w:r>
      <w:r>
        <w:rPr>
          <w:noProof/>
        </w:rPr>
        <w:t>19</w:t>
      </w:r>
      <w:r>
        <w:rPr>
          <w:noProof/>
        </w:rPr>
        <w:fldChar w:fldCharType="end"/>
      </w:r>
    </w:p>
    <w:p w:rsidR="005C11E8" w:rsidRPr="00B4247F" w:rsidRDefault="005C11E8">
      <w:pPr>
        <w:pStyle w:val="TOC4"/>
        <w:rPr>
          <w:rFonts w:ascii="Calibri" w:hAnsi="Calibri"/>
          <w:noProof/>
          <w:sz w:val="22"/>
          <w:szCs w:val="22"/>
        </w:rPr>
      </w:pPr>
      <w:r>
        <w:rPr>
          <w:noProof/>
        </w:rPr>
        <w:t>6.6.1.3</w:t>
      </w:r>
      <w:r w:rsidRPr="00B4247F">
        <w:rPr>
          <w:rFonts w:ascii="Calibri" w:hAnsi="Calibri"/>
          <w:noProof/>
          <w:sz w:val="22"/>
          <w:szCs w:val="22"/>
        </w:rPr>
        <w:tab/>
      </w:r>
      <w:r>
        <w:rPr>
          <w:noProof/>
        </w:rPr>
        <w:t>Enhancements to monitoring and control of QoS for eV2X communications</w:t>
      </w:r>
      <w:r>
        <w:rPr>
          <w:noProof/>
        </w:rPr>
        <w:tab/>
      </w:r>
      <w:r>
        <w:rPr>
          <w:noProof/>
        </w:rPr>
        <w:fldChar w:fldCharType="begin"/>
      </w:r>
      <w:r>
        <w:rPr>
          <w:noProof/>
        </w:rPr>
        <w:instrText xml:space="preserve"> PAGEREF _Toc131177500 \h </w:instrText>
      </w:r>
      <w:r>
        <w:rPr>
          <w:noProof/>
        </w:rPr>
      </w:r>
      <w:r>
        <w:rPr>
          <w:noProof/>
        </w:rPr>
        <w:fldChar w:fldCharType="separate"/>
      </w:r>
      <w:r>
        <w:rPr>
          <w:noProof/>
        </w:rPr>
        <w:t>19</w:t>
      </w:r>
      <w:r>
        <w:rPr>
          <w:noProof/>
        </w:rPr>
        <w:fldChar w:fldCharType="end"/>
      </w:r>
    </w:p>
    <w:p w:rsidR="005C11E8" w:rsidRPr="00B4247F" w:rsidRDefault="005C11E8">
      <w:pPr>
        <w:pStyle w:val="TOC3"/>
        <w:rPr>
          <w:rFonts w:ascii="Calibri" w:hAnsi="Calibri"/>
          <w:noProof/>
          <w:sz w:val="22"/>
          <w:szCs w:val="22"/>
        </w:rPr>
      </w:pPr>
      <w:r>
        <w:rPr>
          <w:noProof/>
        </w:rPr>
        <w:t>6.6.2</w:t>
      </w:r>
      <w:r w:rsidRPr="00B4247F">
        <w:rPr>
          <w:rFonts w:ascii="Calibri" w:hAnsi="Calibri"/>
          <w:noProof/>
          <w:sz w:val="22"/>
          <w:szCs w:val="22"/>
        </w:rPr>
        <w:tab/>
      </w:r>
      <w:r>
        <w:rPr>
          <w:noProof/>
        </w:rPr>
        <w:t>Solution evaluation</w:t>
      </w:r>
      <w:r>
        <w:rPr>
          <w:noProof/>
        </w:rPr>
        <w:tab/>
      </w:r>
      <w:r>
        <w:rPr>
          <w:noProof/>
        </w:rPr>
        <w:fldChar w:fldCharType="begin"/>
      </w:r>
      <w:r>
        <w:rPr>
          <w:noProof/>
        </w:rPr>
        <w:instrText xml:space="preserve"> PAGEREF _Toc131177501 \h </w:instrText>
      </w:r>
      <w:r>
        <w:rPr>
          <w:noProof/>
        </w:rPr>
      </w:r>
      <w:r>
        <w:rPr>
          <w:noProof/>
        </w:rPr>
        <w:fldChar w:fldCharType="separate"/>
      </w:r>
      <w:r>
        <w:rPr>
          <w:noProof/>
        </w:rPr>
        <w:t>19</w:t>
      </w:r>
      <w:r>
        <w:rPr>
          <w:noProof/>
        </w:rPr>
        <w:fldChar w:fldCharType="end"/>
      </w:r>
    </w:p>
    <w:p w:rsidR="005C11E8" w:rsidRPr="00B4247F" w:rsidRDefault="005C11E8">
      <w:pPr>
        <w:pStyle w:val="TOC1"/>
        <w:rPr>
          <w:rFonts w:ascii="Calibri" w:hAnsi="Calibri"/>
          <w:noProof/>
          <w:szCs w:val="22"/>
        </w:rPr>
      </w:pPr>
      <w:r>
        <w:rPr>
          <w:noProof/>
        </w:rPr>
        <w:t>7</w:t>
      </w:r>
      <w:r w:rsidRPr="00B4247F">
        <w:rPr>
          <w:rFonts w:ascii="Calibri" w:hAnsi="Calibri"/>
          <w:noProof/>
          <w:szCs w:val="22"/>
        </w:rPr>
        <w:tab/>
      </w:r>
      <w:r>
        <w:rPr>
          <w:noProof/>
        </w:rPr>
        <w:t>Overall evaluation</w:t>
      </w:r>
      <w:r>
        <w:rPr>
          <w:noProof/>
        </w:rPr>
        <w:tab/>
      </w:r>
      <w:r>
        <w:rPr>
          <w:noProof/>
        </w:rPr>
        <w:fldChar w:fldCharType="begin"/>
      </w:r>
      <w:r>
        <w:rPr>
          <w:noProof/>
        </w:rPr>
        <w:instrText xml:space="preserve"> PAGEREF _Toc131177502 \h </w:instrText>
      </w:r>
      <w:r>
        <w:rPr>
          <w:noProof/>
        </w:rPr>
      </w:r>
      <w:r>
        <w:rPr>
          <w:noProof/>
        </w:rPr>
        <w:fldChar w:fldCharType="separate"/>
      </w:r>
      <w:r>
        <w:rPr>
          <w:noProof/>
        </w:rPr>
        <w:t>20</w:t>
      </w:r>
      <w:r>
        <w:rPr>
          <w:noProof/>
        </w:rPr>
        <w:fldChar w:fldCharType="end"/>
      </w:r>
    </w:p>
    <w:p w:rsidR="005C11E8" w:rsidRPr="00B4247F" w:rsidRDefault="005C11E8">
      <w:pPr>
        <w:pStyle w:val="TOC2"/>
        <w:rPr>
          <w:rFonts w:ascii="Calibri" w:hAnsi="Calibri"/>
          <w:noProof/>
          <w:sz w:val="22"/>
          <w:szCs w:val="22"/>
        </w:rPr>
      </w:pPr>
      <w:r>
        <w:rPr>
          <w:noProof/>
        </w:rPr>
        <w:t>7.1</w:t>
      </w:r>
      <w:r w:rsidRPr="00B4247F">
        <w:rPr>
          <w:rFonts w:ascii="Calibri" w:hAnsi="Calibri"/>
          <w:noProof/>
          <w:sz w:val="22"/>
          <w:szCs w:val="22"/>
        </w:rPr>
        <w:tab/>
      </w:r>
      <w:r>
        <w:rPr>
          <w:noProof/>
        </w:rPr>
        <w:t>General</w:t>
      </w:r>
      <w:r>
        <w:rPr>
          <w:noProof/>
        </w:rPr>
        <w:tab/>
      </w:r>
      <w:r>
        <w:rPr>
          <w:noProof/>
        </w:rPr>
        <w:fldChar w:fldCharType="begin"/>
      </w:r>
      <w:r>
        <w:rPr>
          <w:noProof/>
        </w:rPr>
        <w:instrText xml:space="preserve"> PAGEREF _Toc131177503 \h </w:instrText>
      </w:r>
      <w:r>
        <w:rPr>
          <w:noProof/>
        </w:rPr>
      </w:r>
      <w:r>
        <w:rPr>
          <w:noProof/>
        </w:rPr>
        <w:fldChar w:fldCharType="separate"/>
      </w:r>
      <w:r>
        <w:rPr>
          <w:noProof/>
        </w:rPr>
        <w:t>20</w:t>
      </w:r>
      <w:r>
        <w:rPr>
          <w:noProof/>
        </w:rPr>
        <w:fldChar w:fldCharType="end"/>
      </w:r>
    </w:p>
    <w:p w:rsidR="005C11E8" w:rsidRPr="00B4247F" w:rsidRDefault="005C11E8">
      <w:pPr>
        <w:pStyle w:val="TOC2"/>
        <w:rPr>
          <w:rFonts w:ascii="Calibri" w:hAnsi="Calibri"/>
          <w:noProof/>
          <w:sz w:val="22"/>
          <w:szCs w:val="22"/>
        </w:rPr>
      </w:pPr>
      <w:r>
        <w:rPr>
          <w:noProof/>
        </w:rPr>
        <w:t>7.2</w:t>
      </w:r>
      <w:r w:rsidRPr="00B4247F">
        <w:rPr>
          <w:rFonts w:ascii="Calibri" w:hAnsi="Calibri"/>
          <w:noProof/>
          <w:sz w:val="22"/>
          <w:szCs w:val="22"/>
        </w:rPr>
        <w:tab/>
      </w:r>
      <w:r>
        <w:rPr>
          <w:noProof/>
        </w:rPr>
        <w:t>Key issue and solution evaluation</w:t>
      </w:r>
      <w:r>
        <w:rPr>
          <w:noProof/>
        </w:rPr>
        <w:tab/>
      </w:r>
      <w:r>
        <w:rPr>
          <w:noProof/>
        </w:rPr>
        <w:fldChar w:fldCharType="begin"/>
      </w:r>
      <w:r>
        <w:rPr>
          <w:noProof/>
        </w:rPr>
        <w:instrText xml:space="preserve"> PAGEREF _Toc131177504 \h </w:instrText>
      </w:r>
      <w:r>
        <w:rPr>
          <w:noProof/>
        </w:rPr>
      </w:r>
      <w:r>
        <w:rPr>
          <w:noProof/>
        </w:rPr>
        <w:fldChar w:fldCharType="separate"/>
      </w:r>
      <w:r>
        <w:rPr>
          <w:noProof/>
        </w:rPr>
        <w:t>20</w:t>
      </w:r>
      <w:r>
        <w:rPr>
          <w:noProof/>
        </w:rPr>
        <w:fldChar w:fldCharType="end"/>
      </w:r>
    </w:p>
    <w:p w:rsidR="005C11E8" w:rsidRPr="00B4247F" w:rsidRDefault="005C11E8">
      <w:pPr>
        <w:pStyle w:val="TOC2"/>
        <w:rPr>
          <w:rFonts w:ascii="Calibri" w:hAnsi="Calibri"/>
          <w:noProof/>
          <w:sz w:val="22"/>
          <w:szCs w:val="22"/>
        </w:rPr>
      </w:pPr>
      <w:r>
        <w:rPr>
          <w:noProof/>
        </w:rPr>
        <w:t>7.3</w:t>
      </w:r>
      <w:r w:rsidRPr="00B4247F">
        <w:rPr>
          <w:rFonts w:ascii="Calibri" w:hAnsi="Calibri"/>
          <w:noProof/>
          <w:sz w:val="22"/>
          <w:szCs w:val="22"/>
        </w:rPr>
        <w:tab/>
      </w:r>
      <w:r>
        <w:rPr>
          <w:noProof/>
        </w:rPr>
        <w:t>Overall evaluation of key issue#1</w:t>
      </w:r>
      <w:r>
        <w:rPr>
          <w:noProof/>
        </w:rPr>
        <w:tab/>
      </w:r>
      <w:r>
        <w:rPr>
          <w:noProof/>
        </w:rPr>
        <w:fldChar w:fldCharType="begin"/>
      </w:r>
      <w:r>
        <w:rPr>
          <w:noProof/>
        </w:rPr>
        <w:instrText xml:space="preserve"> PAGEREF _Toc131177505 \h </w:instrText>
      </w:r>
      <w:r>
        <w:rPr>
          <w:noProof/>
        </w:rPr>
      </w:r>
      <w:r>
        <w:rPr>
          <w:noProof/>
        </w:rPr>
        <w:fldChar w:fldCharType="separate"/>
      </w:r>
      <w:r>
        <w:rPr>
          <w:noProof/>
        </w:rPr>
        <w:t>20</w:t>
      </w:r>
      <w:r>
        <w:rPr>
          <w:noProof/>
        </w:rPr>
        <w:fldChar w:fldCharType="end"/>
      </w:r>
    </w:p>
    <w:p w:rsidR="005C11E8" w:rsidRPr="00B4247F" w:rsidRDefault="005C11E8">
      <w:pPr>
        <w:pStyle w:val="TOC2"/>
        <w:rPr>
          <w:rFonts w:ascii="Calibri" w:hAnsi="Calibri"/>
          <w:noProof/>
          <w:sz w:val="22"/>
          <w:szCs w:val="22"/>
        </w:rPr>
      </w:pPr>
      <w:r>
        <w:rPr>
          <w:noProof/>
        </w:rPr>
        <w:t>7.4</w:t>
      </w:r>
      <w:r w:rsidRPr="00B4247F">
        <w:rPr>
          <w:rFonts w:ascii="Calibri" w:hAnsi="Calibri"/>
          <w:noProof/>
          <w:sz w:val="22"/>
          <w:szCs w:val="22"/>
        </w:rPr>
        <w:tab/>
      </w:r>
      <w:r>
        <w:rPr>
          <w:noProof/>
        </w:rPr>
        <w:t>Overall evaluation of key issue#2</w:t>
      </w:r>
      <w:r>
        <w:rPr>
          <w:noProof/>
        </w:rPr>
        <w:tab/>
      </w:r>
      <w:r>
        <w:rPr>
          <w:noProof/>
        </w:rPr>
        <w:fldChar w:fldCharType="begin"/>
      </w:r>
      <w:r>
        <w:rPr>
          <w:noProof/>
        </w:rPr>
        <w:instrText xml:space="preserve"> PAGEREF _Toc131177506 \h </w:instrText>
      </w:r>
      <w:r>
        <w:rPr>
          <w:noProof/>
        </w:rPr>
      </w:r>
      <w:r>
        <w:rPr>
          <w:noProof/>
        </w:rPr>
        <w:fldChar w:fldCharType="separate"/>
      </w:r>
      <w:r>
        <w:rPr>
          <w:noProof/>
        </w:rPr>
        <w:t>21</w:t>
      </w:r>
      <w:r>
        <w:rPr>
          <w:noProof/>
        </w:rPr>
        <w:fldChar w:fldCharType="end"/>
      </w:r>
    </w:p>
    <w:p w:rsidR="005C11E8" w:rsidRPr="00B4247F" w:rsidRDefault="005C11E8">
      <w:pPr>
        <w:pStyle w:val="TOC2"/>
        <w:rPr>
          <w:rFonts w:ascii="Calibri" w:hAnsi="Calibri"/>
          <w:noProof/>
          <w:sz w:val="22"/>
          <w:szCs w:val="22"/>
        </w:rPr>
      </w:pPr>
      <w:r>
        <w:rPr>
          <w:noProof/>
        </w:rPr>
        <w:t>7.5</w:t>
      </w:r>
      <w:r w:rsidRPr="00B4247F">
        <w:rPr>
          <w:rFonts w:ascii="Calibri" w:hAnsi="Calibri"/>
          <w:noProof/>
          <w:sz w:val="22"/>
          <w:szCs w:val="22"/>
        </w:rPr>
        <w:tab/>
      </w:r>
      <w:r>
        <w:rPr>
          <w:noProof/>
        </w:rPr>
        <w:t>Overall evaluation of key issue#3</w:t>
      </w:r>
      <w:r>
        <w:rPr>
          <w:noProof/>
        </w:rPr>
        <w:tab/>
      </w:r>
      <w:r>
        <w:rPr>
          <w:noProof/>
        </w:rPr>
        <w:fldChar w:fldCharType="begin"/>
      </w:r>
      <w:r>
        <w:rPr>
          <w:noProof/>
        </w:rPr>
        <w:instrText xml:space="preserve"> PAGEREF _Toc131177507 \h </w:instrText>
      </w:r>
      <w:r>
        <w:rPr>
          <w:noProof/>
        </w:rPr>
      </w:r>
      <w:r>
        <w:rPr>
          <w:noProof/>
        </w:rPr>
        <w:fldChar w:fldCharType="separate"/>
      </w:r>
      <w:r>
        <w:rPr>
          <w:noProof/>
        </w:rPr>
        <w:t>21</w:t>
      </w:r>
      <w:r>
        <w:rPr>
          <w:noProof/>
        </w:rPr>
        <w:fldChar w:fldCharType="end"/>
      </w:r>
    </w:p>
    <w:p w:rsidR="005C11E8" w:rsidRPr="00B4247F" w:rsidRDefault="005C11E8">
      <w:pPr>
        <w:pStyle w:val="TOC2"/>
        <w:rPr>
          <w:rFonts w:ascii="Calibri" w:hAnsi="Calibri"/>
          <w:noProof/>
          <w:sz w:val="22"/>
          <w:szCs w:val="22"/>
        </w:rPr>
      </w:pPr>
      <w:r>
        <w:rPr>
          <w:noProof/>
        </w:rPr>
        <w:t>7.6</w:t>
      </w:r>
      <w:r w:rsidRPr="00B4247F">
        <w:rPr>
          <w:rFonts w:ascii="Calibri" w:hAnsi="Calibri"/>
          <w:noProof/>
          <w:sz w:val="22"/>
          <w:szCs w:val="22"/>
        </w:rPr>
        <w:tab/>
      </w:r>
      <w:r>
        <w:rPr>
          <w:noProof/>
        </w:rPr>
        <w:t>Overall evaluation of key issue#4</w:t>
      </w:r>
      <w:r>
        <w:rPr>
          <w:noProof/>
        </w:rPr>
        <w:tab/>
      </w:r>
      <w:r>
        <w:rPr>
          <w:noProof/>
        </w:rPr>
        <w:fldChar w:fldCharType="begin"/>
      </w:r>
      <w:r>
        <w:rPr>
          <w:noProof/>
        </w:rPr>
        <w:instrText xml:space="preserve"> PAGEREF _Toc131177508 \h </w:instrText>
      </w:r>
      <w:r>
        <w:rPr>
          <w:noProof/>
        </w:rPr>
      </w:r>
      <w:r>
        <w:rPr>
          <w:noProof/>
        </w:rPr>
        <w:fldChar w:fldCharType="separate"/>
      </w:r>
      <w:r>
        <w:rPr>
          <w:noProof/>
        </w:rPr>
        <w:t>21</w:t>
      </w:r>
      <w:r>
        <w:rPr>
          <w:noProof/>
        </w:rPr>
        <w:fldChar w:fldCharType="end"/>
      </w:r>
    </w:p>
    <w:p w:rsidR="005C11E8" w:rsidRPr="00B4247F" w:rsidRDefault="005C11E8">
      <w:pPr>
        <w:pStyle w:val="TOC2"/>
        <w:rPr>
          <w:rFonts w:ascii="Calibri" w:hAnsi="Calibri"/>
          <w:noProof/>
          <w:sz w:val="22"/>
          <w:szCs w:val="22"/>
        </w:rPr>
      </w:pPr>
      <w:r>
        <w:rPr>
          <w:noProof/>
        </w:rPr>
        <w:t>7.7</w:t>
      </w:r>
      <w:r w:rsidRPr="00B4247F">
        <w:rPr>
          <w:rFonts w:ascii="Calibri" w:hAnsi="Calibri"/>
          <w:noProof/>
          <w:sz w:val="22"/>
          <w:szCs w:val="22"/>
        </w:rPr>
        <w:tab/>
      </w:r>
      <w:r>
        <w:rPr>
          <w:noProof/>
        </w:rPr>
        <w:t>Overall evaluation of key issue#5</w:t>
      </w:r>
      <w:r>
        <w:rPr>
          <w:noProof/>
        </w:rPr>
        <w:tab/>
      </w:r>
      <w:r>
        <w:rPr>
          <w:noProof/>
        </w:rPr>
        <w:fldChar w:fldCharType="begin"/>
      </w:r>
      <w:r>
        <w:rPr>
          <w:noProof/>
        </w:rPr>
        <w:instrText xml:space="preserve"> PAGEREF _Toc131177509 \h </w:instrText>
      </w:r>
      <w:r>
        <w:rPr>
          <w:noProof/>
        </w:rPr>
      </w:r>
      <w:r>
        <w:rPr>
          <w:noProof/>
        </w:rPr>
        <w:fldChar w:fldCharType="separate"/>
      </w:r>
      <w:r>
        <w:rPr>
          <w:noProof/>
        </w:rPr>
        <w:t>21</w:t>
      </w:r>
      <w:r>
        <w:rPr>
          <w:noProof/>
        </w:rPr>
        <w:fldChar w:fldCharType="end"/>
      </w:r>
    </w:p>
    <w:p w:rsidR="005C11E8" w:rsidRPr="00B4247F" w:rsidRDefault="005C11E8">
      <w:pPr>
        <w:pStyle w:val="TOC2"/>
        <w:rPr>
          <w:rFonts w:ascii="Calibri" w:hAnsi="Calibri"/>
          <w:noProof/>
          <w:sz w:val="22"/>
          <w:szCs w:val="22"/>
        </w:rPr>
      </w:pPr>
      <w:r>
        <w:rPr>
          <w:noProof/>
        </w:rPr>
        <w:t>7.8</w:t>
      </w:r>
      <w:r w:rsidRPr="00B4247F">
        <w:rPr>
          <w:rFonts w:ascii="Calibri" w:hAnsi="Calibri"/>
          <w:noProof/>
          <w:sz w:val="22"/>
          <w:szCs w:val="22"/>
        </w:rPr>
        <w:tab/>
      </w:r>
      <w:r>
        <w:rPr>
          <w:noProof/>
        </w:rPr>
        <w:t>Overall evaluation of key issue#6</w:t>
      </w:r>
      <w:r>
        <w:rPr>
          <w:noProof/>
        </w:rPr>
        <w:tab/>
      </w:r>
      <w:r>
        <w:rPr>
          <w:noProof/>
        </w:rPr>
        <w:fldChar w:fldCharType="begin"/>
      </w:r>
      <w:r>
        <w:rPr>
          <w:noProof/>
        </w:rPr>
        <w:instrText xml:space="preserve"> PAGEREF _Toc131177510 \h </w:instrText>
      </w:r>
      <w:r>
        <w:rPr>
          <w:noProof/>
        </w:rPr>
      </w:r>
      <w:r>
        <w:rPr>
          <w:noProof/>
        </w:rPr>
        <w:fldChar w:fldCharType="separate"/>
      </w:r>
      <w:r>
        <w:rPr>
          <w:noProof/>
        </w:rPr>
        <w:t>21</w:t>
      </w:r>
      <w:r>
        <w:rPr>
          <w:noProof/>
        </w:rPr>
        <w:fldChar w:fldCharType="end"/>
      </w:r>
    </w:p>
    <w:p w:rsidR="005C11E8" w:rsidRPr="00B4247F" w:rsidRDefault="005C11E8">
      <w:pPr>
        <w:pStyle w:val="TOC1"/>
        <w:rPr>
          <w:rFonts w:ascii="Calibri" w:hAnsi="Calibri"/>
          <w:noProof/>
          <w:szCs w:val="22"/>
        </w:rPr>
      </w:pPr>
      <w:r>
        <w:rPr>
          <w:noProof/>
        </w:rPr>
        <w:t>8</w:t>
      </w:r>
      <w:r w:rsidRPr="00B4247F">
        <w:rPr>
          <w:rFonts w:ascii="Calibri" w:hAnsi="Calibri"/>
          <w:noProof/>
          <w:szCs w:val="22"/>
        </w:rPr>
        <w:tab/>
      </w:r>
      <w:r>
        <w:rPr>
          <w:noProof/>
        </w:rPr>
        <w:t>Conclusions</w:t>
      </w:r>
      <w:r>
        <w:rPr>
          <w:noProof/>
        </w:rPr>
        <w:tab/>
      </w:r>
      <w:r>
        <w:rPr>
          <w:noProof/>
        </w:rPr>
        <w:fldChar w:fldCharType="begin"/>
      </w:r>
      <w:r>
        <w:rPr>
          <w:noProof/>
        </w:rPr>
        <w:instrText xml:space="preserve"> PAGEREF _Toc131177511 \h </w:instrText>
      </w:r>
      <w:r>
        <w:rPr>
          <w:noProof/>
        </w:rPr>
      </w:r>
      <w:r>
        <w:rPr>
          <w:noProof/>
        </w:rPr>
        <w:fldChar w:fldCharType="separate"/>
      </w:r>
      <w:r>
        <w:rPr>
          <w:noProof/>
        </w:rPr>
        <w:t>22</w:t>
      </w:r>
      <w:r>
        <w:rPr>
          <w:noProof/>
        </w:rPr>
        <w:fldChar w:fldCharType="end"/>
      </w:r>
    </w:p>
    <w:p w:rsidR="005C11E8" w:rsidRPr="00B4247F" w:rsidRDefault="005C11E8">
      <w:pPr>
        <w:pStyle w:val="TOC9"/>
        <w:rPr>
          <w:rFonts w:ascii="Calibri" w:hAnsi="Calibri"/>
          <w:b w:val="0"/>
          <w:noProof/>
          <w:szCs w:val="22"/>
        </w:rPr>
      </w:pPr>
      <w:r>
        <w:rPr>
          <w:noProof/>
        </w:rPr>
        <w:t>Annex A: Change history</w:t>
      </w:r>
      <w:r>
        <w:rPr>
          <w:noProof/>
        </w:rPr>
        <w:tab/>
      </w:r>
      <w:r>
        <w:rPr>
          <w:noProof/>
        </w:rPr>
        <w:fldChar w:fldCharType="begin"/>
      </w:r>
      <w:r>
        <w:rPr>
          <w:noProof/>
        </w:rPr>
        <w:instrText xml:space="preserve"> PAGEREF _Toc131177512 \h </w:instrText>
      </w:r>
      <w:r>
        <w:rPr>
          <w:noProof/>
        </w:rPr>
      </w:r>
      <w:r>
        <w:rPr>
          <w:noProof/>
        </w:rPr>
        <w:fldChar w:fldCharType="separate"/>
      </w:r>
      <w:r>
        <w:rPr>
          <w:noProof/>
        </w:rPr>
        <w:t>23</w:t>
      </w:r>
      <w:r>
        <w:rPr>
          <w:noProof/>
        </w:rPr>
        <w:fldChar w:fldCharType="end"/>
      </w:r>
    </w:p>
    <w:p w:rsidR="00E8629F" w:rsidRPr="00235394" w:rsidRDefault="00235394">
      <w:r>
        <w:rPr>
          <w:noProof/>
          <w:sz w:val="22"/>
        </w:rPr>
        <w:fldChar w:fldCharType="end"/>
      </w:r>
    </w:p>
    <w:p w:rsidR="00E8629F" w:rsidRPr="00235394" w:rsidRDefault="00E8629F">
      <w:pPr>
        <w:pStyle w:val="Heading1"/>
      </w:pPr>
      <w:r w:rsidRPr="00235394">
        <w:br w:type="page"/>
      </w:r>
      <w:bookmarkStart w:id="4" w:name="_Toc90490982"/>
      <w:bookmarkStart w:id="5" w:name="_Toc107783885"/>
      <w:bookmarkStart w:id="6" w:name="_Toc131177450"/>
      <w:r w:rsidRPr="00235394">
        <w:t>Foreword</w:t>
      </w:r>
      <w:bookmarkEnd w:id="4"/>
      <w:bookmarkEnd w:id="5"/>
      <w:bookmarkEnd w:id="6"/>
    </w:p>
    <w:p w:rsidR="00E8629F" w:rsidRPr="00235394" w:rsidRDefault="00E8629F">
      <w:r w:rsidRPr="00235394">
        <w:t>This Technical Report has been produced by the 3</w:t>
      </w:r>
      <w:r w:rsidR="00707941">
        <w:t>rd</w:t>
      </w:r>
      <w:r w:rsidRPr="00235394">
        <w:t xml:space="preserve"> Generation Partnership Project (3GPP).</w:t>
      </w:r>
    </w:p>
    <w:p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235394" w:rsidRDefault="00E8629F">
      <w:pPr>
        <w:pStyle w:val="B1"/>
      </w:pPr>
      <w:r w:rsidRPr="00235394">
        <w:t>Version x.y.z</w:t>
      </w:r>
    </w:p>
    <w:p w:rsidR="00E8629F" w:rsidRPr="00235394" w:rsidRDefault="00E8629F">
      <w:pPr>
        <w:pStyle w:val="B1"/>
      </w:pPr>
      <w:r w:rsidRPr="00235394">
        <w:t>where:</w:t>
      </w:r>
    </w:p>
    <w:p w:rsidR="00E8629F" w:rsidRPr="00235394" w:rsidRDefault="00E8629F">
      <w:pPr>
        <w:pStyle w:val="B2"/>
      </w:pPr>
      <w:r w:rsidRPr="00235394">
        <w:t>x</w:t>
      </w:r>
      <w:r w:rsidRPr="00235394">
        <w:tab/>
        <w:t>the first digit:</w:t>
      </w:r>
    </w:p>
    <w:p w:rsidR="00E8629F" w:rsidRPr="00235394" w:rsidRDefault="00E8629F">
      <w:pPr>
        <w:pStyle w:val="B3"/>
      </w:pPr>
      <w:r w:rsidRPr="00235394">
        <w:t>1</w:t>
      </w:r>
      <w:r w:rsidRPr="00235394">
        <w:tab/>
        <w:t>presented to TSG for information;</w:t>
      </w:r>
    </w:p>
    <w:p w:rsidR="00E8629F" w:rsidRPr="00235394" w:rsidRDefault="00E8629F">
      <w:pPr>
        <w:pStyle w:val="B3"/>
      </w:pPr>
      <w:r w:rsidRPr="00235394">
        <w:t>2</w:t>
      </w:r>
      <w:r w:rsidRPr="00235394">
        <w:tab/>
        <w:t>presented to TSG for approval;</w:t>
      </w:r>
    </w:p>
    <w:p w:rsidR="00E8629F" w:rsidRPr="00235394" w:rsidRDefault="00E8629F">
      <w:pPr>
        <w:pStyle w:val="B3"/>
      </w:pPr>
      <w:r w:rsidRPr="00235394">
        <w:t>3</w:t>
      </w:r>
      <w:r w:rsidRPr="00235394">
        <w:tab/>
        <w:t>or greater indicates TSG approved document under change control.</w:t>
      </w:r>
    </w:p>
    <w:p w:rsidR="00E8629F" w:rsidRPr="00235394" w:rsidRDefault="00E8629F">
      <w:pPr>
        <w:pStyle w:val="B2"/>
      </w:pPr>
      <w:r w:rsidRPr="00235394">
        <w:t>y</w:t>
      </w:r>
      <w:r w:rsidRPr="00235394">
        <w:tab/>
        <w:t>the second digit is incremented for all changes of substance, i.e. technical enhancements, corrections, updates, etc.</w:t>
      </w:r>
    </w:p>
    <w:p w:rsidR="00E8629F" w:rsidRPr="00235394" w:rsidRDefault="00E8629F">
      <w:pPr>
        <w:pStyle w:val="B2"/>
      </w:pPr>
      <w:r w:rsidRPr="00235394">
        <w:t>z</w:t>
      </w:r>
      <w:r w:rsidRPr="00235394">
        <w:tab/>
        <w:t>the third digit is incremented when editorial only changes have been incorporated in the document.</w:t>
      </w:r>
    </w:p>
    <w:p w:rsidR="00E8629F" w:rsidRPr="00235394" w:rsidRDefault="00E8629F">
      <w:pPr>
        <w:pStyle w:val="Heading1"/>
      </w:pPr>
      <w:r w:rsidRPr="00235394">
        <w:br w:type="page"/>
      </w:r>
      <w:bookmarkStart w:id="7" w:name="_Toc90490983"/>
      <w:bookmarkStart w:id="8" w:name="_Toc107783886"/>
      <w:bookmarkStart w:id="9" w:name="_Toc131177451"/>
      <w:r w:rsidRPr="00235394">
        <w:t>1</w:t>
      </w:r>
      <w:r w:rsidRPr="00235394">
        <w:tab/>
        <w:t>Scope</w:t>
      </w:r>
      <w:bookmarkEnd w:id="7"/>
      <w:bookmarkEnd w:id="8"/>
      <w:bookmarkEnd w:id="9"/>
    </w:p>
    <w:p w:rsidR="00A26CA8" w:rsidRDefault="00E8629F" w:rsidP="00A26CA8">
      <w:r w:rsidRPr="00235394">
        <w:t xml:space="preserve">The present document </w:t>
      </w:r>
      <w:r w:rsidR="00A26CA8">
        <w:t>is a technical report which identifies the enhancements to the application architecture to support V2X services specified in 3GPP TS 23.286 </w:t>
      </w:r>
      <w:r w:rsidR="005C4F6D">
        <w:t>[6]</w:t>
      </w:r>
      <w:r w:rsidR="00A26CA8">
        <w:t xml:space="preserve"> considering advanced V2X services like V2P, ToD, etc and edge computing deployments for V2X services.</w:t>
      </w:r>
    </w:p>
    <w:p w:rsidR="00A26CA8" w:rsidRDefault="00A26CA8" w:rsidP="00A26CA8">
      <w:r>
        <w:t>The study takes into consideration the existing stage 1 and stage 2 work within 3GPP related to advanced V2X services and edge computing in 3GPP TS 22.185 [2], 3GPP TS 22.186 [3], 3GPP TS 23.285 </w:t>
      </w:r>
      <w:r w:rsidR="005C4F6D">
        <w:t>[5]</w:t>
      </w:r>
      <w:r>
        <w:t>, 3GPP TS 23.287 </w:t>
      </w:r>
      <w:r w:rsidR="005C4F6D">
        <w:t>[7]</w:t>
      </w:r>
      <w:r>
        <w:t>, 3GPP TS 23.548 </w:t>
      </w:r>
      <w:r w:rsidR="00474646">
        <w:t>[10]</w:t>
      </w:r>
      <w:r>
        <w:t xml:space="preserve"> and 3GPP TS 23.558 </w:t>
      </w:r>
      <w:r w:rsidR="00474646">
        <w:t>[11]</w:t>
      </w:r>
      <w:r>
        <w:t>.</w:t>
      </w:r>
    </w:p>
    <w:p w:rsidR="00A26CA8" w:rsidRDefault="00A26CA8" w:rsidP="00A26CA8">
      <w:r>
        <w:t>The study also takes into consideration the V2X application specific services and recommendations specified by automotive industry bodies (5GAA, ETSI ITS and AECC) related to advanced V2X services for VRU, Haptics/ToD and edge deployments for V2X services.</w:t>
      </w:r>
    </w:p>
    <w:p w:rsidR="00E8629F" w:rsidRPr="00235394" w:rsidRDefault="00A26CA8">
      <w:r>
        <w:t>This document will provide recommendations for normative work.</w:t>
      </w:r>
    </w:p>
    <w:p w:rsidR="00E8629F" w:rsidRPr="00235394" w:rsidRDefault="00E8629F">
      <w:pPr>
        <w:pStyle w:val="Heading1"/>
      </w:pPr>
      <w:bookmarkStart w:id="10" w:name="_Toc90490984"/>
      <w:bookmarkStart w:id="11" w:name="_Toc107783887"/>
      <w:bookmarkStart w:id="12" w:name="_Toc131177452"/>
      <w:r w:rsidRPr="00235394">
        <w:t>2</w:t>
      </w:r>
      <w:r w:rsidRPr="00235394">
        <w:tab/>
        <w:t>References</w:t>
      </w:r>
      <w:bookmarkEnd w:id="10"/>
      <w:bookmarkEnd w:id="11"/>
      <w:bookmarkEnd w:id="12"/>
    </w:p>
    <w:p w:rsidR="00E8629F" w:rsidRPr="00235394" w:rsidRDefault="00E8629F">
      <w:r w:rsidRPr="00235394">
        <w:t>The following documents contain provisions which, through reference in this text, constitute provisions of the present document.</w:t>
      </w:r>
    </w:p>
    <w:p w:rsidR="007066FA" w:rsidRPr="004D3578" w:rsidRDefault="007066FA" w:rsidP="007066FA">
      <w:pPr>
        <w:pStyle w:val="B1"/>
      </w:pPr>
      <w:r>
        <w:t>-</w:t>
      </w:r>
      <w:r>
        <w:tab/>
      </w:r>
      <w:r w:rsidRPr="004D3578">
        <w:t>References are either specific (identified by date of publication, edition number, version number, etc.) or non</w:t>
      </w:r>
      <w:r w:rsidRPr="004D3578">
        <w:noBreakHyphen/>
        <w:t>specific.</w:t>
      </w:r>
    </w:p>
    <w:p w:rsidR="007066FA" w:rsidRPr="004D3578" w:rsidRDefault="007066FA" w:rsidP="007066FA">
      <w:pPr>
        <w:pStyle w:val="B1"/>
      </w:pPr>
      <w:r>
        <w:t>-</w:t>
      </w:r>
      <w:r>
        <w:tab/>
      </w:r>
      <w:r w:rsidRPr="004D3578">
        <w:t>For a specific reference, subsequent revisions do not apply.</w:t>
      </w:r>
    </w:p>
    <w:p w:rsidR="007066FA" w:rsidRPr="004D3578" w:rsidRDefault="007066FA" w:rsidP="007066F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rsidR="00282213" w:rsidRPr="00235394" w:rsidRDefault="00282213" w:rsidP="007066FA">
      <w:pPr>
        <w:pStyle w:val="EX"/>
      </w:pPr>
      <w:r w:rsidRPr="00235394">
        <w:t>[1]</w:t>
      </w:r>
      <w:r w:rsidRPr="00235394">
        <w:tab/>
        <w:t>3GPP TR 21.905: "Vocabulary for 3GPP Specifications".</w:t>
      </w:r>
    </w:p>
    <w:p w:rsidR="00A26CA8" w:rsidRDefault="00A26CA8" w:rsidP="00A26CA8">
      <w:pPr>
        <w:pStyle w:val="EX"/>
      </w:pPr>
      <w:r>
        <w:t>[2]</w:t>
      </w:r>
      <w:r>
        <w:tab/>
        <w:t>3GPP TS 22.185: "Service requirements for V2X services; Stage 1".</w:t>
      </w:r>
    </w:p>
    <w:p w:rsidR="00A26CA8" w:rsidRDefault="00A26CA8" w:rsidP="00A26CA8">
      <w:pPr>
        <w:pStyle w:val="EX"/>
      </w:pPr>
      <w:r>
        <w:t>[3]</w:t>
      </w:r>
      <w:r>
        <w:tab/>
        <w:t>3GPP TS 22.186: "</w:t>
      </w:r>
      <w:r>
        <w:rPr>
          <w:lang w:eastAsia="ko-KR"/>
        </w:rPr>
        <w:t>Enhancement of 3GPP support for V2X scenarios</w:t>
      </w:r>
      <w:r>
        <w:t>; Stage 1".</w:t>
      </w:r>
    </w:p>
    <w:p w:rsidR="004633DF" w:rsidRDefault="005C4F6D" w:rsidP="00A26CA8">
      <w:pPr>
        <w:pStyle w:val="EX"/>
      </w:pPr>
      <w:r>
        <w:t>[4]</w:t>
      </w:r>
      <w:r w:rsidR="004633DF">
        <w:tab/>
        <w:t xml:space="preserve">3GPP TS 23.222: "Functional architecture and information flows to support Common API Framework for 3GPP Northbound APIs". </w:t>
      </w:r>
    </w:p>
    <w:p w:rsidR="00A26CA8" w:rsidRDefault="005C4F6D" w:rsidP="00A26CA8">
      <w:pPr>
        <w:pStyle w:val="EX"/>
      </w:pPr>
      <w:r>
        <w:t>[5]</w:t>
      </w:r>
      <w:r w:rsidR="00A26CA8">
        <w:tab/>
        <w:t>3GPP TS 23.285: "Architecture enhancements for V2X services".</w:t>
      </w:r>
    </w:p>
    <w:p w:rsidR="00A26CA8" w:rsidRDefault="005C4F6D" w:rsidP="00A26CA8">
      <w:pPr>
        <w:pStyle w:val="EX"/>
      </w:pPr>
      <w:r>
        <w:t>[6]</w:t>
      </w:r>
      <w:r w:rsidR="00A26CA8">
        <w:tab/>
        <w:t>3GPP TS 23.286: "Application layer support for Vehicle-to-Everything (V2X) services; Functional architecture and information flows".</w:t>
      </w:r>
    </w:p>
    <w:p w:rsidR="00A26CA8" w:rsidRDefault="005C4F6D" w:rsidP="00A26CA8">
      <w:pPr>
        <w:pStyle w:val="EX"/>
      </w:pPr>
      <w:r>
        <w:t>[7]</w:t>
      </w:r>
      <w:r w:rsidR="00A26CA8">
        <w:tab/>
        <w:t>3GPP TS 23.287: "Architecture enhancements for 5G System (5GS) to support Vehicle-to-Everything (V2X) services".</w:t>
      </w:r>
    </w:p>
    <w:p w:rsidR="008D10F5" w:rsidRDefault="00656D8D" w:rsidP="008D10F5">
      <w:pPr>
        <w:pStyle w:val="EX"/>
      </w:pPr>
      <w:r>
        <w:t>[8]</w:t>
      </w:r>
      <w:r w:rsidR="008D10F5">
        <w:tab/>
        <w:t>3GPP TS 23.288: "Architecture enhancements for 5G System (5GS) to support network data analytics services".</w:t>
      </w:r>
    </w:p>
    <w:p w:rsidR="00474646" w:rsidRDefault="00474646" w:rsidP="00474646">
      <w:pPr>
        <w:pStyle w:val="EX"/>
      </w:pPr>
      <w:r>
        <w:t>[9]</w:t>
      </w:r>
      <w:r>
        <w:tab/>
        <w:t>3GPP TS 23.436: "</w:t>
      </w:r>
      <w:r w:rsidRPr="00474646">
        <w:t>Procedures for Application Data Analytics Enablement Service</w:t>
      </w:r>
      <w:r>
        <w:t>".</w:t>
      </w:r>
    </w:p>
    <w:p w:rsidR="00A26CA8" w:rsidRDefault="00474646" w:rsidP="00474646">
      <w:pPr>
        <w:pStyle w:val="EX"/>
      </w:pPr>
      <w:r>
        <w:t>[10]</w:t>
      </w:r>
      <w:r w:rsidR="00A26CA8">
        <w:tab/>
        <w:t>3GPP TS 23.548: "5G System Enhancements for Edge Computing; Stage 2".</w:t>
      </w:r>
    </w:p>
    <w:p w:rsidR="00A26CA8" w:rsidRDefault="00474646" w:rsidP="00A26CA8">
      <w:pPr>
        <w:pStyle w:val="EX"/>
      </w:pPr>
      <w:r>
        <w:t>[11]</w:t>
      </w:r>
      <w:r w:rsidR="00A26CA8">
        <w:tab/>
        <w:t>3GPP TS 23.558: "Architecture for enabling Edge Applications".</w:t>
      </w:r>
    </w:p>
    <w:p w:rsidR="008D10F5" w:rsidRDefault="00474646" w:rsidP="008D10F5">
      <w:pPr>
        <w:pStyle w:val="EX"/>
      </w:pPr>
      <w:r>
        <w:t>[12]</w:t>
      </w:r>
      <w:r w:rsidR="008D10F5">
        <w:tab/>
        <w:t>3GPP TR 23.700-36: "</w:t>
      </w:r>
      <w:r w:rsidR="008D10F5">
        <w:rPr>
          <w:lang w:val="en-IN"/>
        </w:rPr>
        <w:t>Study on Application Data Analytics Enablement Service</w:t>
      </w:r>
      <w:r w:rsidR="008D10F5">
        <w:t>".</w:t>
      </w:r>
    </w:p>
    <w:p w:rsidR="00B334C0" w:rsidRDefault="00474646" w:rsidP="008D10F5">
      <w:pPr>
        <w:pStyle w:val="EX"/>
      </w:pPr>
      <w:r>
        <w:t>[13]</w:t>
      </w:r>
      <w:r w:rsidR="00B334C0">
        <w:tab/>
        <w:t>ETSI TS 103 300-2: "</w:t>
      </w:r>
      <w:r w:rsidR="00B334C0" w:rsidRPr="00B334C0">
        <w:t xml:space="preserve"> Intelligent Transport Systems (ITS); Vulnerable Road Users (VRU) awareness; Part 2: Functional Architecture and Requirements definition; Release 2</w:t>
      </w:r>
      <w:r w:rsidR="00B334C0">
        <w:t>"</w:t>
      </w:r>
      <w:r w:rsidR="000B4E46">
        <w:t>.</w:t>
      </w:r>
    </w:p>
    <w:p w:rsidR="00E8629F" w:rsidRPr="00235394" w:rsidRDefault="00E8629F">
      <w:pPr>
        <w:pStyle w:val="Heading1"/>
      </w:pPr>
      <w:bookmarkStart w:id="13" w:name="_Toc90490985"/>
      <w:bookmarkStart w:id="14" w:name="_Toc107783888"/>
      <w:bookmarkStart w:id="15" w:name="_Toc131177453"/>
      <w:r w:rsidRPr="00235394">
        <w:t>3</w:t>
      </w:r>
      <w:r w:rsidRPr="00235394">
        <w:tab/>
      </w:r>
      <w:r w:rsidR="00367724" w:rsidRPr="00235394">
        <w:t>Definitions, symbols and abbreviations</w:t>
      </w:r>
      <w:bookmarkEnd w:id="13"/>
      <w:bookmarkEnd w:id="14"/>
      <w:bookmarkEnd w:id="15"/>
    </w:p>
    <w:p w:rsidR="00E8629F" w:rsidRPr="00235394" w:rsidRDefault="00E8629F">
      <w:pPr>
        <w:pStyle w:val="Heading2"/>
      </w:pPr>
      <w:bookmarkStart w:id="16" w:name="_Toc90490986"/>
      <w:bookmarkStart w:id="17" w:name="_Toc107783889"/>
      <w:bookmarkStart w:id="18" w:name="_Toc131177454"/>
      <w:r w:rsidRPr="00235394">
        <w:t>3.1</w:t>
      </w:r>
      <w:r w:rsidRPr="00235394">
        <w:tab/>
        <w:t>Definitions</w:t>
      </w:r>
      <w:bookmarkEnd w:id="16"/>
      <w:bookmarkEnd w:id="17"/>
      <w:bookmarkEnd w:id="18"/>
    </w:p>
    <w:p w:rsidR="00E8629F" w:rsidRPr="00235394" w:rsidRDefault="00E8629F">
      <w:r w:rsidRPr="00235394">
        <w:t xml:space="preserve">For the purposes of the present document, the terms and definitions given in </w:t>
      </w:r>
      <w:bookmarkStart w:id="19" w:name="OLE_LINK1"/>
      <w:bookmarkStart w:id="20" w:name="OLE_LINK2"/>
      <w:bookmarkStart w:id="21" w:name="OLE_LINK3"/>
      <w:bookmarkStart w:id="22" w:name="OLE_LINK4"/>
      <w:bookmarkStart w:id="23" w:name="OLE_LINK5"/>
      <w:r w:rsidR="00212373">
        <w:t xml:space="preserve">3GPP </w:t>
      </w:r>
      <w:bookmarkEnd w:id="19"/>
      <w:bookmarkEnd w:id="20"/>
      <w:bookmarkEnd w:id="21"/>
      <w:bookmarkEnd w:id="22"/>
      <w:bookmarkEnd w:id="23"/>
      <w:r w:rsidRPr="00235394">
        <w:t>TR 21.905 [</w:t>
      </w:r>
      <w:r w:rsidR="00274E1A" w:rsidRPr="00235394">
        <w:t>1</w:t>
      </w:r>
      <w:r w:rsidRPr="00235394">
        <w:t xml:space="preserve">] and the following apply. A term defined in the present document takes precedence over the definition of the same term, if any, in </w:t>
      </w:r>
      <w:r w:rsidR="00212373">
        <w:t xml:space="preserve">3GPP </w:t>
      </w:r>
      <w:r w:rsidRPr="00235394">
        <w:t>TR 21.905 [</w:t>
      </w:r>
      <w:r w:rsidR="00274E1A" w:rsidRPr="00235394">
        <w:t>1</w:t>
      </w:r>
      <w:r w:rsidRPr="00235394">
        <w:t>].</w:t>
      </w:r>
    </w:p>
    <w:p w:rsidR="00E75CB9" w:rsidRDefault="00E75CB9" w:rsidP="00E75CB9">
      <w:pPr>
        <w:rPr>
          <w:lang w:eastAsia="en-US"/>
        </w:rPr>
      </w:pPr>
      <w:r>
        <w:t>The terms and definitions as specified in 3GPP TS 23.286 [6] apply.</w:t>
      </w:r>
    </w:p>
    <w:p w:rsidR="00E8629F" w:rsidRPr="00235394" w:rsidRDefault="00E8629F">
      <w:pPr>
        <w:pStyle w:val="Heading2"/>
      </w:pPr>
      <w:bookmarkStart w:id="24" w:name="_Toc90490988"/>
      <w:bookmarkStart w:id="25" w:name="_Toc107783891"/>
      <w:bookmarkStart w:id="26" w:name="_Toc131177455"/>
      <w:r w:rsidRPr="00235394">
        <w:t>3.</w:t>
      </w:r>
      <w:r w:rsidR="00E75CB9">
        <w:t>2</w:t>
      </w:r>
      <w:r w:rsidRPr="00235394">
        <w:tab/>
        <w:t>Abbreviations</w:t>
      </w:r>
      <w:bookmarkEnd w:id="24"/>
      <w:bookmarkEnd w:id="25"/>
      <w:bookmarkEnd w:id="26"/>
    </w:p>
    <w:p w:rsidR="00E8629F" w:rsidRPr="00235394" w:rsidRDefault="00E8629F">
      <w:pPr>
        <w:keepNext/>
      </w:pPr>
      <w:r w:rsidRPr="00235394">
        <w:t xml:space="preserve">For the purposes of the present document, the abbreviations given in </w:t>
      </w:r>
      <w:r w:rsidR="00212373">
        <w:t xml:space="preserve">3GPP </w:t>
      </w:r>
      <w:r w:rsidRPr="00235394">
        <w:t>TR 21.905 [</w:t>
      </w:r>
      <w:r w:rsidR="00274E1A" w:rsidRPr="00235394">
        <w:t>1</w:t>
      </w:r>
      <w:r w:rsidRPr="00235394">
        <w:t xml:space="preserve">] and the following apply. </w:t>
      </w:r>
      <w:r w:rsidR="00274E1A" w:rsidRPr="00235394">
        <w:br/>
      </w:r>
      <w:r w:rsidRPr="00235394">
        <w:t xml:space="preserve">An abbreviation defined in the present document takes precedence over the definition of the same abbreviation, if any, in </w:t>
      </w:r>
      <w:r w:rsidR="00212373">
        <w:t xml:space="preserve">3GPP </w:t>
      </w:r>
      <w:r w:rsidRPr="00235394">
        <w:t>TR 21.905 [</w:t>
      </w:r>
      <w:r w:rsidR="00274E1A" w:rsidRPr="00235394">
        <w:t>1</w:t>
      </w:r>
      <w:r w:rsidRPr="00235394">
        <w:t>].</w:t>
      </w:r>
    </w:p>
    <w:p w:rsidR="004C3E67" w:rsidRDefault="004C3E67" w:rsidP="004C3E67">
      <w:pPr>
        <w:pStyle w:val="EW"/>
        <w:rPr>
          <w:lang w:eastAsia="ja-JP"/>
        </w:rPr>
      </w:pPr>
      <w:r>
        <w:rPr>
          <w:lang w:eastAsia="ja-JP"/>
        </w:rPr>
        <w:t>BSM</w:t>
      </w:r>
      <w:r>
        <w:rPr>
          <w:lang w:eastAsia="ja-JP"/>
        </w:rPr>
        <w:tab/>
        <w:t>Basic Safety Message</w:t>
      </w:r>
    </w:p>
    <w:p w:rsidR="004C3E67" w:rsidRDefault="004C3E67" w:rsidP="004C3E67">
      <w:pPr>
        <w:pStyle w:val="EW"/>
        <w:rPr>
          <w:lang w:eastAsia="ja-JP"/>
        </w:rPr>
      </w:pPr>
      <w:r>
        <w:rPr>
          <w:lang w:eastAsia="ja-JP"/>
        </w:rPr>
        <w:t>CAM</w:t>
      </w:r>
      <w:r>
        <w:rPr>
          <w:lang w:eastAsia="ja-JP"/>
        </w:rPr>
        <w:tab/>
        <w:t>Cooperative Awareness Message</w:t>
      </w:r>
    </w:p>
    <w:p w:rsidR="004C3E67" w:rsidRDefault="004C3E67" w:rsidP="004C3E67">
      <w:pPr>
        <w:pStyle w:val="EW"/>
        <w:rPr>
          <w:lang w:eastAsia="ja-JP"/>
        </w:rPr>
      </w:pPr>
      <w:r>
        <w:rPr>
          <w:lang w:eastAsia="ja-JP"/>
        </w:rPr>
        <w:t>CPM</w:t>
      </w:r>
      <w:r>
        <w:rPr>
          <w:lang w:eastAsia="ja-JP"/>
        </w:rPr>
        <w:tab/>
        <w:t>Collective Perception Message</w:t>
      </w:r>
    </w:p>
    <w:p w:rsidR="004C3E67" w:rsidRDefault="004C3E67" w:rsidP="004C3E67">
      <w:pPr>
        <w:pStyle w:val="EW"/>
        <w:rPr>
          <w:lang w:eastAsia="ja-JP"/>
        </w:rPr>
      </w:pPr>
      <w:r>
        <w:rPr>
          <w:lang w:eastAsia="ja-JP"/>
        </w:rPr>
        <w:t>DENM</w:t>
      </w:r>
      <w:r>
        <w:rPr>
          <w:lang w:eastAsia="ja-JP"/>
        </w:rPr>
        <w:tab/>
        <w:t>Decentralized Environmental Notification Message</w:t>
      </w:r>
    </w:p>
    <w:p w:rsidR="004C3E67" w:rsidRDefault="004C3E67" w:rsidP="004C3E67">
      <w:pPr>
        <w:pStyle w:val="EW"/>
      </w:pPr>
      <w:r>
        <w:t>V2P</w:t>
      </w:r>
      <w:r>
        <w:tab/>
        <w:t>Vehicle-to-Pedestrian</w:t>
      </w:r>
    </w:p>
    <w:p w:rsidR="004C3E67" w:rsidRDefault="00495F8F" w:rsidP="004C3E67">
      <w:pPr>
        <w:pStyle w:val="EW"/>
        <w:rPr>
          <w:lang w:eastAsia="ko-KR"/>
        </w:rPr>
      </w:pPr>
      <w:r>
        <w:t>V2X</w:t>
      </w:r>
      <w:r w:rsidR="00E8629F" w:rsidRPr="00235394">
        <w:tab/>
      </w:r>
      <w:r w:rsidRPr="001C1F3E">
        <w:rPr>
          <w:rFonts w:hint="eastAsia"/>
          <w:lang w:eastAsia="ko-KR"/>
        </w:rPr>
        <w:t>Vehicle</w:t>
      </w:r>
      <w:r w:rsidRPr="001C1F3E">
        <w:rPr>
          <w:lang w:eastAsia="ko-KR"/>
        </w:rPr>
        <w:t>-</w:t>
      </w:r>
      <w:r w:rsidRPr="001C1F3E">
        <w:rPr>
          <w:rFonts w:hint="eastAsia"/>
          <w:lang w:eastAsia="ko-KR"/>
        </w:rPr>
        <w:t>to</w:t>
      </w:r>
      <w:r w:rsidRPr="001C1F3E">
        <w:rPr>
          <w:lang w:eastAsia="ko-KR"/>
        </w:rPr>
        <w:t>-</w:t>
      </w:r>
      <w:r w:rsidRPr="001C1F3E">
        <w:rPr>
          <w:rFonts w:hint="eastAsia"/>
          <w:lang w:eastAsia="ko-KR"/>
        </w:rPr>
        <w:t>Everything</w:t>
      </w:r>
    </w:p>
    <w:p w:rsidR="004C3E67" w:rsidRDefault="004C3E67" w:rsidP="004C3E67">
      <w:pPr>
        <w:pStyle w:val="EW"/>
        <w:rPr>
          <w:lang w:eastAsia="ko-KR"/>
        </w:rPr>
      </w:pPr>
      <w:r>
        <w:rPr>
          <w:lang w:eastAsia="ko-KR"/>
        </w:rPr>
        <w:t>VAE</w:t>
      </w:r>
      <w:r>
        <w:rPr>
          <w:lang w:eastAsia="ko-KR"/>
        </w:rPr>
        <w:tab/>
        <w:t>V2X Application Enabler</w:t>
      </w:r>
    </w:p>
    <w:p w:rsidR="004C3E67" w:rsidRDefault="004C3E67" w:rsidP="004C3E67">
      <w:pPr>
        <w:pStyle w:val="EW"/>
        <w:rPr>
          <w:lang w:eastAsia="ko-KR"/>
        </w:rPr>
      </w:pPr>
      <w:r>
        <w:rPr>
          <w:lang w:eastAsia="ko-KR"/>
        </w:rPr>
        <w:t>VAM</w:t>
      </w:r>
      <w:r>
        <w:rPr>
          <w:lang w:eastAsia="ko-KR"/>
        </w:rPr>
        <w:tab/>
        <w:t>VRU awareness message</w:t>
      </w:r>
    </w:p>
    <w:p w:rsidR="00E75CB9" w:rsidRDefault="00E75CB9" w:rsidP="00E75CB9">
      <w:pPr>
        <w:pStyle w:val="EW"/>
        <w:rPr>
          <w:lang w:eastAsia="ko-KR"/>
        </w:rPr>
      </w:pPr>
      <w:r>
        <w:rPr>
          <w:lang w:eastAsia="ko-KR"/>
        </w:rPr>
        <w:t>VASS</w:t>
      </w:r>
      <w:r>
        <w:rPr>
          <w:lang w:eastAsia="ko-KR"/>
        </w:rPr>
        <w:tab/>
        <w:t>V2X Application Specific Server</w:t>
      </w:r>
    </w:p>
    <w:p w:rsidR="004C3E67" w:rsidRDefault="004C3E67" w:rsidP="004C3E67">
      <w:pPr>
        <w:pStyle w:val="EW"/>
        <w:rPr>
          <w:lang w:eastAsia="ko-KR"/>
        </w:rPr>
      </w:pPr>
      <w:r>
        <w:rPr>
          <w:lang w:eastAsia="ko-KR"/>
        </w:rPr>
        <w:t>VRU</w:t>
      </w:r>
      <w:r>
        <w:rPr>
          <w:lang w:eastAsia="ko-KR"/>
        </w:rPr>
        <w:tab/>
        <w:t>Vulnerable Road Users</w:t>
      </w:r>
    </w:p>
    <w:p w:rsidR="00E8629F" w:rsidRPr="00235394" w:rsidRDefault="004C3E67" w:rsidP="004C3E67">
      <w:pPr>
        <w:pStyle w:val="EW"/>
      </w:pPr>
      <w:r>
        <w:rPr>
          <w:lang w:eastAsia="ko-KR"/>
        </w:rPr>
        <w:t>VRUP</w:t>
      </w:r>
      <w:r>
        <w:rPr>
          <w:lang w:eastAsia="ko-KR"/>
        </w:rPr>
        <w:tab/>
      </w:r>
      <w:r>
        <w:rPr>
          <w:lang w:val="en-US"/>
        </w:rPr>
        <w:t>Vulnerable Road User Protection</w:t>
      </w:r>
    </w:p>
    <w:p w:rsidR="00E8629F" w:rsidRPr="00235394" w:rsidRDefault="00E8629F">
      <w:pPr>
        <w:pStyle w:val="EW"/>
      </w:pPr>
    </w:p>
    <w:p w:rsidR="00495F8F" w:rsidRPr="00235394" w:rsidRDefault="008D7A12" w:rsidP="00495F8F">
      <w:pPr>
        <w:pStyle w:val="Heading1"/>
      </w:pPr>
      <w:bookmarkStart w:id="27" w:name="_Toc475064958"/>
      <w:bookmarkStart w:id="28" w:name="_Toc478400621"/>
      <w:bookmarkStart w:id="29" w:name="_Toc90490989"/>
      <w:bookmarkStart w:id="30" w:name="_Toc107783892"/>
      <w:bookmarkStart w:id="31" w:name="_Toc131177456"/>
      <w:r>
        <w:t>4</w:t>
      </w:r>
      <w:r w:rsidR="00495F8F" w:rsidRPr="00235394">
        <w:tab/>
      </w:r>
      <w:r w:rsidR="00495F8F">
        <w:t>Key issues</w:t>
      </w:r>
      <w:bookmarkEnd w:id="28"/>
      <w:bookmarkEnd w:id="29"/>
      <w:bookmarkEnd w:id="30"/>
      <w:bookmarkEnd w:id="31"/>
    </w:p>
    <w:p w:rsidR="00A26CA8" w:rsidRDefault="00A26CA8" w:rsidP="00A26CA8">
      <w:pPr>
        <w:pStyle w:val="Heading2"/>
      </w:pPr>
      <w:bookmarkStart w:id="32" w:name="_Toc107783893"/>
      <w:bookmarkStart w:id="33" w:name="_Toc131177457"/>
      <w:r>
        <w:rPr>
          <w:lang w:val="en-US" w:eastAsia="zh-CN"/>
        </w:rPr>
        <w:t>4</w:t>
      </w:r>
      <w:r>
        <w:t>.1</w:t>
      </w:r>
      <w:r>
        <w:tab/>
        <w:t xml:space="preserve">Key issue </w:t>
      </w:r>
      <w:r w:rsidR="003B08C7">
        <w:t>#</w:t>
      </w:r>
      <w:r>
        <w:t>1 –</w:t>
      </w:r>
      <w:r w:rsidR="002F6420">
        <w:t xml:space="preserve"> </w:t>
      </w:r>
      <w:r>
        <w:t>Support for high risk VRU zones</w:t>
      </w:r>
      <w:bookmarkEnd w:id="32"/>
      <w:bookmarkEnd w:id="33"/>
    </w:p>
    <w:p w:rsidR="00A26CA8" w:rsidRDefault="00A26CA8" w:rsidP="00A26CA8">
      <w:r>
        <w:rPr>
          <w:lang w:val="en-US"/>
        </w:rPr>
        <w:t>In VRU high risk zones, d</w:t>
      </w:r>
      <w:r>
        <w:t>rivers (or automated vehicles) are delivered warnings when they enter a high risk area where there is a likely presence of many VRUs. The high-risk area can be static (e.g. a school during arrival and leaving times), or dynamic (e.g. a school bus or mobile ice-cream vendor). Dedicated roadside infrastructure could play a vital role in disseminating warning messages to VRUs and vehicles as well.</w:t>
      </w:r>
    </w:p>
    <w:p w:rsidR="00A26CA8" w:rsidRDefault="00A26CA8" w:rsidP="00A26CA8">
      <w:pPr>
        <w:rPr>
          <w:noProof/>
        </w:rPr>
      </w:pPr>
      <w:r>
        <w:rPr>
          <w:noProof/>
        </w:rPr>
        <w:t>One issue at the scenario of the VRU high risk zone areas is how to configure the commun</w:t>
      </w:r>
      <w:r w:rsidR="00D24FFB">
        <w:rPr>
          <w:noProof/>
        </w:rPr>
        <w:t>ic</w:t>
      </w:r>
      <w:r>
        <w:rPr>
          <w:noProof/>
        </w:rPr>
        <w:t xml:space="preserve">ation for the zones (which can include different types of interfaces and transmission modes) and how to translate the zone configurations (which are application driven) to network requirements and zone specific provisioning parameters considering both static and dynamic zones. Furthermore, another issue is </w:t>
      </w:r>
      <w:bookmarkStart w:id="34" w:name="_Hlk85039023"/>
      <w:r>
        <w:rPr>
          <w:noProof/>
        </w:rPr>
        <w:t>how to assist the provisioning of zone specific parameters to the devices which can be potential VRUs and V2X-UEs</w:t>
      </w:r>
      <w:bookmarkEnd w:id="34"/>
      <w:r>
        <w:rPr>
          <w:noProof/>
        </w:rPr>
        <w:t xml:space="preserve"> and are expected to enter the zone.So, the key issue will study:</w:t>
      </w:r>
    </w:p>
    <w:p w:rsidR="00D24FFB" w:rsidRDefault="00D24FFB" w:rsidP="00257C4F">
      <w:pPr>
        <w:pStyle w:val="B1"/>
        <w:rPr>
          <w:noProof/>
        </w:rPr>
      </w:pPr>
      <w:r>
        <w:rPr>
          <w:noProof/>
        </w:rPr>
        <w:t>-</w:t>
      </w:r>
      <w:r>
        <w:rPr>
          <w:noProof/>
        </w:rPr>
        <w:tab/>
        <w:t>Whether and how to enhance VAE layer capabilities to support configuring the communication parameters for the zones.</w:t>
      </w:r>
    </w:p>
    <w:p w:rsidR="00D24FFB" w:rsidRDefault="00D24FFB" w:rsidP="00257C4F">
      <w:pPr>
        <w:pStyle w:val="B1"/>
        <w:rPr>
          <w:noProof/>
        </w:rPr>
      </w:pPr>
      <w:r>
        <w:rPr>
          <w:noProof/>
        </w:rPr>
        <w:t>-</w:t>
      </w:r>
      <w:r>
        <w:rPr>
          <w:noProof/>
        </w:rPr>
        <w:tab/>
        <w:t>Whether and how to enhance VAE layer capabilities to translate the zone configurations to network requirements and zone specific provisioning parameters.</w:t>
      </w:r>
    </w:p>
    <w:p w:rsidR="00D24FFB" w:rsidRDefault="00D24FFB" w:rsidP="00257C4F">
      <w:pPr>
        <w:pStyle w:val="B1"/>
        <w:rPr>
          <w:noProof/>
        </w:rPr>
      </w:pPr>
      <w:r>
        <w:rPr>
          <w:noProof/>
        </w:rPr>
        <w:t>-</w:t>
      </w:r>
      <w:r>
        <w:rPr>
          <w:noProof/>
        </w:rPr>
        <w:tab/>
        <w:t>Whether and how to assist the provisioning of zone specific parameters to the devices which can be potential VRUs and V2X-UEs.</w:t>
      </w:r>
    </w:p>
    <w:p w:rsidR="00D24FFB" w:rsidRDefault="00D24FFB" w:rsidP="00D24FFB">
      <w:pPr>
        <w:pStyle w:val="Heading2"/>
      </w:pPr>
      <w:bookmarkStart w:id="35" w:name="_Toc90490991"/>
      <w:bookmarkStart w:id="36" w:name="_Toc107783894"/>
      <w:bookmarkStart w:id="37" w:name="_Toc131177458"/>
      <w:r>
        <w:rPr>
          <w:lang w:val="en-US" w:eastAsia="zh-CN"/>
        </w:rPr>
        <w:t>4</w:t>
      </w:r>
      <w:r>
        <w:t>.2</w:t>
      </w:r>
      <w:r>
        <w:tab/>
        <w:t xml:space="preserve">Key issue </w:t>
      </w:r>
      <w:r w:rsidR="003B08C7">
        <w:t>#</w:t>
      </w:r>
      <w:r>
        <w:t>2 –</w:t>
      </w:r>
      <w:r w:rsidR="002F6420">
        <w:t xml:space="preserve"> </w:t>
      </w:r>
      <w:r>
        <w:t>Support for V2P communications</w:t>
      </w:r>
      <w:bookmarkEnd w:id="35"/>
      <w:bookmarkEnd w:id="36"/>
      <w:bookmarkEnd w:id="37"/>
    </w:p>
    <w:p w:rsidR="00D24FFB" w:rsidRDefault="00D24FFB" w:rsidP="00D24FFB">
      <w:pPr>
        <w:jc w:val="both"/>
        <w:rPr>
          <w:lang w:val="en-US"/>
        </w:rPr>
      </w:pPr>
      <w:r>
        <w:t xml:space="preserve">Vehicle to Pedestrian (V2P) is one of the V2X scenarios, which </w:t>
      </w:r>
      <w:r>
        <w:rPr>
          <w:lang w:eastAsia="zh-CN"/>
        </w:rPr>
        <w:t xml:space="preserve">enables communication between vehicles and pedestrians for both safety and traffic efficiency related applications. </w:t>
      </w:r>
      <w:r>
        <w:t xml:space="preserve">One of the key V2P applications is the </w:t>
      </w:r>
      <w:r>
        <w:rPr>
          <w:lang w:val="en-US"/>
        </w:rPr>
        <w:t>Vulnerable Road User Protection (VRUP)</w:t>
      </w:r>
      <w:r w:rsidR="000B4E46">
        <w:rPr>
          <w:lang w:val="en-US"/>
        </w:rPr>
        <w:t xml:space="preserve"> as specified in </w:t>
      </w:r>
      <w:r>
        <w:rPr>
          <w:lang w:val="en-US"/>
        </w:rPr>
        <w:t>ETSI</w:t>
      </w:r>
      <w:r w:rsidR="000B4E46">
        <w:rPr>
          <w:lang w:val="en-US"/>
        </w:rPr>
        <w:t> </w:t>
      </w:r>
      <w:r>
        <w:rPr>
          <w:lang w:val="en-US"/>
        </w:rPr>
        <w:t>TS</w:t>
      </w:r>
      <w:r w:rsidR="000B4E46">
        <w:rPr>
          <w:lang w:val="en-US"/>
        </w:rPr>
        <w:t> </w:t>
      </w:r>
      <w:r>
        <w:rPr>
          <w:lang w:val="en-US"/>
        </w:rPr>
        <w:t>103</w:t>
      </w:r>
      <w:r w:rsidR="000B4E46">
        <w:rPr>
          <w:lang w:val="en-US"/>
        </w:rPr>
        <w:t> </w:t>
      </w:r>
      <w:r>
        <w:rPr>
          <w:lang w:val="en-US"/>
        </w:rPr>
        <w:t>300-2</w:t>
      </w:r>
      <w:r w:rsidR="000B4E46">
        <w:rPr>
          <w:lang w:val="en-US"/>
        </w:rPr>
        <w:t> </w:t>
      </w:r>
      <w:r w:rsidR="00474646">
        <w:rPr>
          <w:lang w:val="en-US"/>
        </w:rPr>
        <w:t>[13]</w:t>
      </w:r>
      <w:r>
        <w:rPr>
          <w:lang w:val="en-US"/>
        </w:rPr>
        <w:t>. VRUP provides warning to vehicles of the presence of vulnerable road users, e.g. pedestrian or cyclist, in case of dangerous situation. In VRUP, multiple V2X messages need to be exchanged between the pedestrian and the vehicular UEs, originating by one or more applications. Such messages can be standard VRU messages (e.g. VAM) and other V2X messages (CAM, DENM, BSM, CPM) and can be exchanged via different transmission modes (unicast, groupcast, broadcast).</w:t>
      </w:r>
    </w:p>
    <w:p w:rsidR="00D24FFB" w:rsidRDefault="00D24FFB" w:rsidP="00D24FFB">
      <w:pPr>
        <w:jc w:val="both"/>
      </w:pPr>
      <w:r>
        <w:rPr>
          <w:lang w:val="en-US"/>
        </w:rPr>
        <w:t>In such scenario, one challenge is that a pedestrian UE</w:t>
      </w:r>
      <w:r>
        <w:rPr>
          <w:lang w:eastAsia="zh-CN"/>
        </w:rPr>
        <w:t xml:space="preserve"> might have a lower battery capacity and limited radio capability, and therefore may have to work in a low power consumption mode, e.g. not being able to send/receive V2X messages with the same periodicity as a Vehicular UE. Continuous sending/receiving V2X messages by the pedestrian UE would affect UE power efficiency.</w:t>
      </w:r>
      <w:r>
        <w:rPr>
          <w:lang w:val="en-US"/>
        </w:rPr>
        <w:t xml:space="preserve"> A further challenge is that multiple applications related to VRU may be deployed, which may have differentiated traffic/QoS requirements as well as transmission/reception schedules. </w:t>
      </w:r>
    </w:p>
    <w:p w:rsidR="00D24FFB" w:rsidRDefault="00D24FFB" w:rsidP="00D24FFB">
      <w:pPr>
        <w:jc w:val="both"/>
      </w:pPr>
      <w:r>
        <w:t xml:space="preserve">The VAE layer may provide support functionality for enabling V2P applications, by consolidating the V2P application requirements and aligning the communication traffic pattern with the PC5 QoS setting and the AS layer configurations (e.g. DRX cycles). </w:t>
      </w:r>
    </w:p>
    <w:p w:rsidR="00D24FFB" w:rsidRDefault="00D24FFB" w:rsidP="00D24FFB">
      <w:pPr>
        <w:rPr>
          <w:noProof/>
        </w:rPr>
      </w:pPr>
      <w:r>
        <w:rPr>
          <w:noProof/>
        </w:rPr>
        <w:t>So, the key issue will study:</w:t>
      </w:r>
    </w:p>
    <w:p w:rsidR="00B334C0" w:rsidRPr="001F390D" w:rsidRDefault="00B334C0" w:rsidP="00FD2B94">
      <w:pPr>
        <w:pStyle w:val="B1"/>
      </w:pPr>
      <w:r w:rsidRPr="001F390D">
        <w:t>-</w:t>
      </w:r>
      <w:r w:rsidRPr="001F390D">
        <w:tab/>
        <w:t>Whether and how the VAE layer can support the V2P communications considering the UE situation (e.g. low battery power, weak radio signals)?</w:t>
      </w:r>
    </w:p>
    <w:p w:rsidR="00B334C0" w:rsidRDefault="00B334C0" w:rsidP="00257C4F">
      <w:pPr>
        <w:pStyle w:val="B1"/>
        <w:rPr>
          <w:noProof/>
        </w:rPr>
      </w:pPr>
      <w:r>
        <w:rPr>
          <w:color w:val="1F497D"/>
          <w:lang w:val="en-US"/>
        </w:rPr>
        <w:t>-</w:t>
      </w:r>
      <w:r>
        <w:rPr>
          <w:color w:val="1F497D"/>
          <w:lang w:val="en-US"/>
        </w:rPr>
        <w:tab/>
      </w:r>
      <w:r>
        <w:rPr>
          <w:noProof/>
        </w:rPr>
        <w:t xml:space="preserve">Whether and how the VAE layer can coordinate the alignment of the communication traffic patterns </w:t>
      </w:r>
      <w:r>
        <w:t>with the PC5 QoS setting and the AS layer configurations (e.g. DRX cycles)</w:t>
      </w:r>
      <w:r>
        <w:rPr>
          <w:noProof/>
        </w:rPr>
        <w:t>?</w:t>
      </w:r>
    </w:p>
    <w:p w:rsidR="002A3B7C" w:rsidRDefault="002A3B7C" w:rsidP="002A3B7C">
      <w:pPr>
        <w:pStyle w:val="Heading2"/>
      </w:pPr>
      <w:bookmarkStart w:id="38" w:name="_Toc90490992"/>
      <w:bookmarkStart w:id="39" w:name="_Toc107783895"/>
      <w:bookmarkStart w:id="40" w:name="_Toc131177459"/>
      <w:r>
        <w:t>4.3</w:t>
      </w:r>
      <w:r>
        <w:tab/>
        <w:t>Key issue #3 – V2X service deployment in edge data network</w:t>
      </w:r>
      <w:bookmarkEnd w:id="38"/>
      <w:bookmarkEnd w:id="39"/>
      <w:bookmarkEnd w:id="40"/>
    </w:p>
    <w:p w:rsidR="002A3B7C" w:rsidRDefault="002A3B7C" w:rsidP="002A3B7C">
      <w:pPr>
        <w:rPr>
          <w:noProof/>
          <w:lang w:val="en-US"/>
        </w:rPr>
      </w:pPr>
      <w:r>
        <w:rPr>
          <w:noProof/>
          <w:lang w:val="en-US"/>
        </w:rPr>
        <w:t>The distributed deployment models for VAE layer are specified in clause 7.2.2 of 3GPP TS 23.286 </w:t>
      </w:r>
      <w:r w:rsidR="005C4F6D">
        <w:rPr>
          <w:noProof/>
          <w:lang w:val="en-US"/>
        </w:rPr>
        <w:t>[6]</w:t>
      </w:r>
      <w:r>
        <w:rPr>
          <w:noProof/>
          <w:lang w:val="en-US"/>
        </w:rPr>
        <w:t>. It is possible that both VAE server and V2X application specific servers are deployed in the edge data network. Several industry bodies like 5GAA and AECC have studied the deployments of V2X services in edge computing domain.</w:t>
      </w:r>
    </w:p>
    <w:p w:rsidR="002A3B7C" w:rsidRDefault="002A3B7C" w:rsidP="002A3B7C">
      <w:pPr>
        <w:rPr>
          <w:noProof/>
          <w:lang w:val="en-US"/>
        </w:rPr>
      </w:pPr>
      <w:r>
        <w:rPr>
          <w:noProof/>
          <w:lang w:val="en-US"/>
        </w:rPr>
        <w:t>The edge enabler architecture is specified in 3GPP TS 23.558 </w:t>
      </w:r>
      <w:r w:rsidR="00474646">
        <w:rPr>
          <w:noProof/>
          <w:lang w:val="en-US"/>
        </w:rPr>
        <w:t>[11]</w:t>
      </w:r>
      <w:r>
        <w:rPr>
          <w:noProof/>
          <w:lang w:val="en-US"/>
        </w:rPr>
        <w:t xml:space="preserve"> which supports Edge Application Servers (EAS) deployed at EDN with enabler capabilities like Application Context Relocation.</w:t>
      </w:r>
    </w:p>
    <w:p w:rsidR="002A3B7C" w:rsidRDefault="002A3B7C" w:rsidP="002A3B7C">
      <w:pPr>
        <w:rPr>
          <w:noProof/>
          <w:lang w:val="en-US"/>
        </w:rPr>
      </w:pPr>
      <w:r>
        <w:rPr>
          <w:noProof/>
          <w:lang w:val="en-US"/>
        </w:rPr>
        <w:t>It is required to investigate the impact of edge deployments of V2X application architecture considering the Edge enabler architecture. The following open issues can be studied:</w:t>
      </w:r>
    </w:p>
    <w:p w:rsidR="002A3B7C" w:rsidRDefault="002A3B7C" w:rsidP="002A3B7C">
      <w:pPr>
        <w:pStyle w:val="B1"/>
        <w:rPr>
          <w:noProof/>
          <w:lang w:val="en-US"/>
        </w:rPr>
      </w:pPr>
      <w:r>
        <w:rPr>
          <w:noProof/>
          <w:lang w:val="en-US"/>
        </w:rPr>
        <w:t>a.</w:t>
      </w:r>
      <w:r>
        <w:rPr>
          <w:noProof/>
          <w:lang w:val="en-US"/>
        </w:rPr>
        <w:tab/>
        <w:t>Whether and how V2X application architecture supports the edge enabler architecture specified in 3GPP TS 23.558 </w:t>
      </w:r>
      <w:r w:rsidR="00474646">
        <w:rPr>
          <w:noProof/>
          <w:lang w:val="en-US"/>
        </w:rPr>
        <w:t>[11]</w:t>
      </w:r>
      <w:r>
        <w:rPr>
          <w:noProof/>
          <w:lang w:val="en-US"/>
        </w:rPr>
        <w:t>.</w:t>
      </w:r>
    </w:p>
    <w:p w:rsidR="002A3B7C" w:rsidRDefault="002A3B7C" w:rsidP="002A3B7C">
      <w:pPr>
        <w:pStyle w:val="B1"/>
        <w:rPr>
          <w:noProof/>
          <w:lang w:val="en-US"/>
        </w:rPr>
      </w:pPr>
      <w:r>
        <w:rPr>
          <w:noProof/>
          <w:lang w:val="en-US"/>
        </w:rPr>
        <w:t>b.</w:t>
      </w:r>
      <w:r>
        <w:rPr>
          <w:noProof/>
          <w:lang w:val="en-US"/>
        </w:rPr>
        <w:tab/>
        <w:t>Investigate the the impact on V2X enabler services for edge deployments.</w:t>
      </w:r>
    </w:p>
    <w:p w:rsidR="00603EE1" w:rsidRDefault="00603EE1" w:rsidP="00603EE1">
      <w:pPr>
        <w:pStyle w:val="Heading2"/>
      </w:pPr>
      <w:bookmarkStart w:id="41" w:name="_Toc90490993"/>
      <w:bookmarkStart w:id="42" w:name="_Toc107783896"/>
      <w:bookmarkStart w:id="43" w:name="_Toc131177460"/>
      <w:r>
        <w:t>4.4</w:t>
      </w:r>
      <w:r>
        <w:tab/>
        <w:t>Key issue #4 – Enhancement to support non-simultaneous multiple service providers control for advanced V2X services</w:t>
      </w:r>
      <w:bookmarkEnd w:id="41"/>
      <w:bookmarkEnd w:id="42"/>
      <w:bookmarkEnd w:id="43"/>
    </w:p>
    <w:p w:rsidR="00603EE1" w:rsidRDefault="00603EE1" w:rsidP="00603EE1">
      <w:pPr>
        <w:rPr>
          <w:noProof/>
          <w:lang w:val="en-US"/>
        </w:rPr>
      </w:pPr>
      <w:r>
        <w:rPr>
          <w:noProof/>
          <w:lang w:val="en-US"/>
        </w:rPr>
        <w:t>Some capabilities (e.g. session oriented services) are specified in 3GPP TS 23.286 </w:t>
      </w:r>
      <w:r w:rsidR="005C4F6D">
        <w:rPr>
          <w:noProof/>
          <w:lang w:val="en-US"/>
        </w:rPr>
        <w:t>[6]</w:t>
      </w:r>
      <w:r>
        <w:rPr>
          <w:noProof/>
          <w:lang w:val="en-US"/>
        </w:rPr>
        <w:t xml:space="preserve"> which supports advanced V2X services (e.g. ToD service) controlled by a V2X application specific server operated by a V2X service provider. It is possible that a host vehicle can be controlled by multiple V2X service providers in different regions. Example: A host vehicle may be controlled by V2X service provider X in normal driving zone region and by V2X service provider Y in remote parking zone region. The multiple service providers may be utilizing the VAE services to support their ToD services. It can be investigated whether and how VAE services (e.g. Session oriented services) can support non-simultaneous multiple V2X service provider control for advanced V2X services (e.g. ToD).</w:t>
      </w:r>
    </w:p>
    <w:p w:rsidR="00603EE1" w:rsidRDefault="00603EE1" w:rsidP="00603EE1">
      <w:pPr>
        <w:rPr>
          <w:noProof/>
          <w:lang w:val="en-US"/>
        </w:rPr>
      </w:pPr>
      <w:r>
        <w:rPr>
          <w:noProof/>
          <w:lang w:val="en-US"/>
        </w:rPr>
        <w:t>The following open issues can be studied:</w:t>
      </w:r>
    </w:p>
    <w:p w:rsidR="00603EE1" w:rsidRDefault="00603EE1" w:rsidP="00603EE1">
      <w:pPr>
        <w:pStyle w:val="B1"/>
        <w:rPr>
          <w:noProof/>
          <w:lang w:val="en-US"/>
        </w:rPr>
      </w:pPr>
      <w:r>
        <w:rPr>
          <w:noProof/>
          <w:lang w:val="en-US"/>
        </w:rPr>
        <w:t>a.</w:t>
      </w:r>
      <w:r>
        <w:rPr>
          <w:noProof/>
          <w:lang w:val="en-US"/>
        </w:rPr>
        <w:tab/>
        <w:t>Whether and how V2X enabler services (e.g. session oriented services) can support non-simultaneous multiple V2X service provider control for advanced V2X services.</w:t>
      </w:r>
    </w:p>
    <w:p w:rsidR="008D10F5" w:rsidRDefault="008D10F5" w:rsidP="008D10F5">
      <w:pPr>
        <w:pStyle w:val="Heading2"/>
      </w:pPr>
      <w:bookmarkStart w:id="44" w:name="_Toc90490994"/>
      <w:bookmarkStart w:id="45" w:name="_Toc85799425"/>
      <w:bookmarkStart w:id="46" w:name="_Toc107783897"/>
      <w:bookmarkStart w:id="47" w:name="_Toc131177461"/>
      <w:r>
        <w:t>4.5</w:t>
      </w:r>
      <w:r>
        <w:tab/>
      </w:r>
      <w:bookmarkEnd w:id="45"/>
      <w:r>
        <w:t>Key issue</w:t>
      </w:r>
      <w:r w:rsidR="009E0DBB">
        <w:t xml:space="preserve"> </w:t>
      </w:r>
      <w:r>
        <w:t>#5 – Usage of network analytics</w:t>
      </w:r>
      <w:bookmarkEnd w:id="46"/>
      <w:bookmarkEnd w:id="47"/>
    </w:p>
    <w:p w:rsidR="008D10F5" w:rsidRDefault="008D10F5" w:rsidP="008D10F5">
      <w:pPr>
        <w:rPr>
          <w:noProof/>
          <w:lang w:val="en-US"/>
        </w:rPr>
      </w:pPr>
      <w:r>
        <w:rPr>
          <w:noProof/>
          <w:lang w:val="en-US"/>
        </w:rPr>
        <w:t>Exposure capabilities for various network analytics information (e.g. DN performance analytics) is specified in 3GPP TS 23.288 </w:t>
      </w:r>
      <w:r w:rsidR="00656D8D">
        <w:rPr>
          <w:noProof/>
          <w:lang w:val="en-US"/>
        </w:rPr>
        <w:t>[8]</w:t>
      </w:r>
      <w:r>
        <w:rPr>
          <w:noProof/>
          <w:lang w:val="en-US"/>
        </w:rPr>
        <w:t xml:space="preserve"> via NWDAF (at network layer) and 3GPP TR 23.700-36 </w:t>
      </w:r>
      <w:r w:rsidR="00474646">
        <w:rPr>
          <w:noProof/>
          <w:lang w:val="en-US"/>
        </w:rPr>
        <w:t>[12]</w:t>
      </w:r>
      <w:r>
        <w:rPr>
          <w:noProof/>
          <w:lang w:val="en-US"/>
        </w:rPr>
        <w:t xml:space="preserve"> via SEAL ADAE service (at application layer). </w:t>
      </w:r>
    </w:p>
    <w:p w:rsidR="008D10F5" w:rsidRDefault="008D10F5" w:rsidP="008D10F5">
      <w:pPr>
        <w:rPr>
          <w:noProof/>
          <w:lang w:val="en-US"/>
        </w:rPr>
      </w:pPr>
      <w:r>
        <w:rPr>
          <w:noProof/>
          <w:lang w:val="en-US"/>
        </w:rPr>
        <w:t>Some capabilities (e.g. session oriented services) are specified in 3GPP TS 23.286 [5] which supports ToD service controlled by a V2X application specific server operated by a V2X service provider. These services require very good and stable network performance for successful service operation. It is hence required to study how network analytics (e.g. performance information or performance predictions) can be used to enhance the VAE capabilities which support advanced V2X services.</w:t>
      </w:r>
    </w:p>
    <w:p w:rsidR="008D10F5" w:rsidRDefault="008D10F5" w:rsidP="008D10F5">
      <w:pPr>
        <w:rPr>
          <w:noProof/>
          <w:lang w:val="en-US"/>
        </w:rPr>
      </w:pPr>
      <w:r>
        <w:rPr>
          <w:noProof/>
          <w:lang w:val="en-US"/>
        </w:rPr>
        <w:t>The following open issue can be studied:</w:t>
      </w:r>
    </w:p>
    <w:p w:rsidR="008D10F5" w:rsidRDefault="008D10F5" w:rsidP="008D10F5">
      <w:pPr>
        <w:pStyle w:val="B1"/>
        <w:rPr>
          <w:noProof/>
          <w:lang w:val="en-US"/>
        </w:rPr>
      </w:pPr>
      <w:r>
        <w:rPr>
          <w:noProof/>
          <w:lang w:val="en-US"/>
        </w:rPr>
        <w:t>a.</w:t>
      </w:r>
      <w:r>
        <w:rPr>
          <w:noProof/>
          <w:lang w:val="en-US"/>
        </w:rPr>
        <w:tab/>
        <w:t>Whether and how V2X enabler services (e.g. session oriented services, V2X message delivery) can be enhanced to utilize the network analytics services specified in 3GPP TS 23.288 </w:t>
      </w:r>
      <w:r w:rsidR="00656D8D">
        <w:rPr>
          <w:noProof/>
          <w:lang w:val="en-US"/>
        </w:rPr>
        <w:t>[8]</w:t>
      </w:r>
      <w:r w:rsidR="00E75CB9">
        <w:rPr>
          <w:noProof/>
          <w:lang w:val="en-US"/>
        </w:rPr>
        <w:t xml:space="preserve"> and 3GPP TS 23.436 </w:t>
      </w:r>
      <w:r w:rsidR="00474646">
        <w:rPr>
          <w:noProof/>
          <w:lang w:val="en-US"/>
        </w:rPr>
        <w:t>[9]</w:t>
      </w:r>
      <w:r>
        <w:rPr>
          <w:noProof/>
          <w:lang w:val="en-US"/>
        </w:rPr>
        <w:t>.</w:t>
      </w:r>
    </w:p>
    <w:p w:rsidR="003D7994" w:rsidRDefault="003D7994" w:rsidP="003D7994">
      <w:pPr>
        <w:pStyle w:val="Heading2"/>
      </w:pPr>
      <w:bookmarkStart w:id="48" w:name="_Toc107783898"/>
      <w:bookmarkStart w:id="49" w:name="_Toc131177462"/>
      <w:r>
        <w:t>4.6</w:t>
      </w:r>
      <w:r>
        <w:tab/>
        <w:t>Key issue #6 – Enhanced network monitoring to support advanced V2X services</w:t>
      </w:r>
      <w:bookmarkEnd w:id="48"/>
      <w:bookmarkEnd w:id="49"/>
    </w:p>
    <w:p w:rsidR="003D7994" w:rsidRDefault="003D7994" w:rsidP="003D7994">
      <w:pPr>
        <w:rPr>
          <w:noProof/>
          <w:lang w:val="en-US"/>
        </w:rPr>
      </w:pPr>
      <w:r>
        <w:rPr>
          <w:noProof/>
          <w:lang w:val="en-US"/>
        </w:rPr>
        <w:t>For advanced V2X scenarios the communication service situation is very important. The V2X UE should be able to choose the communication services (e.g. Uu or PC5) with another V2X UE or a group of V2X UEs considering the network situation towards the V2X UE(s) and/or the proximity of the V2X UEs within which the V2X UEs can communicate.</w:t>
      </w:r>
    </w:p>
    <w:p w:rsidR="003D7994" w:rsidRDefault="003D7994" w:rsidP="003D7994">
      <w:pPr>
        <w:rPr>
          <w:noProof/>
          <w:lang w:val="en-US"/>
        </w:rPr>
      </w:pPr>
      <w:r>
        <w:rPr>
          <w:noProof/>
          <w:lang w:val="en-US"/>
        </w:rPr>
        <w:t xml:space="preserve">In 3GPP TS 23.286 [6] clause 9.7, a V2X UE can subscribe for the network situation monitoring events in an area of interest. Once the V2X UE receives notification, it can further decide to </w:t>
      </w:r>
      <w:r>
        <w:t>switch between different modes of operations for V2X communications. However, i</w:t>
      </w:r>
      <w:r>
        <w:rPr>
          <w:noProof/>
          <w:lang w:val="en-US"/>
        </w:rPr>
        <w:t>t does not support network situation monitoring events for a specific V2X UE or a group of V2X UEs as required for advanced V2X applications (e.g. ToD, platooning).</w:t>
      </w:r>
    </w:p>
    <w:p w:rsidR="003D7994" w:rsidRDefault="003D7994" w:rsidP="003D7994">
      <w:pPr>
        <w:rPr>
          <w:noProof/>
          <w:lang w:val="en-US"/>
        </w:rPr>
      </w:pPr>
      <w:r>
        <w:rPr>
          <w:noProof/>
          <w:lang w:val="en-US"/>
        </w:rPr>
        <w:t>The open issue for the study is:</w:t>
      </w:r>
    </w:p>
    <w:p w:rsidR="003D7994" w:rsidRDefault="003D7994" w:rsidP="003D7994">
      <w:pPr>
        <w:pStyle w:val="B1"/>
        <w:rPr>
          <w:noProof/>
          <w:lang w:val="en-US"/>
        </w:rPr>
      </w:pPr>
      <w:r>
        <w:rPr>
          <w:noProof/>
          <w:lang w:val="en-US"/>
        </w:rPr>
        <w:t>a.</w:t>
      </w:r>
      <w:r>
        <w:rPr>
          <w:noProof/>
          <w:lang w:val="en-US"/>
        </w:rPr>
        <w:tab/>
        <w:t>How to enhance the network monitoring procedures considering specific V2X UE information or group of V2X UE(s) information?</w:t>
      </w:r>
    </w:p>
    <w:p w:rsidR="00495F8F" w:rsidRPr="00235394" w:rsidRDefault="008D7A12" w:rsidP="00495F8F">
      <w:pPr>
        <w:pStyle w:val="Heading1"/>
      </w:pPr>
      <w:bookmarkStart w:id="50" w:name="_Toc478400624"/>
      <w:bookmarkStart w:id="51" w:name="_Toc90490995"/>
      <w:bookmarkStart w:id="52" w:name="_Toc107783899"/>
      <w:bookmarkStart w:id="53" w:name="_Toc131177463"/>
      <w:bookmarkEnd w:id="44"/>
      <w:r>
        <w:t>5</w:t>
      </w:r>
      <w:r w:rsidR="00495F8F" w:rsidRPr="00235394">
        <w:tab/>
      </w:r>
      <w:r w:rsidR="00495F8F">
        <w:t>Architectural requirements</w:t>
      </w:r>
      <w:bookmarkEnd w:id="50"/>
      <w:bookmarkEnd w:id="51"/>
      <w:bookmarkEnd w:id="52"/>
      <w:bookmarkEnd w:id="53"/>
    </w:p>
    <w:p w:rsidR="00495F8F" w:rsidRPr="00235394" w:rsidRDefault="008D7A12" w:rsidP="00495F8F">
      <w:pPr>
        <w:pStyle w:val="Heading2"/>
      </w:pPr>
      <w:bookmarkStart w:id="54" w:name="_Toc478400625"/>
      <w:bookmarkStart w:id="55" w:name="_Toc90490996"/>
      <w:bookmarkStart w:id="56" w:name="_Toc107783900"/>
      <w:bookmarkStart w:id="57" w:name="_Toc131177464"/>
      <w:r>
        <w:t>5</w:t>
      </w:r>
      <w:r w:rsidR="00495F8F" w:rsidRPr="00235394">
        <w:t>.1</w:t>
      </w:r>
      <w:r w:rsidR="00495F8F" w:rsidRPr="00235394">
        <w:tab/>
      </w:r>
      <w:r w:rsidR="00495F8F" w:rsidRPr="00F361BE">
        <w:t>General requirements</w:t>
      </w:r>
      <w:bookmarkEnd w:id="54"/>
      <w:bookmarkEnd w:id="55"/>
      <w:bookmarkEnd w:id="56"/>
      <w:bookmarkEnd w:id="57"/>
    </w:p>
    <w:p w:rsidR="00E75CB9" w:rsidRDefault="00E75CB9" w:rsidP="00E75CB9">
      <w:pPr>
        <w:rPr>
          <w:lang w:eastAsia="en-US"/>
        </w:rPr>
      </w:pPr>
      <w:bookmarkStart w:id="58" w:name="_Toc478400626"/>
      <w:bookmarkStart w:id="59" w:name="_Toc90490997"/>
      <w:bookmarkStart w:id="60" w:name="_Toc107783901"/>
      <w:r>
        <w:t>[</w:t>
      </w:r>
      <w:r>
        <w:rPr>
          <w:noProof/>
          <w:lang w:val="en-US"/>
        </w:rPr>
        <w:t>AR-5.1-a</w:t>
      </w:r>
      <w:r>
        <w:t>] The V2X application architecture shall be able to support the V2X applications and V2X enabler services deployments in edge data network</w:t>
      </w:r>
      <w:r>
        <w:rPr>
          <w:lang/>
        </w:rPr>
        <w:t>.</w:t>
      </w:r>
    </w:p>
    <w:p w:rsidR="00495F8F" w:rsidRPr="00235394" w:rsidRDefault="008D7A12" w:rsidP="00495F8F">
      <w:pPr>
        <w:pStyle w:val="Heading2"/>
      </w:pPr>
      <w:bookmarkStart w:id="61" w:name="_Toc131177465"/>
      <w:r>
        <w:t>5</w:t>
      </w:r>
      <w:r w:rsidR="00495F8F" w:rsidRPr="00235394">
        <w:t>.</w:t>
      </w:r>
      <w:r w:rsidR="00491B68">
        <w:t>2</w:t>
      </w:r>
      <w:r w:rsidR="00495F8F" w:rsidRPr="00235394">
        <w:tab/>
      </w:r>
      <w:r w:rsidR="00491B68">
        <w:t xml:space="preserve">VRU zone configuration </w:t>
      </w:r>
      <w:r w:rsidR="00495F8F">
        <w:t>requirements</w:t>
      </w:r>
      <w:bookmarkEnd w:id="58"/>
      <w:bookmarkEnd w:id="59"/>
      <w:bookmarkEnd w:id="60"/>
      <w:bookmarkEnd w:id="61"/>
    </w:p>
    <w:p w:rsidR="00495F8F" w:rsidRDefault="008D7A12" w:rsidP="00495F8F">
      <w:pPr>
        <w:pStyle w:val="Heading3"/>
      </w:pPr>
      <w:bookmarkStart w:id="62" w:name="_Toc478400627"/>
      <w:bookmarkStart w:id="63" w:name="_Toc90490998"/>
      <w:bookmarkStart w:id="64" w:name="_Toc107783902"/>
      <w:bookmarkStart w:id="65" w:name="_Toc131177466"/>
      <w:r>
        <w:t>5</w:t>
      </w:r>
      <w:r w:rsidR="00495F8F">
        <w:t>.</w:t>
      </w:r>
      <w:r w:rsidR="00491B68">
        <w:t>2</w:t>
      </w:r>
      <w:r w:rsidR="00495F8F">
        <w:t>.1</w:t>
      </w:r>
      <w:r w:rsidR="00495F8F">
        <w:tab/>
        <w:t>Description</w:t>
      </w:r>
      <w:bookmarkEnd w:id="62"/>
      <w:bookmarkEnd w:id="63"/>
      <w:bookmarkEnd w:id="64"/>
      <w:bookmarkEnd w:id="65"/>
    </w:p>
    <w:p w:rsidR="00491B68" w:rsidRDefault="00491B68" w:rsidP="00491B68">
      <w:r>
        <w:t>This subclause specifies the VRU zone configuration related requirements.</w:t>
      </w:r>
    </w:p>
    <w:p w:rsidR="00495F8F" w:rsidRDefault="008D7A12" w:rsidP="00495F8F">
      <w:pPr>
        <w:pStyle w:val="Heading3"/>
      </w:pPr>
      <w:bookmarkStart w:id="66" w:name="_Toc478400628"/>
      <w:bookmarkStart w:id="67" w:name="_Toc90490999"/>
      <w:bookmarkStart w:id="68" w:name="_Toc107783903"/>
      <w:bookmarkStart w:id="69" w:name="_Toc131177467"/>
      <w:r>
        <w:t>5</w:t>
      </w:r>
      <w:r w:rsidR="00495F8F">
        <w:t>.</w:t>
      </w:r>
      <w:r w:rsidR="00491B68">
        <w:t>2</w:t>
      </w:r>
      <w:r w:rsidR="00495F8F">
        <w:t>.2</w:t>
      </w:r>
      <w:r w:rsidR="00495F8F">
        <w:tab/>
        <w:t>Requirements</w:t>
      </w:r>
      <w:bookmarkEnd w:id="66"/>
      <w:bookmarkEnd w:id="67"/>
      <w:bookmarkEnd w:id="68"/>
      <w:bookmarkEnd w:id="69"/>
    </w:p>
    <w:p w:rsidR="00491B68" w:rsidRDefault="00491B68" w:rsidP="00491B68">
      <w:r>
        <w:t>[</w:t>
      </w:r>
      <w:r>
        <w:rPr>
          <w:noProof/>
          <w:lang w:val="en-US"/>
        </w:rPr>
        <w:t>AR-5.2.2-a</w:t>
      </w:r>
      <w:r>
        <w:t xml:space="preserve">] The VAE </w:t>
      </w:r>
      <w:r>
        <w:rPr>
          <w:lang/>
        </w:rPr>
        <w:t xml:space="preserve">capabilities </w:t>
      </w:r>
      <w:r>
        <w:t xml:space="preserve">shall </w:t>
      </w:r>
      <w:r>
        <w:rPr>
          <w:lang/>
        </w:rPr>
        <w:t xml:space="preserve">support </w:t>
      </w:r>
      <w:r>
        <w:rPr>
          <w:lang w:val="en-US"/>
        </w:rPr>
        <w:t>VRU zone configurations (e.g. distribution of VRU zone related configuration information) to the relevant V2X UEs</w:t>
      </w:r>
      <w:r>
        <w:rPr>
          <w:lang/>
        </w:rPr>
        <w:t>.</w:t>
      </w:r>
    </w:p>
    <w:p w:rsidR="00491B68" w:rsidRDefault="00491B68" w:rsidP="00491B68">
      <w:pPr>
        <w:pStyle w:val="Heading2"/>
      </w:pPr>
      <w:bookmarkStart w:id="70" w:name="_Toc478400629"/>
      <w:bookmarkStart w:id="71" w:name="_Toc90491000"/>
      <w:bookmarkStart w:id="72" w:name="_Toc107783904"/>
      <w:bookmarkStart w:id="73" w:name="_Toc131177468"/>
      <w:r>
        <w:t>5.3</w:t>
      </w:r>
      <w:r>
        <w:tab/>
        <w:t>V2P communications requirements</w:t>
      </w:r>
      <w:bookmarkEnd w:id="73"/>
    </w:p>
    <w:p w:rsidR="00491B68" w:rsidRDefault="00491B68" w:rsidP="00491B68">
      <w:pPr>
        <w:pStyle w:val="Heading3"/>
      </w:pPr>
      <w:bookmarkStart w:id="74" w:name="_Toc131177469"/>
      <w:r>
        <w:t>5.3.1</w:t>
      </w:r>
      <w:r>
        <w:tab/>
        <w:t>Description</w:t>
      </w:r>
      <w:bookmarkEnd w:id="74"/>
    </w:p>
    <w:p w:rsidR="00491B68" w:rsidRDefault="00491B68" w:rsidP="00491B68">
      <w:r>
        <w:t>This subclause specifies the V2P communications related requirements.</w:t>
      </w:r>
    </w:p>
    <w:p w:rsidR="00491B68" w:rsidRDefault="00491B68" w:rsidP="00491B68">
      <w:pPr>
        <w:pStyle w:val="Heading3"/>
      </w:pPr>
      <w:bookmarkStart w:id="75" w:name="_Toc131177470"/>
      <w:r>
        <w:t>5.3.2</w:t>
      </w:r>
      <w:r>
        <w:tab/>
        <w:t>Requirements</w:t>
      </w:r>
      <w:bookmarkEnd w:id="75"/>
    </w:p>
    <w:p w:rsidR="00491B68" w:rsidRDefault="00491B68" w:rsidP="00491B68">
      <w:r>
        <w:t>[</w:t>
      </w:r>
      <w:r>
        <w:rPr>
          <w:noProof/>
          <w:lang w:val="en-US"/>
        </w:rPr>
        <w:t>AR-5.3.2-a</w:t>
      </w:r>
      <w:r>
        <w:t xml:space="preserve">] The VAE </w:t>
      </w:r>
      <w:r>
        <w:rPr>
          <w:lang/>
        </w:rPr>
        <w:t xml:space="preserve">capabilities </w:t>
      </w:r>
      <w:r>
        <w:t xml:space="preserve">shall provide mechanisms (e.g. configurations) to </w:t>
      </w:r>
      <w:r>
        <w:rPr>
          <w:lang/>
        </w:rPr>
        <w:t>support</w:t>
      </w:r>
      <w:r>
        <w:rPr>
          <w:lang w:val="en-US"/>
        </w:rPr>
        <w:t xml:space="preserve"> V2P communications</w:t>
      </w:r>
      <w:r>
        <w:rPr>
          <w:lang/>
        </w:rPr>
        <w:t>.</w:t>
      </w:r>
    </w:p>
    <w:p w:rsidR="00495F8F" w:rsidRPr="003B6ED9" w:rsidRDefault="008D7A12" w:rsidP="00495F8F">
      <w:pPr>
        <w:pStyle w:val="Heading1"/>
        <w:rPr>
          <w:lang w:val="fr-FR"/>
        </w:rPr>
      </w:pPr>
      <w:bookmarkStart w:id="76" w:name="_Toc131177471"/>
      <w:r w:rsidRPr="003B6ED9">
        <w:rPr>
          <w:lang w:val="fr-FR"/>
        </w:rPr>
        <w:t>6</w:t>
      </w:r>
      <w:r w:rsidR="00495F8F" w:rsidRPr="003B6ED9">
        <w:rPr>
          <w:lang w:val="fr-FR"/>
        </w:rPr>
        <w:tab/>
        <w:t>Solutions</w:t>
      </w:r>
      <w:bookmarkEnd w:id="27"/>
      <w:bookmarkEnd w:id="70"/>
      <w:bookmarkEnd w:id="71"/>
      <w:bookmarkEnd w:id="72"/>
      <w:bookmarkEnd w:id="76"/>
    </w:p>
    <w:p w:rsidR="00603EE1" w:rsidRPr="003B6ED9" w:rsidRDefault="00603EE1" w:rsidP="00603EE1">
      <w:pPr>
        <w:pStyle w:val="Heading2"/>
        <w:rPr>
          <w:lang w:val="fr-FR"/>
        </w:rPr>
      </w:pPr>
      <w:bookmarkStart w:id="77" w:name="_Toc464463365"/>
      <w:bookmarkStart w:id="78" w:name="_Toc475064959"/>
      <w:bookmarkStart w:id="79" w:name="_Toc478400630"/>
      <w:bookmarkStart w:id="80" w:name="_Toc90491001"/>
      <w:bookmarkStart w:id="81" w:name="_Toc107783905"/>
      <w:bookmarkStart w:id="82" w:name="_Toc131177472"/>
      <w:r w:rsidRPr="003B6ED9">
        <w:rPr>
          <w:lang w:val="fr-FR"/>
        </w:rPr>
        <w:t>6.1</w:t>
      </w:r>
      <w:r w:rsidRPr="003B6ED9">
        <w:rPr>
          <w:lang w:val="fr-FR"/>
        </w:rPr>
        <w:tab/>
        <w:t>Solution #1</w:t>
      </w:r>
      <w:r w:rsidR="002F6420" w:rsidRPr="003B6ED9">
        <w:rPr>
          <w:lang w:val="fr-FR"/>
        </w:rPr>
        <w:t xml:space="preserve"> -</w:t>
      </w:r>
      <w:r w:rsidRPr="003B6ED9">
        <w:rPr>
          <w:lang w:val="fr-FR"/>
        </w:rPr>
        <w:t xml:space="preserve"> VAE support for </w:t>
      </w:r>
      <w:r w:rsidR="000A25E4">
        <w:rPr>
          <w:lang w:val="fr-FR"/>
        </w:rPr>
        <w:t>Energy Efficient V2P communications</w:t>
      </w:r>
      <w:bookmarkEnd w:id="82"/>
      <w:r w:rsidR="000A25E4" w:rsidRPr="009E394E" w:rsidDel="000A25E4">
        <w:rPr>
          <w:lang w:val="fr-FR"/>
        </w:rPr>
        <w:t xml:space="preserve"> </w:t>
      </w:r>
      <w:bookmarkEnd w:id="80"/>
      <w:bookmarkEnd w:id="81"/>
    </w:p>
    <w:p w:rsidR="00603EE1" w:rsidRPr="003B6ED9" w:rsidRDefault="00603EE1" w:rsidP="009E394E">
      <w:pPr>
        <w:pStyle w:val="Heading3"/>
        <w:rPr>
          <w:lang w:val="fr-FR"/>
        </w:rPr>
      </w:pPr>
      <w:bookmarkStart w:id="83" w:name="_Toc90491002"/>
      <w:bookmarkStart w:id="84" w:name="_Toc107783906"/>
      <w:bookmarkStart w:id="85" w:name="_Toc131177473"/>
      <w:r w:rsidRPr="003B6ED9">
        <w:rPr>
          <w:lang w:val="fr-FR"/>
        </w:rPr>
        <w:t>6.1.1</w:t>
      </w:r>
      <w:r w:rsidRPr="003B6ED9">
        <w:rPr>
          <w:lang w:val="fr-FR"/>
        </w:rPr>
        <w:tab/>
        <w:t>Solution description</w:t>
      </w:r>
      <w:bookmarkEnd w:id="83"/>
      <w:bookmarkEnd w:id="84"/>
      <w:bookmarkEnd w:id="85"/>
    </w:p>
    <w:p w:rsidR="00603EE1" w:rsidRDefault="00603EE1" w:rsidP="00603EE1">
      <w:pPr>
        <w:pStyle w:val="Heading4"/>
      </w:pPr>
      <w:bookmarkStart w:id="86" w:name="_Toc90491003"/>
      <w:bookmarkStart w:id="87" w:name="_Toc107783907"/>
      <w:bookmarkStart w:id="88" w:name="_Toc131177474"/>
      <w:r>
        <w:t>6.1.1.1</w:t>
      </w:r>
      <w:r w:rsidR="00081681">
        <w:tab/>
      </w:r>
      <w:r>
        <w:t>General</w:t>
      </w:r>
      <w:bookmarkEnd w:id="86"/>
      <w:bookmarkEnd w:id="87"/>
      <w:bookmarkEnd w:id="88"/>
    </w:p>
    <w:p w:rsidR="00603EE1" w:rsidRDefault="00603EE1" w:rsidP="00603EE1">
      <w:pPr>
        <w:jc w:val="both"/>
        <w:rPr>
          <w:lang w:val="en-US"/>
        </w:rPr>
      </w:pPr>
      <w:r>
        <w:t xml:space="preserve">Vehicle to Pedestrian (V2P) is one of the V2X scenarios, which </w:t>
      </w:r>
      <w:r>
        <w:rPr>
          <w:lang w:eastAsia="zh-CN"/>
        </w:rPr>
        <w:t xml:space="preserve">enables communication between vehicles and pedestrians for both safety and traffic efficiency related applications. </w:t>
      </w:r>
      <w:r>
        <w:t xml:space="preserve"> One of the key V2P applications is the </w:t>
      </w:r>
      <w:r>
        <w:rPr>
          <w:lang w:val="en-US"/>
        </w:rPr>
        <w:t xml:space="preserve">Vulnerable Road User Protection (VRUP) </w:t>
      </w:r>
      <w:r w:rsidR="006B7F2F">
        <w:rPr>
          <w:lang w:val="en-US"/>
        </w:rPr>
        <w:t xml:space="preserve">as specified in </w:t>
      </w:r>
      <w:r>
        <w:rPr>
          <w:lang w:val="en-US"/>
        </w:rPr>
        <w:t>ETSI</w:t>
      </w:r>
      <w:r w:rsidR="006B7F2F">
        <w:rPr>
          <w:lang w:val="en-US"/>
        </w:rPr>
        <w:t> </w:t>
      </w:r>
      <w:r>
        <w:rPr>
          <w:lang w:val="en-US"/>
        </w:rPr>
        <w:t>TS</w:t>
      </w:r>
      <w:r w:rsidR="006B7F2F">
        <w:rPr>
          <w:lang w:val="en-US"/>
        </w:rPr>
        <w:t> </w:t>
      </w:r>
      <w:r>
        <w:rPr>
          <w:lang w:val="en-US"/>
        </w:rPr>
        <w:t>103 300-2</w:t>
      </w:r>
      <w:r w:rsidR="006B7F2F">
        <w:rPr>
          <w:lang w:val="en-US"/>
        </w:rPr>
        <w:t> </w:t>
      </w:r>
      <w:r w:rsidR="00474646">
        <w:rPr>
          <w:lang w:val="en-US"/>
        </w:rPr>
        <w:t>[13]</w:t>
      </w:r>
      <w:r>
        <w:rPr>
          <w:lang w:val="en-US"/>
        </w:rPr>
        <w:t>. VRUP provides warning to vehicles of the presence of vulnerable road users, e.g. pedestrian or cyclist, in case of dangerous situation. In VRUP, multiple V2X messages need to be exchanged between the pedestrian and the vehicular UEs, originating by one or more applications. Such messages can be standard VRU messages (e.g. VAM) and other V2X messages (CAM, DENM, BSM, CPM) and can be exchanged via different transmission modes (unicast, groupcast, broadcast).</w:t>
      </w:r>
    </w:p>
    <w:p w:rsidR="00603EE1" w:rsidRDefault="00603EE1" w:rsidP="00603EE1">
      <w:pPr>
        <w:jc w:val="both"/>
      </w:pPr>
      <w:r>
        <w:rPr>
          <w:lang w:val="en-US"/>
        </w:rPr>
        <w:t>In such scenario, one challenge is that a pedestrian UE</w:t>
      </w:r>
      <w:r>
        <w:rPr>
          <w:lang w:eastAsia="zh-CN"/>
        </w:rPr>
        <w:t xml:space="preserve"> might have a lower battery capacity and limited radio capability, and therefore may have to work in a low power consumption mode, e.g. not being able to send/receive V2X messages with the same periodicity as a Vehicular UE. Continuous sending/receiving V2X messages by the pedestrian UE would affect UE power efficiency.</w:t>
      </w:r>
      <w:r>
        <w:rPr>
          <w:lang w:val="en-US"/>
        </w:rPr>
        <w:t xml:space="preserve"> A further challenge is that multiple applications related to VRU may be deployed, which may have differentiated traffic/QoS requirements as well as transmission/reception schedules. </w:t>
      </w:r>
    </w:p>
    <w:p w:rsidR="00603EE1" w:rsidRDefault="00603EE1" w:rsidP="00603EE1">
      <w:pPr>
        <w:jc w:val="both"/>
      </w:pPr>
      <w:r>
        <w:t>The VAE layer may provide support functionality for enabling V2P applications, by consolidating the V2P application requirements and aligning the communication traffic pattern with the PC5 QoS setting and the AS layer configurations (e.g. DRX cycles). Such alignment may be in the form of triggering the update of QoS / AS layer configuration based on application requirement (procedure is shown in clause 6.1.1.2.1 for client-triggered alignment and in clause 6.1.1.2.2 for VAE-server triggered alignment).</w:t>
      </w:r>
    </w:p>
    <w:p w:rsidR="00603EE1" w:rsidRDefault="00603EE1" w:rsidP="00603EE1">
      <w:pPr>
        <w:rPr>
          <w:lang w:val="en-US"/>
        </w:rPr>
      </w:pPr>
      <w:r>
        <w:rPr>
          <w:lang w:val="en-US"/>
        </w:rPr>
        <w:t xml:space="preserve">The different procedures correspond to different solution variants to address different use cases. </w:t>
      </w:r>
    </w:p>
    <w:p w:rsidR="00603EE1" w:rsidRDefault="00603EE1" w:rsidP="00603EE1">
      <w:r>
        <w:t xml:space="preserve">Clause 6.1.1.2.1 provides a VAE-client enabled V2P communication schedule configuration which could be applicable to off-network deployments and could be triggered by the application of the V2X UE (e.g. if UE battery drops while the V2P session is ongoing) based on prior configuration from the VAE server. </w:t>
      </w:r>
    </w:p>
    <w:p w:rsidR="00603EE1" w:rsidRDefault="00603EE1" w:rsidP="00603EE1">
      <w:pPr>
        <w:jc w:val="both"/>
      </w:pPr>
      <w:r>
        <w:t xml:space="preserve">On the other hand, clause 6.1.1.2.2 provides a </w:t>
      </w:r>
      <w:r>
        <w:rPr>
          <w:lang w:val="en-US"/>
        </w:rPr>
        <w:t xml:space="preserve">VAE server enabled </w:t>
      </w:r>
      <w:r>
        <w:t>V2P communication schedule configuration, which could be applicable to use cases where the VAE server after receiving the VASS requirement, it configures/aligns the schedules for the V2X UEs (e.g. can be used within VRU zones to avoid flooding/interference by c</w:t>
      </w:r>
      <w:r>
        <w:rPr>
          <w:lang w:eastAsia="zh-CN"/>
        </w:rPr>
        <w:t>ontinuous sending/receiving V2X messages</w:t>
      </w:r>
      <w:r>
        <w:t>).</w:t>
      </w:r>
    </w:p>
    <w:p w:rsidR="00603EE1" w:rsidRDefault="00603EE1" w:rsidP="00603EE1">
      <w:pPr>
        <w:pStyle w:val="Heading4"/>
      </w:pPr>
      <w:bookmarkStart w:id="89" w:name="_Toc90491004"/>
      <w:bookmarkStart w:id="90" w:name="_Toc107783908"/>
      <w:bookmarkStart w:id="91" w:name="_Toc131177475"/>
      <w:r>
        <w:t>6.</w:t>
      </w:r>
      <w:r w:rsidR="006B7F2F">
        <w:t>1</w:t>
      </w:r>
      <w:r>
        <w:t>.1.2</w:t>
      </w:r>
      <w:r w:rsidR="00081681">
        <w:tab/>
      </w:r>
      <w:r>
        <w:t>Procedures</w:t>
      </w:r>
      <w:bookmarkEnd w:id="89"/>
      <w:bookmarkEnd w:id="90"/>
      <w:bookmarkEnd w:id="91"/>
    </w:p>
    <w:p w:rsidR="00603EE1" w:rsidRDefault="00603EE1" w:rsidP="00603EE1">
      <w:r>
        <w:t xml:space="preserve">This subclause describes the procedures for </w:t>
      </w:r>
      <w:r>
        <w:rPr>
          <w:lang w:val="en-US"/>
        </w:rPr>
        <w:t xml:space="preserve">V2P communication schedule configuration and update support by the VAE layer. This includes an off-network (VAE client enabled) and on-network (VAE server enabled) procedures for V2P communication schedule configuration. </w:t>
      </w:r>
    </w:p>
    <w:p w:rsidR="00603EE1" w:rsidRDefault="00603EE1" w:rsidP="000F28E2">
      <w:pPr>
        <w:pStyle w:val="Heading5"/>
      </w:pPr>
      <w:bookmarkStart w:id="92" w:name="_Toc27954125"/>
      <w:bookmarkStart w:id="93" w:name="_Toc9812728"/>
      <w:bookmarkStart w:id="94" w:name="_Toc9812484"/>
      <w:bookmarkStart w:id="95" w:name="_Toc90491005"/>
      <w:bookmarkStart w:id="96" w:name="_Toc107783909"/>
      <w:bookmarkStart w:id="97" w:name="_Toc131177476"/>
      <w:r>
        <w:t>6.</w:t>
      </w:r>
      <w:r w:rsidR="006B7F2F">
        <w:t>1</w:t>
      </w:r>
      <w:r>
        <w:t>.1.2.1</w:t>
      </w:r>
      <w:r>
        <w:tab/>
        <w:t>Procedure</w:t>
      </w:r>
      <w:bookmarkEnd w:id="92"/>
      <w:bookmarkEnd w:id="93"/>
      <w:bookmarkEnd w:id="94"/>
      <w:r>
        <w:rPr>
          <w:lang w:val="en-US"/>
        </w:rPr>
        <w:t xml:space="preserve"> for VAE client enabled V2P communication schedule configuration</w:t>
      </w:r>
      <w:bookmarkEnd w:id="95"/>
      <w:bookmarkEnd w:id="96"/>
      <w:bookmarkEnd w:id="97"/>
    </w:p>
    <w:p w:rsidR="00603EE1" w:rsidRDefault="00603EE1" w:rsidP="00603EE1">
      <w:r>
        <w:t>Figure 6.</w:t>
      </w:r>
      <w:r w:rsidR="006B7F2F">
        <w:t>1</w:t>
      </w:r>
      <w:r>
        <w:t xml:space="preserve">.1.2.1-1 illustrates the procedure where the VAE client configures the traffic schedule for V2P communications based on application requirement; and triggers the translation to an AS layer/ QoS configurations update. </w:t>
      </w:r>
    </w:p>
    <w:p w:rsidR="00603EE1" w:rsidRDefault="00603EE1" w:rsidP="00603EE1">
      <w:pPr>
        <w:rPr>
          <w:noProof/>
          <w:lang w:val="en-US"/>
        </w:rPr>
      </w:pPr>
      <w:r>
        <w:rPr>
          <w:noProof/>
          <w:lang w:val="en-US"/>
        </w:rPr>
        <w:t>Pre-conditions:</w:t>
      </w:r>
    </w:p>
    <w:p w:rsidR="006B7F2F" w:rsidRDefault="006B7F2F" w:rsidP="00373A0E">
      <w:pPr>
        <w:pStyle w:val="B1"/>
      </w:pPr>
      <w:r>
        <w:rPr>
          <w:noProof/>
          <w:lang w:val="en-US"/>
        </w:rPr>
        <w:t>1.</w:t>
      </w:r>
      <w:r>
        <w:rPr>
          <w:noProof/>
          <w:lang w:val="en-US"/>
        </w:rPr>
        <w:tab/>
      </w:r>
      <w:r>
        <w:t>VASS or VASC has subscribed to VAE layer to provide support for V2P communication.</w:t>
      </w:r>
    </w:p>
    <w:p w:rsidR="006B7F2F" w:rsidRDefault="006B7F2F" w:rsidP="00373A0E">
      <w:pPr>
        <w:pStyle w:val="B1"/>
      </w:pPr>
      <w:r>
        <w:t>2.</w:t>
      </w:r>
      <w:r>
        <w:tab/>
        <w:t>VAE client 1 has been configured by the VAE server to configure the communication schedule for V2P communications.</w:t>
      </w:r>
    </w:p>
    <w:p w:rsidR="006B7F2F" w:rsidRDefault="006B7F2F" w:rsidP="00373A0E">
      <w:pPr>
        <w:pStyle w:val="B1"/>
        <w:rPr>
          <w:lang w:val="en-US"/>
        </w:rPr>
      </w:pPr>
      <w:r>
        <w:t>3.</w:t>
      </w:r>
      <w:r>
        <w:tab/>
        <w:t xml:space="preserve">V2X UE #1 and V2X UE#2 have discovered each other based upon V2P service and established a unicast connection using the </w:t>
      </w:r>
      <w:r>
        <w:rPr>
          <w:lang w:val="en-US"/>
        </w:rPr>
        <w:t>V2X Service oriented Layer-2 link establishment procedure as specified in 3GPP TS 23.287 </w:t>
      </w:r>
      <w:r w:rsidR="005C4F6D">
        <w:rPr>
          <w:lang w:val="en-US"/>
        </w:rPr>
        <w:t>[7]</w:t>
      </w:r>
      <w:r>
        <w:rPr>
          <w:lang w:val="en-US"/>
        </w:rPr>
        <w:t> clause 6.3.3.1</w:t>
      </w:r>
    </w:p>
    <w:p w:rsidR="00603EE1" w:rsidRDefault="00603EE1" w:rsidP="00603EE1">
      <w:pPr>
        <w:pStyle w:val="TH"/>
        <w:rPr>
          <w:noProof/>
          <w:lang w:val="en-US"/>
        </w:rPr>
      </w:pPr>
      <w:r>
        <w:object w:dxaOrig="9636" w:dyaOrig="4644">
          <v:shape id="_x0000_i1027" type="#_x0000_t75" style="width:482.1pt;height:232.3pt" o:ole="">
            <v:imagedata r:id="rId10" o:title=""/>
          </v:shape>
          <o:OLEObject Type="Embed" ProgID="Visio.Drawing.15" ShapeID="_x0000_i1027" DrawAspect="Content" ObjectID="_1771860997" r:id="rId11"/>
        </w:object>
      </w:r>
    </w:p>
    <w:p w:rsidR="00603EE1" w:rsidRDefault="00603EE1" w:rsidP="00603EE1">
      <w:pPr>
        <w:pStyle w:val="TF"/>
        <w:rPr>
          <w:noProof/>
          <w:lang w:val="en-US"/>
        </w:rPr>
      </w:pPr>
      <w:r>
        <w:rPr>
          <w:noProof/>
          <w:lang w:val="en-US"/>
        </w:rPr>
        <w:t>Figure </w:t>
      </w:r>
      <w:r>
        <w:t>6.</w:t>
      </w:r>
      <w:r w:rsidR="006B7F2F">
        <w:t>1</w:t>
      </w:r>
      <w:r>
        <w:t>.1.2.1</w:t>
      </w:r>
      <w:r>
        <w:rPr>
          <w:noProof/>
          <w:lang w:val="en-US"/>
        </w:rPr>
        <w:t xml:space="preserve">-1: </w:t>
      </w:r>
      <w:r>
        <w:rPr>
          <w:lang w:val="en-US"/>
        </w:rPr>
        <w:t>VAE client - enabled V2P communication schedule configuration</w:t>
      </w:r>
    </w:p>
    <w:p w:rsidR="00603EE1" w:rsidRDefault="00603EE1" w:rsidP="00603EE1">
      <w:pPr>
        <w:pStyle w:val="B1"/>
        <w:rPr>
          <w:rFonts w:eastAsia="Malgun Gothic"/>
          <w:lang w:eastAsia="ja-JP"/>
        </w:rPr>
      </w:pPr>
      <w:r>
        <w:rPr>
          <w:rFonts w:eastAsia="Malgun Gothic"/>
          <w:lang w:eastAsia="ja-JP"/>
        </w:rPr>
        <w:t>1.</w:t>
      </w:r>
      <w:r>
        <w:rPr>
          <w:rFonts w:eastAsia="Malgun Gothic"/>
          <w:lang w:eastAsia="ja-JP"/>
        </w:rPr>
        <w:tab/>
      </w:r>
      <w:r>
        <w:t>On V2X UE</w:t>
      </w:r>
      <w:r w:rsidR="006B7F2F">
        <w:t xml:space="preserve"> #</w:t>
      </w:r>
      <w:r>
        <w:t xml:space="preserve">1, the V2X application specific client 1 and 2 provide the V2X application requirements to the VAE client, including delay requirements, etc., for the PC5 communication. </w:t>
      </w:r>
      <w:r>
        <w:rPr>
          <w:lang w:eastAsia="ko-KR"/>
        </w:rPr>
        <w:t xml:space="preserve">Here, this </w:t>
      </w:r>
      <w:r>
        <w:t xml:space="preserve">V2X Application specific client </w:t>
      </w:r>
      <w:r>
        <w:rPr>
          <w:lang w:eastAsia="ko-KR"/>
        </w:rPr>
        <w:t xml:space="preserve">1 may be requesting a groupcast communication and </w:t>
      </w:r>
      <w:r>
        <w:t>V2X Application specific client 2 may be requesting a unicast communication.</w:t>
      </w:r>
    </w:p>
    <w:p w:rsidR="00603EE1" w:rsidRDefault="00603EE1" w:rsidP="00603EE1">
      <w:pPr>
        <w:pStyle w:val="B1"/>
        <w:rPr>
          <w:rFonts w:eastAsia="Malgun Gothic"/>
          <w:lang w:eastAsia="ja-JP"/>
        </w:rPr>
      </w:pPr>
      <w:r>
        <w:rPr>
          <w:rFonts w:eastAsia="Malgun Gothic"/>
          <w:lang w:eastAsia="ja-JP"/>
        </w:rPr>
        <w:t>2.</w:t>
      </w:r>
      <w:r>
        <w:rPr>
          <w:rFonts w:eastAsia="Malgun Gothic"/>
          <w:lang w:eastAsia="ja-JP"/>
        </w:rPr>
        <w:tab/>
        <w:t xml:space="preserve">V2X </w:t>
      </w:r>
      <w:r>
        <w:t>UE</w:t>
      </w:r>
      <w:r w:rsidR="006B7F2F">
        <w:t xml:space="preserve"> #</w:t>
      </w:r>
      <w:r>
        <w:t xml:space="preserve">1's VAE client consolidates requirements from both applications and generates a UE level transmission schedule, so that the off-duration is maximized. The determination of the transmission schedule can be determined based on the configuration on the UE (energy efficiency target) and the service KPIs. </w:t>
      </w:r>
    </w:p>
    <w:p w:rsidR="00603EE1" w:rsidRDefault="00603EE1" w:rsidP="00603EE1">
      <w:pPr>
        <w:pStyle w:val="B1"/>
        <w:rPr>
          <w:rFonts w:eastAsia="Malgun Gothic"/>
          <w:lang w:eastAsia="ja-JP"/>
        </w:rPr>
      </w:pPr>
      <w:r>
        <w:rPr>
          <w:rFonts w:eastAsia="Malgun Gothic"/>
          <w:lang w:eastAsia="ja-JP"/>
        </w:rPr>
        <w:t>3.</w:t>
      </w:r>
      <w:r>
        <w:rPr>
          <w:rFonts w:eastAsia="Malgun Gothic"/>
          <w:lang w:eastAsia="ja-JP"/>
        </w:rPr>
        <w:tab/>
        <w:t xml:space="preserve">V2X </w:t>
      </w:r>
      <w:r>
        <w:t>UE</w:t>
      </w:r>
      <w:r w:rsidR="006B7F2F">
        <w:t xml:space="preserve"> #</w:t>
      </w:r>
      <w:r>
        <w:t xml:space="preserve">1's </w:t>
      </w:r>
      <w:r>
        <w:rPr>
          <w:rFonts w:eastAsia="Malgun Gothic"/>
          <w:lang w:eastAsia="ja-JP"/>
        </w:rPr>
        <w:t xml:space="preserve">VAE client sends a V2P communication schedule update message which includes </w:t>
      </w:r>
      <w:r>
        <w:t>the generated UE level transmission schedule to other VAE client 2 (in vicinity, or in service-based group), in order to negotiate the optimal transmission pattern or inform on the expected reception pattern.</w:t>
      </w:r>
    </w:p>
    <w:p w:rsidR="00603EE1" w:rsidRDefault="00603EE1" w:rsidP="00603EE1">
      <w:pPr>
        <w:pStyle w:val="B1"/>
        <w:rPr>
          <w:rFonts w:eastAsia="Malgun Gothic"/>
          <w:lang w:eastAsia="ja-JP"/>
        </w:rPr>
      </w:pPr>
      <w:r>
        <w:rPr>
          <w:rFonts w:eastAsia="Malgun Gothic"/>
          <w:lang w:eastAsia="ja-JP"/>
        </w:rPr>
        <w:t>4.</w:t>
      </w:r>
      <w:r>
        <w:rPr>
          <w:rFonts w:eastAsia="Malgun Gothic"/>
          <w:lang w:eastAsia="ja-JP"/>
        </w:rPr>
        <w:tab/>
        <w:t xml:space="preserve">V2X </w:t>
      </w:r>
      <w:r>
        <w:t>UE</w:t>
      </w:r>
      <w:r w:rsidR="006B7F2F">
        <w:t xml:space="preserve"> #</w:t>
      </w:r>
      <w:r>
        <w:t xml:space="preserve">2's VAE client either accepts or provides its transmission cycle or negotiates the traffic pattern. </w:t>
      </w:r>
    </w:p>
    <w:p w:rsidR="00603EE1" w:rsidRDefault="00603EE1" w:rsidP="00603EE1">
      <w:pPr>
        <w:pStyle w:val="B1"/>
        <w:rPr>
          <w:rFonts w:eastAsia="Malgun Gothic"/>
          <w:lang w:eastAsia="ja-JP"/>
        </w:rPr>
      </w:pPr>
      <w:r>
        <w:rPr>
          <w:rFonts w:eastAsia="Malgun Gothic"/>
          <w:lang w:eastAsia="ja-JP"/>
        </w:rPr>
        <w:t>5.</w:t>
      </w:r>
      <w:r>
        <w:rPr>
          <w:rFonts w:eastAsia="Malgun Gothic"/>
          <w:lang w:eastAsia="ja-JP"/>
        </w:rPr>
        <w:tab/>
        <w:t xml:space="preserve">VAE clients of V2X </w:t>
      </w:r>
      <w:r>
        <w:t>UE</w:t>
      </w:r>
      <w:r w:rsidR="006B7F2F">
        <w:t xml:space="preserve"> #</w:t>
      </w:r>
      <w:r>
        <w:t xml:space="preserve">2 </w:t>
      </w:r>
      <w:r>
        <w:rPr>
          <w:rFonts w:eastAsia="Malgun Gothic"/>
          <w:lang w:eastAsia="ja-JP"/>
        </w:rPr>
        <w:t>may optionally send a V2P communication schedule update message</w:t>
      </w:r>
      <w:r>
        <w:t xml:space="preserve"> indicating the expected/generated UE</w:t>
      </w:r>
      <w:r w:rsidR="006B7F2F">
        <w:t xml:space="preserve"> #</w:t>
      </w:r>
      <w:r>
        <w:t>2 transmission pattern.</w:t>
      </w:r>
    </w:p>
    <w:p w:rsidR="00603EE1" w:rsidRDefault="00603EE1" w:rsidP="00603EE1">
      <w:pPr>
        <w:pStyle w:val="B1"/>
      </w:pPr>
      <w:r>
        <w:rPr>
          <w:rFonts w:eastAsia="Malgun Gothic"/>
          <w:lang w:eastAsia="ja-JP"/>
        </w:rPr>
        <w:t>6.</w:t>
      </w:r>
      <w:r>
        <w:rPr>
          <w:rFonts w:eastAsia="Malgun Gothic"/>
          <w:lang w:eastAsia="ja-JP"/>
        </w:rPr>
        <w:tab/>
        <w:t xml:space="preserve">V2X </w:t>
      </w:r>
      <w:r>
        <w:t>UE</w:t>
      </w:r>
      <w:r w:rsidR="006B7F2F">
        <w:t xml:space="preserve"> #</w:t>
      </w:r>
      <w:r>
        <w:t>1</w:t>
      </w:r>
      <w:r w:rsidR="006B7F2F">
        <w:t>'</w:t>
      </w:r>
      <w:r>
        <w:t>s and V2X UE</w:t>
      </w:r>
      <w:r w:rsidR="006B7F2F">
        <w:t xml:space="preserve"> #</w:t>
      </w:r>
      <w:r>
        <w:t>2</w:t>
      </w:r>
      <w:r w:rsidR="006B7F2F">
        <w:t>'</w:t>
      </w:r>
      <w:r>
        <w:t>s VAE clients</w:t>
      </w:r>
      <w:r w:rsidR="00C75CEA">
        <w:t xml:space="preserve"> (VAE clients are deployed at V2X application layer),</w:t>
      </w:r>
      <w:r>
        <w:t xml:space="preserve"> provide the updated traffic pattern as V2X Application Requirements to V2X layer, also including QoS requirements such as delay requirements, priority, etc., for the PC5 communication for both applications, as specified in </w:t>
      </w:r>
      <w:r w:rsidR="006B7F2F">
        <w:t>3GPP </w:t>
      </w:r>
      <w:r>
        <w:t>TS 23.287</w:t>
      </w:r>
      <w:r w:rsidR="006B7F2F">
        <w:t> </w:t>
      </w:r>
      <w:r w:rsidR="005C4F6D">
        <w:t>[7]</w:t>
      </w:r>
      <w:r>
        <w:t xml:space="preserve"> clause 5.4.1.1</w:t>
      </w:r>
      <w:r>
        <w:rPr>
          <w:lang w:eastAsia="ko-KR"/>
        </w:rPr>
        <w:t>. VAE client may also indicate the transmission mode (unicast, groupcast) per application.</w:t>
      </w:r>
      <w:r>
        <w:t xml:space="preserve"> The </w:t>
      </w:r>
      <w:r w:rsidR="00C75CEA">
        <w:t>V2X/</w:t>
      </w:r>
      <w:r>
        <w:t xml:space="preserve">AS layer of UE </w:t>
      </w:r>
      <w:r w:rsidR="006B7F2F">
        <w:t>#</w:t>
      </w:r>
      <w:r>
        <w:t xml:space="preserve">1 and </w:t>
      </w:r>
      <w:r w:rsidR="006B7F2F">
        <w:t>#</w:t>
      </w:r>
      <w:r>
        <w:t>2 applies/configures the DRX schedule for the corresponding V2X communication</w:t>
      </w:r>
      <w:r w:rsidR="00C75CEA">
        <w:t>, based on the updated traffic pattern per cast type and/or destination Layer ID (as specified in 3GPP TS 23.287 [7] clause 5.9)</w:t>
      </w:r>
      <w:r>
        <w:t>.</w:t>
      </w:r>
    </w:p>
    <w:p w:rsidR="00603EE1" w:rsidRDefault="006B7F2F" w:rsidP="00373A0E">
      <w:pPr>
        <w:pStyle w:val="EditorsNote"/>
        <w:rPr>
          <w:lang w:val="en-US"/>
        </w:rPr>
      </w:pPr>
      <w:r>
        <w:rPr>
          <w:lang w:val="en-US"/>
        </w:rPr>
        <w:t>Editor'</w:t>
      </w:r>
      <w:r w:rsidR="00603EE1">
        <w:rPr>
          <w:lang w:val="en-US"/>
        </w:rPr>
        <w:t xml:space="preserve">s Note: </w:t>
      </w:r>
      <w:r w:rsidR="00D97C78">
        <w:rPr>
          <w:lang w:val="en-US"/>
        </w:rPr>
        <w:t>I</w:t>
      </w:r>
      <w:r w:rsidR="00603EE1">
        <w:rPr>
          <w:lang w:val="en-US"/>
        </w:rPr>
        <w:t xml:space="preserve">t is FFS to identify possible dependencies to RAN2/SA2 </w:t>
      </w:r>
      <w:r w:rsidR="00C75CEA">
        <w:rPr>
          <w:lang w:val="en-US"/>
        </w:rPr>
        <w:t>for the consideration of the Tx Profile which may impact the details of step 6.</w:t>
      </w:r>
      <w:r w:rsidR="00603EE1">
        <w:rPr>
          <w:lang w:val="en-US"/>
        </w:rPr>
        <w:t xml:space="preserve"> </w:t>
      </w:r>
    </w:p>
    <w:p w:rsidR="00603EE1" w:rsidRDefault="00603EE1" w:rsidP="00603EE1">
      <w:pPr>
        <w:pStyle w:val="B1"/>
        <w:rPr>
          <w:rFonts w:eastAsia="Malgun Gothic"/>
          <w:lang w:eastAsia="ja-JP"/>
        </w:rPr>
      </w:pPr>
      <w:r>
        <w:rPr>
          <w:rFonts w:eastAsia="Malgun Gothic"/>
          <w:lang w:eastAsia="ja-JP"/>
        </w:rPr>
        <w:t>7.</w:t>
      </w:r>
      <w:r>
        <w:rPr>
          <w:rFonts w:eastAsia="Malgun Gothic"/>
          <w:lang w:eastAsia="ja-JP"/>
        </w:rPr>
        <w:tab/>
        <w:t xml:space="preserve">VAE clients of V2X UEs </w:t>
      </w:r>
      <w:r w:rsidR="006B7F2F">
        <w:rPr>
          <w:rFonts w:eastAsia="Malgun Gothic"/>
          <w:lang w:eastAsia="ja-JP"/>
        </w:rPr>
        <w:t>#</w:t>
      </w:r>
      <w:r>
        <w:rPr>
          <w:rFonts w:eastAsia="Malgun Gothic"/>
          <w:lang w:eastAsia="ja-JP"/>
        </w:rPr>
        <w:t xml:space="preserve">1 and </w:t>
      </w:r>
      <w:r w:rsidR="006B7F2F">
        <w:rPr>
          <w:rFonts w:eastAsia="Malgun Gothic"/>
          <w:lang w:eastAsia="ja-JP"/>
        </w:rPr>
        <w:t>#</w:t>
      </w:r>
      <w:r>
        <w:rPr>
          <w:rFonts w:eastAsia="Malgun Gothic"/>
          <w:lang w:eastAsia="ja-JP"/>
        </w:rPr>
        <w:t>2 may send a notification to the V2</w:t>
      </w:r>
      <w:r w:rsidR="00D97C78">
        <w:rPr>
          <w:rFonts w:eastAsia="Malgun Gothic"/>
          <w:lang w:eastAsia="ja-JP"/>
        </w:rPr>
        <w:t>X</w:t>
      </w:r>
      <w:r>
        <w:rPr>
          <w:rFonts w:eastAsia="Malgun Gothic"/>
          <w:lang w:eastAsia="ja-JP"/>
        </w:rPr>
        <w:t xml:space="preserve"> application specific client(s) to inform on the communication traffic pattern. </w:t>
      </w:r>
    </w:p>
    <w:p w:rsidR="00603EE1" w:rsidRDefault="00603EE1" w:rsidP="000F28E2">
      <w:pPr>
        <w:pStyle w:val="Heading5"/>
      </w:pPr>
      <w:bookmarkStart w:id="98" w:name="_Toc90491006"/>
      <w:bookmarkStart w:id="99" w:name="_Toc107783910"/>
      <w:bookmarkStart w:id="100" w:name="_Toc131177477"/>
      <w:r>
        <w:t>6.</w:t>
      </w:r>
      <w:r w:rsidR="006B7F2F">
        <w:t>1</w:t>
      </w:r>
      <w:r>
        <w:t>.1.2.2</w:t>
      </w:r>
      <w:r>
        <w:tab/>
        <w:t>Procedure</w:t>
      </w:r>
      <w:r>
        <w:rPr>
          <w:lang w:val="en-US"/>
        </w:rPr>
        <w:t xml:space="preserve"> for VAE server enabled V2P communication schedule configuration</w:t>
      </w:r>
      <w:bookmarkEnd w:id="98"/>
      <w:bookmarkEnd w:id="99"/>
      <w:bookmarkEnd w:id="100"/>
      <w:r>
        <w:rPr>
          <w:lang w:val="en-US"/>
        </w:rPr>
        <w:t xml:space="preserve"> </w:t>
      </w:r>
    </w:p>
    <w:p w:rsidR="00603EE1" w:rsidRDefault="00603EE1" w:rsidP="00603EE1">
      <w:r>
        <w:t>Figure 6.</w:t>
      </w:r>
      <w:r w:rsidR="006B7F2F">
        <w:t>1</w:t>
      </w:r>
      <w:r>
        <w:t>.1.2.2-1 illustrates the procedure where the VAE server configures the traffic schedule for V2P communications based on application requirement; and communicates with the VAE clients to trigger the translation to an AS layer/ QoS configurations update.</w:t>
      </w:r>
      <w:r>
        <w:rPr>
          <w:lang w:val="en-US"/>
        </w:rPr>
        <w:t xml:space="preserve"> </w:t>
      </w:r>
      <w:r>
        <w:t xml:space="preserve"> </w:t>
      </w:r>
    </w:p>
    <w:p w:rsidR="00603EE1" w:rsidRDefault="00603EE1" w:rsidP="00603EE1">
      <w:pPr>
        <w:rPr>
          <w:noProof/>
          <w:lang w:val="en-US"/>
        </w:rPr>
      </w:pPr>
      <w:r>
        <w:rPr>
          <w:noProof/>
          <w:lang w:val="en-US"/>
        </w:rPr>
        <w:t>Pre-conditions:</w:t>
      </w:r>
    </w:p>
    <w:p w:rsidR="006B7F2F" w:rsidRDefault="006B7F2F" w:rsidP="00373A0E">
      <w:pPr>
        <w:pStyle w:val="B1"/>
      </w:pPr>
      <w:r>
        <w:rPr>
          <w:noProof/>
          <w:lang w:val="en-US"/>
        </w:rPr>
        <w:t>1.</w:t>
      </w:r>
      <w:r>
        <w:rPr>
          <w:noProof/>
          <w:lang w:val="en-US"/>
        </w:rPr>
        <w:tab/>
      </w:r>
      <w:r>
        <w:t>VASS has subscribed to VAE server to provide support for V2P communication.</w:t>
      </w:r>
    </w:p>
    <w:p w:rsidR="006B7F2F" w:rsidRDefault="006B7F2F" w:rsidP="00373A0E">
      <w:pPr>
        <w:pStyle w:val="B1"/>
      </w:pPr>
      <w:r>
        <w:t>2.</w:t>
      </w:r>
      <w:r>
        <w:tab/>
        <w:t>VAE client of V2X UE #1 and V2X UE #2 are registered with VAE server.</w:t>
      </w:r>
    </w:p>
    <w:p w:rsidR="00603EE1" w:rsidRDefault="00603EE1" w:rsidP="003B6ED9">
      <w:pPr>
        <w:pStyle w:val="TH"/>
      </w:pPr>
      <w:r>
        <w:object w:dxaOrig="9636" w:dyaOrig="4704">
          <v:shape id="_x0000_i1028" type="#_x0000_t75" style="width:482.1pt;height:235.4pt" o:ole="">
            <v:imagedata r:id="rId12" o:title=""/>
          </v:shape>
          <o:OLEObject Type="Embed" ProgID="Visio.Drawing.15" ShapeID="_x0000_i1028" DrawAspect="Content" ObjectID="_1771860998" r:id="rId13"/>
        </w:object>
      </w:r>
    </w:p>
    <w:p w:rsidR="00603EE1" w:rsidRDefault="00603EE1" w:rsidP="00603EE1">
      <w:pPr>
        <w:pStyle w:val="TF"/>
        <w:rPr>
          <w:noProof/>
          <w:lang w:val="en-US"/>
        </w:rPr>
      </w:pPr>
      <w:r>
        <w:rPr>
          <w:noProof/>
          <w:lang w:val="en-US"/>
        </w:rPr>
        <w:t>Figure </w:t>
      </w:r>
      <w:r>
        <w:t>6.</w:t>
      </w:r>
      <w:r w:rsidR="006B7F2F">
        <w:t>1</w:t>
      </w:r>
      <w:r>
        <w:t>.1.2.2</w:t>
      </w:r>
      <w:r>
        <w:rPr>
          <w:noProof/>
          <w:lang w:val="en-US"/>
        </w:rPr>
        <w:t xml:space="preserve">-1: </w:t>
      </w:r>
      <w:r>
        <w:rPr>
          <w:lang w:val="en-US"/>
        </w:rPr>
        <w:t>VAE server - enabled V2P communication schedule configuration</w:t>
      </w:r>
    </w:p>
    <w:p w:rsidR="00603EE1" w:rsidRDefault="00603EE1" w:rsidP="00603EE1">
      <w:pPr>
        <w:pStyle w:val="B1"/>
        <w:rPr>
          <w:rFonts w:eastAsia="Malgun Gothic"/>
          <w:lang w:eastAsia="ja-JP"/>
        </w:rPr>
      </w:pPr>
      <w:r>
        <w:rPr>
          <w:rFonts w:eastAsia="Malgun Gothic"/>
          <w:lang w:eastAsia="ja-JP"/>
        </w:rPr>
        <w:t>1.</w:t>
      </w:r>
      <w:r>
        <w:rPr>
          <w:rFonts w:eastAsia="Malgun Gothic"/>
          <w:lang w:eastAsia="ja-JP"/>
        </w:rPr>
        <w:tab/>
      </w:r>
      <w:r>
        <w:t xml:space="preserve">One or more V2X application specific servers provide the V2X application requirements to the VAE server, including application QoS requirements for the V2P applications and provisioning policies and parameters for the PC5 communication. </w:t>
      </w:r>
    </w:p>
    <w:p w:rsidR="00603EE1" w:rsidRDefault="00603EE1" w:rsidP="00603EE1">
      <w:pPr>
        <w:pStyle w:val="B1"/>
        <w:rPr>
          <w:rFonts w:eastAsia="Malgun Gothic"/>
          <w:lang w:eastAsia="ja-JP"/>
        </w:rPr>
      </w:pPr>
      <w:r>
        <w:rPr>
          <w:rFonts w:eastAsia="Malgun Gothic"/>
          <w:lang w:eastAsia="ja-JP"/>
        </w:rPr>
        <w:t>2.</w:t>
      </w:r>
      <w:r>
        <w:rPr>
          <w:rFonts w:eastAsia="Malgun Gothic"/>
          <w:lang w:eastAsia="ja-JP"/>
        </w:rPr>
        <w:tab/>
        <w:t>The</w:t>
      </w:r>
      <w:r>
        <w:t xml:space="preserve"> VAE server generates a communication schedule for one or more involved V2X UEs, so that the off duration is maximized. The determination of the transmission schedule can be determined based on the V2P service KPIs. Such communication schedu</w:t>
      </w:r>
      <w:r w:rsidR="006B7F2F">
        <w:t>l</w:t>
      </w:r>
      <w:r>
        <w:t>e may include the transmission/reception schedule for the application messages and may also include the DRX cycle configuration for out of coverage and groupcast/broadcast communications.</w:t>
      </w:r>
    </w:p>
    <w:p w:rsidR="00603EE1" w:rsidRDefault="00603EE1" w:rsidP="00603EE1">
      <w:pPr>
        <w:pStyle w:val="B1"/>
        <w:rPr>
          <w:rFonts w:eastAsia="Malgun Gothic"/>
          <w:lang w:eastAsia="ja-JP"/>
        </w:rPr>
      </w:pPr>
      <w:r>
        <w:rPr>
          <w:rFonts w:eastAsia="Malgun Gothic"/>
          <w:lang w:eastAsia="ja-JP"/>
        </w:rPr>
        <w:t>3.</w:t>
      </w:r>
      <w:r>
        <w:rPr>
          <w:rFonts w:eastAsia="Malgun Gothic"/>
          <w:lang w:eastAsia="ja-JP"/>
        </w:rPr>
        <w:tab/>
        <w:t>The</w:t>
      </w:r>
      <w:r>
        <w:t xml:space="preserve"> VAE server </w:t>
      </w:r>
      <w:r>
        <w:rPr>
          <w:rFonts w:eastAsia="Malgun Gothic"/>
          <w:lang w:eastAsia="ja-JP"/>
        </w:rPr>
        <w:t xml:space="preserve">sends a V2P communication schedule configuration message to the involved VAE clients. This includes </w:t>
      </w:r>
      <w:r>
        <w:t>the generated UE level transmission schedules and may also include the DRX cycle configuration for PC5 communication in out of coverage and groupcast/broadcast modes.</w:t>
      </w:r>
    </w:p>
    <w:p w:rsidR="00603EE1" w:rsidRDefault="00603EE1" w:rsidP="00603EE1">
      <w:pPr>
        <w:pStyle w:val="B1"/>
        <w:rPr>
          <w:lang w:eastAsia="ko-KR"/>
        </w:rPr>
      </w:pPr>
      <w:r>
        <w:rPr>
          <w:rFonts w:eastAsia="Malgun Gothic"/>
          <w:lang w:eastAsia="ja-JP"/>
        </w:rPr>
        <w:t>4.</w:t>
      </w:r>
      <w:r>
        <w:rPr>
          <w:rFonts w:eastAsia="Malgun Gothic"/>
          <w:lang w:eastAsia="ja-JP"/>
        </w:rPr>
        <w:tab/>
        <w:t xml:space="preserve">V2X </w:t>
      </w:r>
      <w:r>
        <w:t>UE</w:t>
      </w:r>
      <w:r w:rsidR="006B7F2F">
        <w:t xml:space="preserve"> #</w:t>
      </w:r>
      <w:r>
        <w:t>1</w:t>
      </w:r>
      <w:r w:rsidR="006B7F2F">
        <w:t>'</w:t>
      </w:r>
      <w:r>
        <w:t>s and V2X UE</w:t>
      </w:r>
      <w:r w:rsidR="006B7F2F">
        <w:t xml:space="preserve"> #</w:t>
      </w:r>
      <w:r>
        <w:t>2</w:t>
      </w:r>
      <w:r w:rsidR="006B7F2F">
        <w:t>'</w:t>
      </w:r>
      <w:r>
        <w:t xml:space="preserve">s VAE clients provide the updated traffic pattern as V2X Application Requirements to V2X layer, also including QoS requirements such as delay requirements, priority, etc., for the PC5 communication for both applications, as specified in </w:t>
      </w:r>
      <w:r w:rsidR="006B7F2F">
        <w:t>3GPP </w:t>
      </w:r>
      <w:r>
        <w:t>TS 23.287</w:t>
      </w:r>
      <w:r w:rsidR="006B7F2F">
        <w:t> </w:t>
      </w:r>
      <w:r w:rsidR="005C4F6D">
        <w:t>[7]</w:t>
      </w:r>
      <w:r>
        <w:t xml:space="preserve"> clause 5.4.1.1</w:t>
      </w:r>
      <w:r>
        <w:rPr>
          <w:lang w:eastAsia="ko-KR"/>
        </w:rPr>
        <w:t xml:space="preserve">. VAE client may also indicate the transmission mode (unicast, groupcast) per application. </w:t>
      </w:r>
      <w:r>
        <w:rPr>
          <w:rFonts w:eastAsia="Malgun Gothic"/>
          <w:lang w:eastAsia="ja-JP"/>
        </w:rPr>
        <w:t xml:space="preserve">The </w:t>
      </w:r>
      <w:r>
        <w:t xml:space="preserve">V2X layer of UEs </w:t>
      </w:r>
      <w:r w:rsidR="006B7F2F">
        <w:t>#</w:t>
      </w:r>
      <w:r>
        <w:t xml:space="preserve">1 and </w:t>
      </w:r>
      <w:r w:rsidR="006B7F2F">
        <w:t>#</w:t>
      </w:r>
      <w:r>
        <w:t xml:space="preserve">2 process the requirements from VAE client and generates a UE level DRX schedule. The AS layer of UE </w:t>
      </w:r>
      <w:r w:rsidR="006B7F2F">
        <w:t>#</w:t>
      </w:r>
      <w:r>
        <w:t xml:space="preserve">1 and </w:t>
      </w:r>
      <w:r w:rsidR="006B7F2F">
        <w:t>#</w:t>
      </w:r>
      <w:r>
        <w:t>2 applies/configures the DRX schedule for the corresponding V2X communication.</w:t>
      </w:r>
    </w:p>
    <w:p w:rsidR="00603EE1" w:rsidRDefault="00603EE1" w:rsidP="00603EE1">
      <w:pPr>
        <w:pStyle w:val="B1"/>
        <w:rPr>
          <w:rFonts w:eastAsia="Malgun Gothic"/>
          <w:lang w:eastAsia="ja-JP"/>
        </w:rPr>
      </w:pPr>
      <w:r>
        <w:rPr>
          <w:rFonts w:eastAsia="Malgun Gothic"/>
          <w:lang w:eastAsia="ja-JP"/>
        </w:rPr>
        <w:t>5.</w:t>
      </w:r>
      <w:r>
        <w:rPr>
          <w:rFonts w:eastAsia="Malgun Gothic"/>
          <w:lang w:eastAsia="ja-JP"/>
        </w:rPr>
        <w:tab/>
        <w:t xml:space="preserve">VAE clients of V2X UEs </w:t>
      </w:r>
      <w:r w:rsidR="006B7F2F">
        <w:rPr>
          <w:rFonts w:eastAsia="Malgun Gothic"/>
          <w:lang w:eastAsia="ja-JP"/>
        </w:rPr>
        <w:t>#</w:t>
      </w:r>
      <w:r>
        <w:rPr>
          <w:rFonts w:eastAsia="Malgun Gothic"/>
          <w:lang w:eastAsia="ja-JP"/>
        </w:rPr>
        <w:t xml:space="preserve">1 and </w:t>
      </w:r>
      <w:r w:rsidR="006B7F2F">
        <w:rPr>
          <w:rFonts w:eastAsia="Malgun Gothic"/>
          <w:lang w:eastAsia="ja-JP"/>
        </w:rPr>
        <w:t>#</w:t>
      </w:r>
      <w:r>
        <w:rPr>
          <w:rFonts w:eastAsia="Malgun Gothic"/>
          <w:lang w:eastAsia="ja-JP"/>
        </w:rPr>
        <w:t>2 may send an acknowledgement to the VAE server.</w:t>
      </w:r>
    </w:p>
    <w:p w:rsidR="00603EE1" w:rsidRDefault="00603EE1" w:rsidP="00603EE1">
      <w:pPr>
        <w:pStyle w:val="B1"/>
        <w:rPr>
          <w:rFonts w:eastAsia="Malgun Gothic"/>
          <w:lang w:eastAsia="ja-JP"/>
        </w:rPr>
      </w:pPr>
      <w:r>
        <w:rPr>
          <w:rFonts w:eastAsia="Malgun Gothic"/>
          <w:lang w:eastAsia="ja-JP"/>
        </w:rPr>
        <w:t>6.</w:t>
      </w:r>
      <w:r>
        <w:rPr>
          <w:rFonts w:eastAsia="Malgun Gothic"/>
          <w:lang w:eastAsia="ja-JP"/>
        </w:rPr>
        <w:tab/>
        <w:t xml:space="preserve">VAE clients of V2X UEs </w:t>
      </w:r>
      <w:r w:rsidR="006B7F2F">
        <w:rPr>
          <w:rFonts w:eastAsia="Malgun Gothic"/>
          <w:lang w:eastAsia="ja-JP"/>
        </w:rPr>
        <w:t>#</w:t>
      </w:r>
      <w:r>
        <w:rPr>
          <w:rFonts w:eastAsia="Malgun Gothic"/>
          <w:lang w:eastAsia="ja-JP"/>
        </w:rPr>
        <w:t xml:space="preserve">1 and </w:t>
      </w:r>
      <w:r w:rsidR="006B7F2F">
        <w:rPr>
          <w:rFonts w:eastAsia="Malgun Gothic"/>
          <w:lang w:eastAsia="ja-JP"/>
        </w:rPr>
        <w:t>#</w:t>
      </w:r>
      <w:r>
        <w:rPr>
          <w:rFonts w:eastAsia="Malgun Gothic"/>
          <w:lang w:eastAsia="ja-JP"/>
        </w:rPr>
        <w:t>2 may send a notification to the V2</w:t>
      </w:r>
      <w:r w:rsidR="006B7F2F">
        <w:rPr>
          <w:rFonts w:eastAsia="Malgun Gothic"/>
          <w:lang w:eastAsia="ja-JP"/>
        </w:rPr>
        <w:t>X</w:t>
      </w:r>
      <w:r>
        <w:rPr>
          <w:rFonts w:eastAsia="Malgun Gothic"/>
          <w:lang w:eastAsia="ja-JP"/>
        </w:rPr>
        <w:t xml:space="preserve"> application specific client(s) to inform on the communication traffic pattern.</w:t>
      </w:r>
    </w:p>
    <w:p w:rsidR="00603EE1" w:rsidRDefault="00603EE1" w:rsidP="00603EE1">
      <w:pPr>
        <w:pStyle w:val="Heading3"/>
      </w:pPr>
      <w:bookmarkStart w:id="101" w:name="_Toc90491007"/>
      <w:bookmarkStart w:id="102" w:name="_Toc107783911"/>
      <w:bookmarkStart w:id="103" w:name="_Toc131177478"/>
      <w:r>
        <w:t>6.</w:t>
      </w:r>
      <w:r w:rsidR="00E85AED">
        <w:t>1</w:t>
      </w:r>
      <w:r>
        <w:t>.2</w:t>
      </w:r>
      <w:r>
        <w:tab/>
        <w:t>Solution evaluation</w:t>
      </w:r>
      <w:bookmarkEnd w:id="101"/>
      <w:bookmarkEnd w:id="102"/>
      <w:bookmarkEnd w:id="103"/>
    </w:p>
    <w:p w:rsidR="00C75CEA" w:rsidRDefault="00C75CEA" w:rsidP="00C75CEA">
      <w:bookmarkStart w:id="104" w:name="_Toc90491008"/>
      <w:bookmarkStart w:id="105" w:name="_Toc107783912"/>
      <w:r>
        <w:t>In this solution, the VAE layer provides a support functionality for enabling V2P applications, by consolidating the V2P application requirements and aligning the communication traffic pattern with the PC5 QoS setting and the AS layer configurations (e.g. DRX cycles). Such alignment may be in the form of triggering the update of QoS/AS layer configuration based on application requirement.</w:t>
      </w:r>
    </w:p>
    <w:p w:rsidR="00C75CEA" w:rsidRDefault="00C75CEA" w:rsidP="00C75CEA">
      <w:pPr>
        <w:rPr>
          <w:lang w:val="en-US"/>
        </w:rPr>
      </w:pPr>
      <w:r>
        <w:t>There are two solution variants captured in this solution</w:t>
      </w:r>
      <w:r>
        <w:rPr>
          <w:lang w:val="en-US"/>
        </w:rPr>
        <w:t>:</w:t>
      </w:r>
    </w:p>
    <w:p w:rsidR="00C75CEA" w:rsidRDefault="00C75CEA" w:rsidP="001F390D">
      <w:pPr>
        <w:pStyle w:val="B1"/>
        <w:rPr>
          <w:lang w:val="en-US"/>
        </w:rPr>
      </w:pPr>
      <w:r>
        <w:rPr>
          <w:lang w:val="en-US"/>
        </w:rPr>
        <w:t>-</w:t>
      </w:r>
      <w:r>
        <w:rPr>
          <w:lang w:val="en-US"/>
        </w:rPr>
        <w:tab/>
      </w:r>
      <w:r>
        <w:t>Client-triggered alignment in clause 6.1.1.2.1, has possible dependency on the SA2 work (</w:t>
      </w:r>
      <w:r>
        <w:rPr>
          <w:lang w:val="en-US"/>
        </w:rPr>
        <w:t>for the consideration of the Tx Profile which may impact the details of step 6). Also, for this variant the relationship of service KPIs and energy efficiency target (as discussed in step 2) requires further consideration during the normative phase.</w:t>
      </w:r>
    </w:p>
    <w:p w:rsidR="00C75CEA" w:rsidRDefault="00C75CEA" w:rsidP="001F390D">
      <w:pPr>
        <w:pStyle w:val="B1"/>
      </w:pPr>
      <w:r>
        <w:rPr>
          <w:lang w:val="en-US"/>
        </w:rPr>
        <w:t>-</w:t>
      </w:r>
      <w:r>
        <w:rPr>
          <w:lang w:val="en-US"/>
        </w:rPr>
        <w:tab/>
      </w:r>
      <w:r>
        <w:t>VAE-server triggered alignment in clause 6.1.1.2.2) has no dependencies to SA2 and is a viable technical solution to address key issue#</w:t>
      </w:r>
      <w:r w:rsidR="006F59B1">
        <w:t>2</w:t>
      </w:r>
      <w:r>
        <w:t>.</w:t>
      </w:r>
    </w:p>
    <w:p w:rsidR="003E0ED5" w:rsidRDefault="003E0ED5" w:rsidP="003E0ED5">
      <w:pPr>
        <w:pStyle w:val="Heading2"/>
        <w:rPr>
          <w:lang w:val="en-US"/>
        </w:rPr>
      </w:pPr>
      <w:bookmarkStart w:id="106" w:name="_Toc131177479"/>
      <w:r>
        <w:rPr>
          <w:lang w:val="en-US"/>
        </w:rPr>
        <w:t>6.2</w:t>
      </w:r>
      <w:r>
        <w:rPr>
          <w:lang w:val="en-US"/>
        </w:rPr>
        <w:tab/>
        <w:t>Solution #2 - Support for VRU zone configuration and operation</w:t>
      </w:r>
      <w:bookmarkEnd w:id="105"/>
      <w:bookmarkEnd w:id="106"/>
    </w:p>
    <w:p w:rsidR="003E0ED5" w:rsidRDefault="003E0ED5" w:rsidP="003E0ED5">
      <w:pPr>
        <w:pStyle w:val="Heading3"/>
      </w:pPr>
      <w:bookmarkStart w:id="107" w:name="_Toc107783913"/>
      <w:bookmarkStart w:id="108" w:name="_Toc131177480"/>
      <w:r>
        <w:t>6.2.1</w:t>
      </w:r>
      <w:r>
        <w:tab/>
        <w:t>Solution description</w:t>
      </w:r>
      <w:bookmarkEnd w:id="107"/>
      <w:bookmarkEnd w:id="108"/>
    </w:p>
    <w:p w:rsidR="003E0ED5" w:rsidRDefault="003E0ED5" w:rsidP="003E0ED5">
      <w:pPr>
        <w:pStyle w:val="Heading4"/>
      </w:pPr>
      <w:bookmarkStart w:id="109" w:name="_Toc107783914"/>
      <w:bookmarkStart w:id="110" w:name="_Toc131177481"/>
      <w:r>
        <w:t>6.2.1.1</w:t>
      </w:r>
      <w:r>
        <w:tab/>
        <w:t>Procedure on VAL server - triggered VRU zone creation</w:t>
      </w:r>
      <w:bookmarkEnd w:id="109"/>
      <w:bookmarkEnd w:id="110"/>
      <w:r>
        <w:t xml:space="preserve"> </w:t>
      </w:r>
    </w:p>
    <w:p w:rsidR="003E0ED5" w:rsidRDefault="003E0ED5" w:rsidP="003E0ED5">
      <w:pPr>
        <w:rPr>
          <w:lang w:val="en-US"/>
        </w:rPr>
      </w:pPr>
      <w:r>
        <w:rPr>
          <w:lang w:val="en-US"/>
        </w:rPr>
        <w:t xml:space="preserve">This procedure supports the configuration and provisioning of the VRU high risk zone at the VAE layer based on a request from the VASS / VAL server. </w:t>
      </w:r>
    </w:p>
    <w:p w:rsidR="003E0ED5" w:rsidRDefault="003E0ED5" w:rsidP="003E0ED5">
      <w:r>
        <w:t xml:space="preserve">Figure 6.2.1.1-1 illustrates the procedure where the VAE client configures the VRU zone based on application requirement; and supports the run-time operation based on an expected UE entrance to the zone. </w:t>
      </w:r>
    </w:p>
    <w:p w:rsidR="003E0ED5" w:rsidRDefault="003E0ED5" w:rsidP="003E0ED5">
      <w:pPr>
        <w:rPr>
          <w:noProof/>
          <w:lang w:val="en-US"/>
        </w:rPr>
      </w:pPr>
      <w:r>
        <w:rPr>
          <w:noProof/>
          <w:lang w:val="en-US"/>
        </w:rPr>
        <w:t>Pre-conditions:</w:t>
      </w:r>
    </w:p>
    <w:p w:rsidR="003E0ED5" w:rsidRDefault="003E0ED5" w:rsidP="003E0ED5">
      <w:pPr>
        <w:pStyle w:val="B1"/>
      </w:pPr>
      <w:r>
        <w:rPr>
          <w:noProof/>
          <w:lang w:val="en-US"/>
        </w:rPr>
        <w:t>1.</w:t>
      </w:r>
      <w:r>
        <w:rPr>
          <w:noProof/>
          <w:lang w:val="en-US"/>
        </w:rPr>
        <w:tab/>
      </w:r>
      <w:r>
        <w:t>VASS or VASC has subscribed to VAE layer to provide support for V2P communication.</w:t>
      </w:r>
    </w:p>
    <w:p w:rsidR="003E0ED5" w:rsidRDefault="00B47983" w:rsidP="004211F7">
      <w:pPr>
        <w:pStyle w:val="TH"/>
      </w:pPr>
      <w:r>
        <w:rPr>
          <w:rFonts w:ascii="Times New Roman" w:hAnsi="Times New Roman"/>
          <w:lang w:eastAsia="en-US"/>
        </w:rPr>
        <w:object w:dxaOrig="9636" w:dyaOrig="5028">
          <v:shape id="_x0000_i1029" type="#_x0000_t75" style="width:482.1pt;height:251.7pt" o:ole="">
            <v:imagedata r:id="rId14" o:title=""/>
          </v:shape>
          <o:OLEObject Type="Embed" ProgID="Visio.Drawing.15" ShapeID="_x0000_i1029" DrawAspect="Content" ObjectID="_1771860999" r:id="rId15"/>
        </w:object>
      </w:r>
    </w:p>
    <w:p w:rsidR="003E0ED5" w:rsidRDefault="003E0ED5" w:rsidP="005C4F6D">
      <w:pPr>
        <w:pStyle w:val="TF"/>
        <w:rPr>
          <w:noProof/>
          <w:lang w:val="en-US"/>
        </w:rPr>
      </w:pPr>
      <w:r>
        <w:rPr>
          <w:noProof/>
          <w:lang w:val="en-US"/>
        </w:rPr>
        <w:t>Figure </w:t>
      </w:r>
      <w:r>
        <w:t>6.2.1.1</w:t>
      </w:r>
      <w:r>
        <w:rPr>
          <w:noProof/>
          <w:lang w:val="en-US"/>
        </w:rPr>
        <w:t xml:space="preserve">-1: </w:t>
      </w:r>
      <w:r>
        <w:t>VAL server - triggered VRU zone creation</w:t>
      </w:r>
    </w:p>
    <w:p w:rsidR="003E0ED5" w:rsidRDefault="003E0ED5" w:rsidP="004211F7">
      <w:pPr>
        <w:pStyle w:val="B1"/>
        <w:rPr>
          <w:lang w:val="en-US"/>
        </w:rPr>
      </w:pPr>
      <w:r>
        <w:rPr>
          <w:lang w:val="en-US"/>
        </w:rPr>
        <w:t>1.</w:t>
      </w:r>
      <w:r>
        <w:rPr>
          <w:lang w:val="en-US"/>
        </w:rPr>
        <w:tab/>
        <w:t>The V2X application specific server sends a subscription request to manage the creation and configuration of a new high-risk area zone, and requires the VAE server support to translate it to a network-related zone configuration and provisioning to the UEs within the requested area. The subscription request consists of the Requestor ID (VASS ID or App ID), the VRU zone type (based on the scenario, which type of UEs are to be considered), geographical area, time validity and initiation trigger, types of supported messages and requirements (e.g. requirements for VAM messages), application QoS requirement dedicated for the VRU zone (e.g. URLLC like), whether it is a dynamic or static zone, etc.</w:t>
      </w:r>
    </w:p>
    <w:p w:rsidR="003E0ED5" w:rsidRDefault="003E0ED5" w:rsidP="004211F7">
      <w:pPr>
        <w:pStyle w:val="NO"/>
        <w:rPr>
          <w:lang w:val="en-US"/>
        </w:rPr>
      </w:pPr>
      <w:r>
        <w:rPr>
          <w:lang w:val="en-US"/>
        </w:rPr>
        <w:t>NOTE:</w:t>
      </w:r>
      <w:r>
        <w:rPr>
          <w:lang w:val="en-US"/>
        </w:rPr>
        <w:tab/>
        <w:t>If the zone is dynamically changing based on an event (e.g. school bus mobility / route), such mobility/route information will be provided to the VAE server, or the VASS needs to provide new configuration every time the configuration changes.</w:t>
      </w:r>
    </w:p>
    <w:p w:rsidR="003E0ED5" w:rsidRDefault="003E0ED5" w:rsidP="004211F7">
      <w:pPr>
        <w:pStyle w:val="B1"/>
        <w:rPr>
          <w:lang w:val="en-US"/>
        </w:rPr>
      </w:pPr>
      <w:r>
        <w:rPr>
          <w:lang w:val="en-US"/>
        </w:rPr>
        <w:t>2.</w:t>
      </w:r>
      <w:r>
        <w:rPr>
          <w:lang w:val="en-US"/>
        </w:rPr>
        <w:tab/>
        <w:t xml:space="preserve">The VAE server processes the request and stores the subscription. The processing includes the translation of the zone requirement of step 1 and determines a set of network-related zone parameters which indicates the configuration parameters for example: the topological area for the zone (cell IDs, TAs), the QoS requirements within the zone, the exposure requirements within the zone, the value added services required within the zone (e.g. location tracking, V2X message bundling), the transmission modes (unicast, groupcast, broadcast) within the applications within the zone, the interface selection within the zone (Uu, PC5), the use of application relaying or not, whether the zone is dynamic or not, and if it is dynamic to take into account the configuration adaptation every time the configuration changes or to provide the planning (e.g. based on a school bus route) to allow the network to adapt the configuration. </w:t>
      </w:r>
    </w:p>
    <w:p w:rsidR="003E0ED5" w:rsidRDefault="003E0ED5" w:rsidP="004211F7">
      <w:pPr>
        <w:pStyle w:val="B1"/>
        <w:rPr>
          <w:lang w:val="en-US"/>
        </w:rPr>
      </w:pPr>
      <w:r>
        <w:rPr>
          <w:lang w:val="en-US"/>
        </w:rPr>
        <w:t>3.</w:t>
      </w:r>
      <w:r>
        <w:rPr>
          <w:lang w:val="en-US"/>
        </w:rPr>
        <w:tab/>
        <w:t>The VAE sever sends a VRU zone creation subscription response to VASS.</w:t>
      </w:r>
    </w:p>
    <w:p w:rsidR="003E0ED5" w:rsidRDefault="003E0ED5" w:rsidP="004211F7">
      <w:pPr>
        <w:pStyle w:val="B1"/>
        <w:rPr>
          <w:lang w:val="en-US"/>
        </w:rPr>
      </w:pPr>
      <w:r>
        <w:rPr>
          <w:lang w:val="en-US"/>
        </w:rPr>
        <w:t>4.</w:t>
      </w:r>
      <w:r>
        <w:rPr>
          <w:lang w:val="en-US"/>
        </w:rPr>
        <w:tab/>
        <w:t xml:space="preserve">The VAE server initiates the SEAL LMS service for location tracking both for static location and dynamically changing location for all UEs within the VRU zone area. VAE server </w:t>
      </w:r>
      <w:r>
        <w:t>obtains and initiates tracking the V2X UEs location from the location management server 1 as specified in 3GPP TS 23.434 (clause 9.3.12)</w:t>
      </w:r>
      <w:r>
        <w:rPr>
          <w:lang w:val="en-US"/>
        </w:rPr>
        <w:t xml:space="preserve">. </w:t>
      </w:r>
    </w:p>
    <w:p w:rsidR="003E0ED5" w:rsidRDefault="003E0ED5" w:rsidP="004211F7">
      <w:pPr>
        <w:pStyle w:val="B1"/>
        <w:rPr>
          <w:lang w:val="en-US"/>
        </w:rPr>
      </w:pPr>
      <w:r>
        <w:rPr>
          <w:lang w:val="en-US"/>
        </w:rPr>
        <w:t>5.</w:t>
      </w:r>
      <w:r>
        <w:rPr>
          <w:lang w:val="en-US"/>
        </w:rPr>
        <w:tab/>
        <w:t>The VAE server sends a notification message including the VRU zone configuration parameters. Parameters can be based on the parameters provided in step 2. This configuration will be provided to the V2X-UEs (and pedestrians) within the area that will be covered by the VRU zone, and will also indication when the zone will be activated, for how much time and if the zone configuration will be dynamically changing (e.g. where a school bus moves) and parameters related to the dynamicity (as discussed in steps 1, 2).</w:t>
      </w:r>
    </w:p>
    <w:p w:rsidR="003E0ED5" w:rsidRDefault="003E0ED5" w:rsidP="004211F7">
      <w:pPr>
        <w:pStyle w:val="B1"/>
        <w:rPr>
          <w:lang w:val="en-US"/>
        </w:rPr>
      </w:pPr>
      <w:r>
        <w:rPr>
          <w:lang w:val="en-US"/>
        </w:rPr>
        <w:t>6.</w:t>
      </w:r>
      <w:r>
        <w:rPr>
          <w:lang w:val="en-US"/>
        </w:rPr>
        <w:tab/>
        <w:t>The VAE server keeps monitoring the VRU zone area based on monitoring SEAL LMS events. This includes events on whether a UE (e.g. UE1) is moving in or out a target area of interest.</w:t>
      </w:r>
    </w:p>
    <w:p w:rsidR="003E0ED5" w:rsidRDefault="003E0ED5" w:rsidP="004211F7">
      <w:pPr>
        <w:pStyle w:val="B1"/>
        <w:rPr>
          <w:lang w:val="en-US"/>
        </w:rPr>
      </w:pPr>
      <w:r>
        <w:rPr>
          <w:lang w:val="en-US"/>
        </w:rPr>
        <w:tab/>
        <w:t xml:space="preserve">The VAE server translates the UE1 mobility event to an expected entrance to a VRU high risk zone, and based on the configuration of the zone, it identifies when an action needs to be taken and when to communicate this with the involved application entities. </w:t>
      </w:r>
    </w:p>
    <w:p w:rsidR="003E0ED5" w:rsidRDefault="003E0ED5" w:rsidP="004211F7">
      <w:pPr>
        <w:pStyle w:val="B1"/>
        <w:rPr>
          <w:lang w:val="en-US"/>
        </w:rPr>
      </w:pPr>
      <w:r>
        <w:rPr>
          <w:lang w:val="en-US"/>
        </w:rPr>
        <w:t>7.</w:t>
      </w:r>
      <w:r>
        <w:rPr>
          <w:lang w:val="en-US"/>
        </w:rPr>
        <w:tab/>
        <w:t>The VAE server alerts the VASS that the UE1 is expected to move to the VRU zone area in X time and provides also information on its mobility as well as the UE1 capabilities (e.g. VRU capable). The notification / alert message may include the UE ID (GPSI, or external ID), the group ID (if it is a group of UEs), an expected start time of VRUP, an expected duration, expected mobility/speed/direction, etc. Alternatively, when UE is leaving the zone, a message can be sent to VASS to notify that the UE1 is expected to leave this area and the VRUP is no longer needed.</w:t>
      </w:r>
    </w:p>
    <w:p w:rsidR="003E0ED5" w:rsidRDefault="003E0ED5" w:rsidP="004211F7">
      <w:pPr>
        <w:pStyle w:val="B1"/>
        <w:rPr>
          <w:lang w:val="en-US"/>
        </w:rPr>
      </w:pPr>
      <w:r>
        <w:rPr>
          <w:lang w:val="en-US"/>
        </w:rPr>
        <w:t>8.</w:t>
      </w:r>
      <w:r>
        <w:rPr>
          <w:lang w:val="en-US"/>
        </w:rPr>
        <w:tab/>
        <w:t>The VAE server may also alert the VAE client (if deployed at the UE1) that it is expected to enter the VRU zone and requests the confirmation for allowing the push of VRU messages within the zone. Such notification / request will include zone area information and configuration parameters. Alternatively, when UE is leaving the zone, a message can be sent to VAE client to notify that the UE1 is expected to leave this area and the VRUP is no longer needed.</w:t>
      </w:r>
    </w:p>
    <w:p w:rsidR="003E0ED5" w:rsidRDefault="003E0ED5" w:rsidP="003E0ED5">
      <w:pPr>
        <w:pStyle w:val="Heading3"/>
      </w:pPr>
      <w:bookmarkStart w:id="111" w:name="_Toc107783915"/>
      <w:bookmarkStart w:id="112" w:name="_Toc131177482"/>
      <w:r>
        <w:t>6.</w:t>
      </w:r>
      <w:r w:rsidR="00CD2094">
        <w:t>2</w:t>
      </w:r>
      <w:r>
        <w:t>.2</w:t>
      </w:r>
      <w:r>
        <w:tab/>
        <w:t>Solution evaluation</w:t>
      </w:r>
      <w:bookmarkEnd w:id="111"/>
      <w:bookmarkEnd w:id="112"/>
    </w:p>
    <w:p w:rsidR="00B107FD" w:rsidRDefault="00B107FD" w:rsidP="00B107FD">
      <w:bookmarkStart w:id="113" w:name="_Toc107783916"/>
      <w:r>
        <w:t xml:space="preserve">This solution addresses KI #1 on zone configuration and provisioning for VRUP applications. The solution supports the configuration and provisioning of the VRU high risk zone at the VAE layer based on a request from the VASS / VAL server. </w:t>
      </w:r>
      <w:r>
        <w:rPr>
          <w:lang w:val="en-US"/>
        </w:rPr>
        <w:t xml:space="preserve">This solution enables distribution of zones and notifications related to those zones, but any usage of this information is up to the application as this information is not directly used by the VAE layer. </w:t>
      </w:r>
      <w:r>
        <w:t>This solution is technically viable.</w:t>
      </w:r>
    </w:p>
    <w:p w:rsidR="004633DF" w:rsidRDefault="004633DF" w:rsidP="004633DF">
      <w:pPr>
        <w:pStyle w:val="Heading2"/>
        <w:rPr>
          <w:rFonts w:eastAsia="SimSun"/>
          <w:lang w:val="en-IN"/>
        </w:rPr>
      </w:pPr>
      <w:bookmarkStart w:id="114" w:name="_Toc131177483"/>
      <w:r>
        <w:rPr>
          <w:rFonts w:eastAsia="SimSun"/>
          <w:lang w:val="en-IN"/>
        </w:rPr>
        <w:t>6.3</w:t>
      </w:r>
      <w:r>
        <w:rPr>
          <w:rFonts w:eastAsia="SimSun"/>
          <w:lang w:val="en-IN"/>
        </w:rPr>
        <w:tab/>
        <w:t xml:space="preserve">Solution #3 - </w:t>
      </w:r>
      <w:r>
        <w:rPr>
          <w:rFonts w:eastAsia="SimSun"/>
          <w:lang w:eastAsia="zh-CN"/>
        </w:rPr>
        <w:t>Deployment of V2X application layer with Edge Enabler Layer</w:t>
      </w:r>
      <w:bookmarkEnd w:id="113"/>
      <w:bookmarkEnd w:id="114"/>
    </w:p>
    <w:p w:rsidR="004633DF" w:rsidRDefault="004633DF" w:rsidP="004633DF">
      <w:pPr>
        <w:pStyle w:val="Heading3"/>
      </w:pPr>
      <w:bookmarkStart w:id="115" w:name="_Toc107783917"/>
      <w:bookmarkStart w:id="116" w:name="_Toc131177484"/>
      <w:r>
        <w:t>6.3.1</w:t>
      </w:r>
      <w:r>
        <w:tab/>
        <w:t>Solution description</w:t>
      </w:r>
      <w:bookmarkEnd w:id="115"/>
      <w:bookmarkEnd w:id="116"/>
    </w:p>
    <w:p w:rsidR="004633DF" w:rsidRDefault="004633DF" w:rsidP="004211F7">
      <w:pPr>
        <w:rPr>
          <w:lang w:eastAsia="zh-CN"/>
        </w:rPr>
      </w:pPr>
      <w:r>
        <w:rPr>
          <w:lang w:eastAsia="zh-CN"/>
        </w:rPr>
        <w:t xml:space="preserve">This solution corresponds to key issue#3. The architecture for edge enabler layer is specified in </w:t>
      </w:r>
      <w:r>
        <w:t>3GPP </w:t>
      </w:r>
      <w:r>
        <w:rPr>
          <w:lang w:val="en-US" w:eastAsia="zh-CN"/>
        </w:rPr>
        <w:t>TS 23.558 </w:t>
      </w:r>
      <w:r w:rsidR="00474646">
        <w:t>[11]</w:t>
      </w:r>
      <w:r>
        <w:t>. This clause describes the deployment of V2X application layer services at Edge Data Network by utilizing the Edge Enabler Layer services.</w:t>
      </w:r>
    </w:p>
    <w:p w:rsidR="004633DF" w:rsidRDefault="004633DF" w:rsidP="004633DF">
      <w:r>
        <w:t xml:space="preserve">Figure 6.3.1-1 illustrates the edge deployment example for the V2X application layer. For simplicity, the reference points between enabler server and 5GS are omitted, and the reference points for inter-enabler server communication in the same enabler layer are also omitted. At UE side, V2X Application Specific client(s) and VAE client interact with the Edge Enabler Client (EEC) via </w:t>
      </w:r>
      <w:r>
        <w:rPr>
          <w:lang w:val="en-US" w:eastAsia="zh-CN"/>
        </w:rPr>
        <w:t xml:space="preserve">EDGE-5 </w:t>
      </w:r>
      <w:r>
        <w:t>reference point. In an Edge Data Network (EDN), V2X Application Specific Server and VAE server assume the role of EAS (Edge Application Server) and interacts with the Edge Enabler Server (EES) via EDGE-3 reference point, for instance, to register its profile into the EES. Upon service provisioning, the EEC interacts with the EES via EDGE-1 reference point, for instance, to discover V2X Application Specific Server(s) and VAE Server and further the EEC provides the discovered V2X Application Specific Server(s) and VAE server to the V2X Application Specific client and VAE client respectively.</w:t>
      </w:r>
    </w:p>
    <w:p w:rsidR="004633DF" w:rsidRDefault="004633DF" w:rsidP="004633DF">
      <w:pPr>
        <w:pStyle w:val="TH"/>
      </w:pPr>
      <w:r>
        <w:rPr>
          <w:rFonts w:eastAsia="SimSun"/>
        </w:rPr>
        <w:object w:dxaOrig="9624" w:dyaOrig="6264">
          <v:shape id="_x0000_i1030" type="#_x0000_t75" style="width:481.45pt;height:313.05pt" o:ole="">
            <v:imagedata r:id="rId16" o:title=""/>
          </v:shape>
          <o:OLEObject Type="Embed" ProgID="Visio.Drawing.15" ShapeID="_x0000_i1030" DrawAspect="Content" ObjectID="_1771861000" r:id="rId17"/>
        </w:object>
      </w:r>
    </w:p>
    <w:p w:rsidR="004633DF" w:rsidRDefault="004633DF" w:rsidP="004633DF">
      <w:pPr>
        <w:pStyle w:val="TF"/>
      </w:pPr>
      <w:r>
        <w:t>Figure 6.3.1-</w:t>
      </w:r>
      <w:r>
        <w:rPr>
          <w:lang w:eastAsia="zh-CN"/>
        </w:rPr>
        <w:t>1</w:t>
      </w:r>
      <w:r>
        <w:t>: Deployment of V2X application layer with Edge Enabler Layer</w:t>
      </w:r>
    </w:p>
    <w:p w:rsidR="004633DF" w:rsidRDefault="004633DF" w:rsidP="004633DF">
      <w:r>
        <w:t>In an EDN, there could be several EES(s) provided by the same or different ECSP. The V2X application specific server(s) and VAE server shall be able to discover and register into an appropriate EES. If CAPIF is used, this can be done by utilizing the AEF serving area and/or the AEF location as described in 3GPP TS 23.222 </w:t>
      </w:r>
      <w:r w:rsidR="005C4F6D">
        <w:t>[4]</w:t>
      </w:r>
      <w:r>
        <w:t xml:space="preserve">; otherwise, local configuration of the EES endpoint may be used. </w:t>
      </w:r>
    </w:p>
    <w:p w:rsidR="004633DF" w:rsidRDefault="004633DF" w:rsidP="004633DF">
      <w:r>
        <w:t>Note that the services provided by EES over EDGE-3 are not re-exposed by the VAE server or SEAL servers to the V2X application specific server but are directly consumed by the SEAL servers, VAE server and V2X application specific server(s).</w:t>
      </w:r>
    </w:p>
    <w:p w:rsidR="004633DF" w:rsidRDefault="004633DF" w:rsidP="004633DF">
      <w:pPr>
        <w:pStyle w:val="Heading3"/>
      </w:pPr>
      <w:bookmarkStart w:id="117" w:name="_Toc107783918"/>
      <w:bookmarkStart w:id="118" w:name="_Toc131177485"/>
      <w:r>
        <w:t>6.</w:t>
      </w:r>
      <w:r w:rsidR="00CD2094">
        <w:t>3</w:t>
      </w:r>
      <w:r>
        <w:t>.2</w:t>
      </w:r>
      <w:r>
        <w:tab/>
        <w:t>Solution evaluation</w:t>
      </w:r>
      <w:bookmarkEnd w:id="117"/>
      <w:bookmarkEnd w:id="118"/>
    </w:p>
    <w:p w:rsidR="004633DF" w:rsidRDefault="004633DF" w:rsidP="004633DF">
      <w:r>
        <w:t>This solution addresses key issue#3 for "</w:t>
      </w:r>
      <w:r>
        <w:rPr>
          <w:noProof/>
          <w:lang w:val="en-US"/>
        </w:rPr>
        <w:t>Whether and how V2X application architecture supports the edge enabler architecture specified in 3GPP TS 23.558 </w:t>
      </w:r>
      <w:r w:rsidR="00474646">
        <w:rPr>
          <w:noProof/>
          <w:lang w:val="en-US"/>
        </w:rPr>
        <w:t>[11]</w:t>
      </w:r>
      <w:r>
        <w:t>" and provides a solution for the deployment of V2X application layer with Edge Enabler Layer.</w:t>
      </w:r>
    </w:p>
    <w:p w:rsidR="000359E8" w:rsidRDefault="000359E8" w:rsidP="000359E8">
      <w:pPr>
        <w:pStyle w:val="Heading2"/>
        <w:rPr>
          <w:lang w:val="en-US"/>
        </w:rPr>
      </w:pPr>
      <w:bookmarkStart w:id="119" w:name="_Toc96537619"/>
      <w:bookmarkStart w:id="120" w:name="_Toc107783919"/>
      <w:bookmarkStart w:id="121" w:name="_Toc131177486"/>
      <w:r>
        <w:rPr>
          <w:lang w:val="en-US"/>
        </w:rPr>
        <w:t>6.4</w:t>
      </w:r>
      <w:r>
        <w:rPr>
          <w:lang w:val="en-US"/>
        </w:rPr>
        <w:tab/>
        <w:t xml:space="preserve">Solution #4 - </w:t>
      </w:r>
      <w:bookmarkEnd w:id="119"/>
      <w:r>
        <w:rPr>
          <w:lang w:val="en-US"/>
        </w:rPr>
        <w:t>UE initiated request for VRU zones</w:t>
      </w:r>
      <w:bookmarkEnd w:id="120"/>
      <w:bookmarkEnd w:id="121"/>
    </w:p>
    <w:p w:rsidR="000359E8" w:rsidRDefault="000359E8" w:rsidP="000359E8">
      <w:pPr>
        <w:pStyle w:val="Heading3"/>
        <w:rPr>
          <w:rFonts w:eastAsia="SimSun"/>
          <w:lang w:val="en-US"/>
        </w:rPr>
      </w:pPr>
      <w:bookmarkStart w:id="122" w:name="_Toc96537621"/>
      <w:bookmarkStart w:id="123" w:name="_Toc107783920"/>
      <w:bookmarkStart w:id="124" w:name="_Toc131177487"/>
      <w:r>
        <w:rPr>
          <w:lang w:val="en-US"/>
        </w:rPr>
        <w:t>6.4.1</w:t>
      </w:r>
      <w:r>
        <w:rPr>
          <w:lang w:val="en-US"/>
        </w:rPr>
        <w:tab/>
        <w:t>Solution description</w:t>
      </w:r>
      <w:bookmarkEnd w:id="122"/>
      <w:bookmarkEnd w:id="123"/>
      <w:bookmarkEnd w:id="124"/>
    </w:p>
    <w:p w:rsidR="000359E8" w:rsidRDefault="000359E8" w:rsidP="000359E8">
      <w:pPr>
        <w:pStyle w:val="Heading4"/>
        <w:rPr>
          <w:lang w:val="en-US"/>
        </w:rPr>
      </w:pPr>
      <w:bookmarkStart w:id="125" w:name="_Toc96537622"/>
      <w:bookmarkStart w:id="126" w:name="_Toc107783921"/>
      <w:bookmarkStart w:id="127" w:name="_Toc131177488"/>
      <w:r>
        <w:rPr>
          <w:lang w:val="en-US"/>
        </w:rPr>
        <w:t>6.4.1.1</w:t>
      </w:r>
      <w:r>
        <w:rPr>
          <w:lang w:val="en-US"/>
        </w:rPr>
        <w:tab/>
        <w:t>General</w:t>
      </w:r>
      <w:bookmarkEnd w:id="125"/>
      <w:bookmarkEnd w:id="126"/>
      <w:bookmarkEnd w:id="127"/>
    </w:p>
    <w:p w:rsidR="000359E8" w:rsidRDefault="000359E8" w:rsidP="000359E8">
      <w:pPr>
        <w:rPr>
          <w:rFonts w:eastAsia="Malgun Gothic"/>
          <w:lang w:val="en-US" w:eastAsia="ko-KR"/>
        </w:rPr>
      </w:pPr>
      <w:r>
        <w:rPr>
          <w:rFonts w:eastAsia="Malgun Gothic"/>
          <w:lang w:val="en-US" w:eastAsia="ko-KR"/>
        </w:rPr>
        <w:t>A cyclist training for long-distance competition</w:t>
      </w:r>
      <w:r w:rsidR="00E412B8">
        <w:rPr>
          <w:rFonts w:eastAsia="Malgun Gothic"/>
          <w:lang w:val="en-US" w:eastAsia="ko-KR"/>
        </w:rPr>
        <w:t>s</w:t>
      </w:r>
      <w:r>
        <w:rPr>
          <w:rFonts w:eastAsia="Malgun Gothic"/>
          <w:lang w:val="en-US" w:eastAsia="ko-KR"/>
        </w:rPr>
        <w:t xml:space="preserve"> is vulnerable to road collisions during the entire training route. The cyclist would like to create a</w:t>
      </w:r>
      <w:r w:rsidR="00E412B8">
        <w:rPr>
          <w:rFonts w:eastAsia="Malgun Gothic"/>
          <w:lang w:val="en-US" w:eastAsia="ko-KR"/>
        </w:rPr>
        <w:t xml:space="preserve"> </w:t>
      </w:r>
      <w:r w:rsidR="00E412B8" w:rsidRPr="00E412B8">
        <w:rPr>
          <w:rFonts w:eastAsia="Malgun Gothic"/>
          <w:lang w:val="en-US" w:eastAsia="ko-KR"/>
        </w:rPr>
        <w:t>protection</w:t>
      </w:r>
      <w:r>
        <w:rPr>
          <w:rFonts w:eastAsia="Malgun Gothic"/>
          <w:lang w:val="en-US" w:eastAsia="ko-KR"/>
        </w:rPr>
        <w:t xml:space="preserve"> zone that tracks the</w:t>
      </w:r>
      <w:r w:rsidR="00E412B8">
        <w:rPr>
          <w:rFonts w:eastAsia="Malgun Gothic"/>
          <w:lang w:val="en-US" w:eastAsia="ko-KR"/>
        </w:rPr>
        <w:t>ir</w:t>
      </w:r>
      <w:r>
        <w:rPr>
          <w:rFonts w:eastAsia="Malgun Gothic"/>
          <w:lang w:val="en-US" w:eastAsia="ko-KR"/>
        </w:rPr>
        <w:t xml:space="preserve"> route for use as part of</w:t>
      </w:r>
      <w:r w:rsidR="00E412B8">
        <w:rPr>
          <w:rFonts w:eastAsia="Malgun Gothic"/>
          <w:lang w:val="en-US" w:eastAsia="ko-KR"/>
        </w:rPr>
        <w:t xml:space="preserve"> </w:t>
      </w:r>
      <w:r w:rsidR="00E412B8" w:rsidRPr="00E412B8">
        <w:rPr>
          <w:rFonts w:eastAsia="Malgun Gothic"/>
          <w:lang w:val="en-US" w:eastAsia="ko-KR"/>
        </w:rPr>
        <w:t>the services</w:t>
      </w:r>
      <w:r>
        <w:rPr>
          <w:rFonts w:eastAsia="Malgun Gothic"/>
          <w:lang w:val="en-US" w:eastAsia="ko-KR"/>
        </w:rPr>
        <w:t xml:space="preserve"> provided by </w:t>
      </w:r>
      <w:r w:rsidR="00E412B8">
        <w:rPr>
          <w:rFonts w:eastAsia="Malgun Gothic"/>
          <w:lang w:val="en-US" w:eastAsia="ko-KR"/>
        </w:rPr>
        <w:t xml:space="preserve">the </w:t>
      </w:r>
      <w:r>
        <w:rPr>
          <w:rFonts w:eastAsia="Malgun Gothic"/>
          <w:lang w:val="en-US" w:eastAsia="ko-KR"/>
        </w:rPr>
        <w:t xml:space="preserve">V2X service provider. The V2X infrastructure, including edge enabler servers, receives a request to create a </w:t>
      </w:r>
      <w:r w:rsidR="00E412B8" w:rsidRPr="00E412B8">
        <w:rPr>
          <w:rFonts w:eastAsia="Malgun Gothic"/>
          <w:lang w:val="en-US" w:eastAsia="ko-KR"/>
        </w:rPr>
        <w:t>protection</w:t>
      </w:r>
      <w:r w:rsidR="00E412B8">
        <w:rPr>
          <w:rFonts w:eastAsia="Malgun Gothic"/>
          <w:lang w:val="en-US" w:eastAsia="ko-KR"/>
        </w:rPr>
        <w:t xml:space="preserve"> </w:t>
      </w:r>
      <w:r>
        <w:rPr>
          <w:rFonts w:eastAsia="Malgun Gothic"/>
          <w:lang w:val="en-US" w:eastAsia="ko-KR"/>
        </w:rPr>
        <w:t xml:space="preserve">zone and dynamically update the </w:t>
      </w:r>
      <w:r w:rsidR="00E412B8" w:rsidRPr="00E412B8">
        <w:rPr>
          <w:rFonts w:eastAsia="Malgun Gothic"/>
          <w:lang w:val="en-US" w:eastAsia="ko-KR"/>
        </w:rPr>
        <w:t>protection</w:t>
      </w:r>
      <w:r w:rsidR="00E412B8">
        <w:rPr>
          <w:rFonts w:eastAsia="Malgun Gothic"/>
          <w:lang w:val="en-US" w:eastAsia="ko-KR"/>
        </w:rPr>
        <w:t xml:space="preserve"> </w:t>
      </w:r>
      <w:r>
        <w:rPr>
          <w:rFonts w:eastAsia="Malgun Gothic"/>
          <w:lang w:val="en-US" w:eastAsia="ko-KR"/>
        </w:rPr>
        <w:t>zone to follow the route of the cyclist. When an incoming</w:t>
      </w:r>
      <w:r w:rsidR="00E412B8" w:rsidRPr="00E412B8">
        <w:t xml:space="preserve"> </w:t>
      </w:r>
      <w:r w:rsidR="00E412B8" w:rsidRPr="00E412B8">
        <w:rPr>
          <w:rFonts w:eastAsia="Malgun Gothic"/>
          <w:lang w:val="en-US" w:eastAsia="ko-KR"/>
        </w:rPr>
        <w:t>vehicle is detected,</w:t>
      </w:r>
      <w:r>
        <w:rPr>
          <w:rFonts w:eastAsia="Malgun Gothic"/>
          <w:lang w:val="en-US" w:eastAsia="ko-KR"/>
        </w:rPr>
        <w:t xml:space="preserve"> the</w:t>
      </w:r>
      <w:r w:rsidR="00DC3004">
        <w:rPr>
          <w:rFonts w:eastAsia="Malgun Gothic"/>
          <w:lang w:val="en-US" w:eastAsia="ko-KR"/>
        </w:rPr>
        <w:t xml:space="preserve"> </w:t>
      </w:r>
      <w:r w:rsidR="00DC3004" w:rsidRPr="00DC3004">
        <w:rPr>
          <w:rFonts w:eastAsia="Malgun Gothic"/>
          <w:lang w:val="en-US" w:eastAsia="ko-KR"/>
        </w:rPr>
        <w:t>infrastructure</w:t>
      </w:r>
      <w:r>
        <w:rPr>
          <w:rFonts w:eastAsia="Malgun Gothic"/>
          <w:lang w:val="en-US" w:eastAsia="ko-KR"/>
        </w:rPr>
        <w:t xml:space="preserve"> can alert the vehicle and provision V2P communication configurations to enable the vehicle to communicate with the cyclist.</w:t>
      </w:r>
    </w:p>
    <w:p w:rsidR="000359E8" w:rsidRDefault="000359E8" w:rsidP="000359E8">
      <w:pPr>
        <w:rPr>
          <w:rFonts w:eastAsia="Malgun Gothic"/>
          <w:lang w:val="en-US" w:eastAsia="ko-KR"/>
        </w:rPr>
      </w:pPr>
      <w:r>
        <w:rPr>
          <w:rFonts w:eastAsia="Malgun Gothic"/>
          <w:lang w:val="en-US" w:eastAsia="ko-KR"/>
        </w:rPr>
        <w:t>The following solution is provided for key issues #1 and 2 and complements solution #1. This solution also enhances solution #2 by providing an option to employ the VAE layer to receive</w:t>
      </w:r>
      <w:r w:rsidR="00DC3004">
        <w:rPr>
          <w:rFonts w:eastAsia="Malgun Gothic"/>
          <w:lang w:val="en-US" w:eastAsia="ko-KR"/>
        </w:rPr>
        <w:t xml:space="preserve"> </w:t>
      </w:r>
      <w:r w:rsidR="00DC3004" w:rsidRPr="00DC3004">
        <w:rPr>
          <w:rFonts w:eastAsia="Malgun Gothic"/>
          <w:lang w:val="en-US" w:eastAsia="ko-KR"/>
        </w:rPr>
        <w:t>protection</w:t>
      </w:r>
      <w:r>
        <w:rPr>
          <w:rFonts w:eastAsia="Malgun Gothic"/>
          <w:lang w:val="en-US" w:eastAsia="ko-KR"/>
        </w:rPr>
        <w:t xml:space="preserve"> zone configuration requests from the UE and notify VASS. The two solutions can coexist in any deployment, with the VRU application determining whether solution#4 may be used based on a policy specifying whether:</w:t>
      </w:r>
    </w:p>
    <w:p w:rsidR="000359E8" w:rsidRDefault="000359E8" w:rsidP="00913FEE">
      <w:pPr>
        <w:pStyle w:val="B1"/>
        <w:rPr>
          <w:rFonts w:eastAsia="Malgun Gothic"/>
          <w:lang w:val="en-US" w:eastAsia="ko-KR"/>
        </w:rPr>
      </w:pPr>
      <w:r>
        <w:rPr>
          <w:rFonts w:eastAsia="Malgun Gothic"/>
          <w:lang w:val="en-US" w:eastAsia="ko-KR"/>
        </w:rPr>
        <w:t>a.</w:t>
      </w:r>
      <w:r>
        <w:rPr>
          <w:rFonts w:eastAsia="Malgun Gothic"/>
          <w:lang w:val="en-US" w:eastAsia="ko-KR"/>
        </w:rPr>
        <w:tab/>
        <w:t>Use of VAE service for</w:t>
      </w:r>
      <w:r w:rsidR="00DC3004">
        <w:rPr>
          <w:rFonts w:eastAsia="Malgun Gothic"/>
          <w:lang w:val="en-US" w:eastAsia="ko-KR"/>
        </w:rPr>
        <w:t xml:space="preserve"> </w:t>
      </w:r>
      <w:r w:rsidR="00DC3004" w:rsidRPr="00DC3004">
        <w:rPr>
          <w:rFonts w:eastAsia="Malgun Gothic"/>
          <w:lang w:val="en-US" w:eastAsia="ko-KR"/>
        </w:rPr>
        <w:t>protection</w:t>
      </w:r>
      <w:r>
        <w:rPr>
          <w:rFonts w:eastAsia="Malgun Gothic"/>
          <w:lang w:val="en-US" w:eastAsia="ko-KR"/>
        </w:rPr>
        <w:t xml:space="preserve"> zone notification is allowed; and</w:t>
      </w:r>
    </w:p>
    <w:p w:rsidR="000359E8" w:rsidRDefault="000359E8" w:rsidP="00913FEE">
      <w:pPr>
        <w:pStyle w:val="B1"/>
        <w:rPr>
          <w:rFonts w:eastAsia="Malgun Gothic"/>
          <w:lang w:val="en-US" w:eastAsia="ko-KR"/>
        </w:rPr>
      </w:pPr>
      <w:r>
        <w:rPr>
          <w:rFonts w:eastAsia="Malgun Gothic"/>
          <w:lang w:val="en-US" w:eastAsia="ko-KR"/>
        </w:rPr>
        <w:t>b.</w:t>
      </w:r>
      <w:r>
        <w:rPr>
          <w:rFonts w:eastAsia="Malgun Gothic"/>
          <w:lang w:val="en-US" w:eastAsia="ko-KR"/>
        </w:rPr>
        <w:tab/>
      </w:r>
      <w:r w:rsidR="00DC3004">
        <w:rPr>
          <w:rFonts w:eastAsia="Malgun Gothic"/>
          <w:lang w:val="en-US" w:eastAsia="ko-KR"/>
        </w:rPr>
        <w:t>P</w:t>
      </w:r>
      <w:r w:rsidR="00DC3004" w:rsidRPr="00DC3004">
        <w:rPr>
          <w:rFonts w:eastAsia="Malgun Gothic"/>
          <w:lang w:val="en-US" w:eastAsia="ko-KR"/>
        </w:rPr>
        <w:t>rotection</w:t>
      </w:r>
      <w:r w:rsidR="00DC3004">
        <w:rPr>
          <w:rFonts w:eastAsia="Malgun Gothic"/>
          <w:lang w:val="en-US" w:eastAsia="ko-KR"/>
        </w:rPr>
        <w:t xml:space="preserve"> </w:t>
      </w:r>
      <w:r>
        <w:rPr>
          <w:rFonts w:eastAsia="Malgun Gothic"/>
          <w:lang w:val="en-US" w:eastAsia="ko-KR"/>
        </w:rPr>
        <w:t>zone requests initiated by UEs are allowed.</w:t>
      </w:r>
    </w:p>
    <w:p w:rsidR="000359E8" w:rsidRDefault="000359E8" w:rsidP="000359E8">
      <w:pPr>
        <w:pStyle w:val="Heading4"/>
        <w:rPr>
          <w:rFonts w:eastAsia="SimSun"/>
          <w:lang w:val="en-US"/>
        </w:rPr>
      </w:pPr>
      <w:bookmarkStart w:id="128" w:name="_Toc96537623"/>
      <w:bookmarkStart w:id="129" w:name="_Toc107783922"/>
      <w:bookmarkStart w:id="130" w:name="_Toc131177489"/>
      <w:r>
        <w:rPr>
          <w:lang w:val="en-US"/>
        </w:rPr>
        <w:t>6.4.1.2</w:t>
      </w:r>
      <w:r>
        <w:rPr>
          <w:lang w:val="en-US"/>
        </w:rPr>
        <w:tab/>
        <w:t>Procedure</w:t>
      </w:r>
      <w:bookmarkEnd w:id="128"/>
      <w:bookmarkEnd w:id="129"/>
      <w:bookmarkEnd w:id="130"/>
    </w:p>
    <w:p w:rsidR="000359E8" w:rsidRDefault="000359E8" w:rsidP="000359E8">
      <w:pPr>
        <w:rPr>
          <w:rFonts w:eastAsia="Malgun Gothic"/>
          <w:lang w:val="en-US"/>
        </w:rPr>
      </w:pPr>
      <w:r>
        <w:rPr>
          <w:rFonts w:eastAsia="Malgun Gothic"/>
          <w:lang w:val="en-US"/>
        </w:rPr>
        <w:t>Pre-conditions:</w:t>
      </w:r>
    </w:p>
    <w:p w:rsidR="000359E8" w:rsidRDefault="000359E8" w:rsidP="00913FEE">
      <w:pPr>
        <w:pStyle w:val="B1"/>
        <w:rPr>
          <w:lang w:val="en-US"/>
        </w:rPr>
      </w:pPr>
      <w:r>
        <w:rPr>
          <w:rFonts w:eastAsia="Malgun Gothic"/>
          <w:lang w:val="en-US"/>
        </w:rPr>
        <w:t>1.</w:t>
      </w:r>
      <w:r>
        <w:rPr>
          <w:rFonts w:eastAsia="Malgun Gothic"/>
          <w:lang w:val="en-US"/>
        </w:rPr>
        <w:tab/>
      </w:r>
      <w:r>
        <w:rPr>
          <w:lang w:val="en-US"/>
        </w:rPr>
        <w:t>VASS has subscribed to VAE server to provide support for V2P communication.</w:t>
      </w:r>
    </w:p>
    <w:p w:rsidR="000359E8" w:rsidRDefault="000359E8" w:rsidP="00913FEE">
      <w:pPr>
        <w:pStyle w:val="B1"/>
        <w:rPr>
          <w:lang w:val="en-US"/>
        </w:rPr>
      </w:pPr>
      <w:r>
        <w:rPr>
          <w:rFonts w:eastAsia="Malgun Gothic"/>
          <w:lang w:val="en-US"/>
        </w:rPr>
        <w:t>2.</w:t>
      </w:r>
      <w:r>
        <w:rPr>
          <w:rFonts w:eastAsia="Malgun Gothic"/>
          <w:lang w:val="en-US"/>
        </w:rPr>
        <w:tab/>
      </w:r>
      <w:r>
        <w:rPr>
          <w:lang w:val="en-US"/>
        </w:rPr>
        <w:t>VAE clients of V2X cyclist UE and vehicular UE are registered with VAE server.</w:t>
      </w:r>
    </w:p>
    <w:p w:rsidR="000359E8" w:rsidRDefault="000359E8" w:rsidP="00913FEE">
      <w:pPr>
        <w:pStyle w:val="B1"/>
        <w:rPr>
          <w:lang w:val="en-US"/>
        </w:rPr>
      </w:pPr>
      <w:r>
        <w:rPr>
          <w:rFonts w:eastAsia="Malgun Gothic"/>
          <w:lang w:val="en-US"/>
        </w:rPr>
        <w:t>3.</w:t>
      </w:r>
      <w:r>
        <w:rPr>
          <w:rFonts w:eastAsia="Malgun Gothic"/>
          <w:lang w:val="en-US"/>
        </w:rPr>
        <w:tab/>
      </w:r>
      <w:r>
        <w:rPr>
          <w:lang w:val="en-US"/>
        </w:rPr>
        <w:t>The VRU application (at VASS and Application client at the cyclist UE) are pre-configured so that:</w:t>
      </w:r>
    </w:p>
    <w:p w:rsidR="000359E8" w:rsidRDefault="000359E8" w:rsidP="00913FEE">
      <w:pPr>
        <w:pStyle w:val="B2"/>
        <w:rPr>
          <w:lang w:val="en-US"/>
        </w:rPr>
      </w:pPr>
      <w:r>
        <w:rPr>
          <w:rFonts w:eastAsia="Malgun Gothic"/>
          <w:lang w:val="en-US"/>
        </w:rPr>
        <w:t>a.</w:t>
      </w:r>
      <w:r>
        <w:rPr>
          <w:rFonts w:eastAsia="Malgun Gothic"/>
          <w:lang w:val="en-US"/>
        </w:rPr>
        <w:tab/>
      </w:r>
      <w:r>
        <w:rPr>
          <w:lang w:val="en-US"/>
        </w:rPr>
        <w:t>Use of VAE service for</w:t>
      </w:r>
      <w:r w:rsidR="00DC3004">
        <w:rPr>
          <w:lang w:val="en-US"/>
        </w:rPr>
        <w:t xml:space="preserve"> </w:t>
      </w:r>
      <w:r w:rsidR="00DC3004" w:rsidRPr="00DC3004">
        <w:rPr>
          <w:lang w:val="en-US"/>
        </w:rPr>
        <w:t>protection</w:t>
      </w:r>
      <w:r>
        <w:rPr>
          <w:lang w:val="en-US"/>
        </w:rPr>
        <w:t xml:space="preserve"> zone notification is allowed; and</w:t>
      </w:r>
    </w:p>
    <w:p w:rsidR="000359E8" w:rsidRDefault="000359E8" w:rsidP="00913FEE">
      <w:pPr>
        <w:pStyle w:val="B2"/>
        <w:rPr>
          <w:lang w:val="en-US"/>
        </w:rPr>
      </w:pPr>
      <w:r>
        <w:rPr>
          <w:rFonts w:eastAsia="Malgun Gothic"/>
          <w:lang w:val="en-US"/>
        </w:rPr>
        <w:t>b.</w:t>
      </w:r>
      <w:r>
        <w:rPr>
          <w:rFonts w:eastAsia="Malgun Gothic"/>
          <w:lang w:val="en-US"/>
        </w:rPr>
        <w:tab/>
      </w:r>
      <w:r w:rsidR="00DC3004" w:rsidRPr="00DC3004">
        <w:rPr>
          <w:rFonts w:eastAsia="Malgun Gothic"/>
          <w:lang w:val="en-US"/>
        </w:rPr>
        <w:t>Protection</w:t>
      </w:r>
      <w:r w:rsidR="00DC3004">
        <w:rPr>
          <w:rFonts w:eastAsia="Malgun Gothic"/>
          <w:lang w:val="en-US"/>
        </w:rPr>
        <w:t xml:space="preserve"> </w:t>
      </w:r>
      <w:r>
        <w:rPr>
          <w:lang w:val="en-US"/>
        </w:rPr>
        <w:t>zone requests be initiated by UEs are allowed.</w:t>
      </w:r>
    </w:p>
    <w:p w:rsidR="000359E8" w:rsidRDefault="000359E8" w:rsidP="00913FEE">
      <w:pPr>
        <w:pStyle w:val="NO"/>
        <w:rPr>
          <w:lang w:val="en-US"/>
        </w:rPr>
      </w:pPr>
      <w:r>
        <w:rPr>
          <w:lang w:val="en-US"/>
        </w:rPr>
        <w:t>NOTE 1:</w:t>
      </w:r>
      <w:r>
        <w:rPr>
          <w:lang w:val="en-US"/>
        </w:rPr>
        <w:tab/>
        <w:t xml:space="preserve">Pre-condition 3 allows VAE server to determine that use of solution#4 mechanism is </w:t>
      </w:r>
      <w:r w:rsidRPr="00913FEE">
        <w:t>allowed</w:t>
      </w:r>
      <w:r>
        <w:rPr>
          <w:lang w:val="en-US"/>
        </w:rPr>
        <w:t xml:space="preserve">. </w:t>
      </w:r>
    </w:p>
    <w:p w:rsidR="000359E8" w:rsidRDefault="006F59B1" w:rsidP="000359E8">
      <w:pPr>
        <w:pStyle w:val="TH"/>
        <w:rPr>
          <w:rFonts w:eastAsia="Batang"/>
          <w:lang w:val="en-US"/>
        </w:rPr>
      </w:pPr>
      <w:r w:rsidRPr="006F59B1">
        <w:rPr>
          <w:rFonts w:ascii="Times New Roman" w:hAnsi="Times New Roman"/>
          <w:lang w:val="en-US" w:eastAsia="en-US"/>
        </w:rPr>
        <w:t xml:space="preserve"> </w:t>
      </w:r>
      <w:r w:rsidR="00DC3004">
        <w:rPr>
          <w:lang w:val="en-US"/>
        </w:rPr>
        <w:pict>
          <v:shape id="_x0000_i1031" type="#_x0000_t75" style="width:487.1pt;height:292.4pt">
            <v:imagedata r:id="rId18" o:title=""/>
          </v:shape>
        </w:pict>
      </w:r>
    </w:p>
    <w:p w:rsidR="000359E8" w:rsidRDefault="000359E8" w:rsidP="000359E8">
      <w:pPr>
        <w:pStyle w:val="TF"/>
        <w:rPr>
          <w:rFonts w:eastAsia="SimSun"/>
          <w:lang w:val="en-US"/>
        </w:rPr>
      </w:pPr>
      <w:r>
        <w:rPr>
          <w:lang w:val="en-US"/>
        </w:rPr>
        <w:t>Figure 6.4.1.2-1: UE request for</w:t>
      </w:r>
      <w:r w:rsidR="00DC3004">
        <w:rPr>
          <w:lang w:val="en-US"/>
        </w:rPr>
        <w:t xml:space="preserve"> </w:t>
      </w:r>
      <w:r w:rsidR="00DC3004" w:rsidRPr="00DC3004">
        <w:rPr>
          <w:lang w:val="en-US"/>
        </w:rPr>
        <w:t>protection</w:t>
      </w:r>
      <w:r>
        <w:rPr>
          <w:lang w:val="en-US"/>
        </w:rPr>
        <w:t xml:space="preserve"> zone</w:t>
      </w:r>
    </w:p>
    <w:p w:rsidR="000359E8" w:rsidRDefault="000359E8" w:rsidP="000359E8">
      <w:pPr>
        <w:pStyle w:val="B1"/>
        <w:rPr>
          <w:lang w:val="en-US"/>
        </w:rPr>
      </w:pPr>
      <w:r>
        <w:rPr>
          <w:lang w:val="en-US"/>
        </w:rPr>
        <w:t>1.</w:t>
      </w:r>
      <w:r>
        <w:rPr>
          <w:lang w:val="en-US"/>
        </w:rPr>
        <w:tab/>
        <w:t xml:space="preserve">Optionally, an application client on a cyclist UE makes a request to the VAE client to create a </w:t>
      </w:r>
      <w:r w:rsidR="00DC3004" w:rsidRPr="00DC3004">
        <w:rPr>
          <w:lang w:val="en-US"/>
        </w:rPr>
        <w:t>protection</w:t>
      </w:r>
      <w:r w:rsidR="00DC3004">
        <w:rPr>
          <w:lang w:val="en-US"/>
        </w:rPr>
        <w:t xml:space="preserve"> </w:t>
      </w:r>
      <w:r>
        <w:rPr>
          <w:lang w:val="en-US"/>
        </w:rPr>
        <w:t xml:space="preserve">zone. </w:t>
      </w:r>
    </w:p>
    <w:p w:rsidR="000359E8" w:rsidRDefault="000359E8" w:rsidP="000359E8">
      <w:pPr>
        <w:pStyle w:val="B1"/>
        <w:rPr>
          <w:lang w:val="en-US"/>
        </w:rPr>
      </w:pPr>
      <w:r>
        <w:rPr>
          <w:lang w:val="en-US"/>
        </w:rPr>
        <w:t>2.</w:t>
      </w:r>
      <w:r>
        <w:rPr>
          <w:lang w:val="en-US"/>
        </w:rPr>
        <w:tab/>
        <w:t>A VAE client sends a request to a VAE server to create a</w:t>
      </w:r>
      <w:r w:rsidR="00DC3004">
        <w:rPr>
          <w:lang w:val="en-US"/>
        </w:rPr>
        <w:t xml:space="preserve"> </w:t>
      </w:r>
      <w:r w:rsidR="00DC3004" w:rsidRPr="00DC3004">
        <w:rPr>
          <w:lang w:val="en-US"/>
        </w:rPr>
        <w:t>protection</w:t>
      </w:r>
      <w:r>
        <w:rPr>
          <w:lang w:val="en-US"/>
        </w:rPr>
        <w:t xml:space="preserve"> zone. The request may include V2X Service ID, UE ID, application ID, UE location and location reporting configuration, destination location, request for dynamic</w:t>
      </w:r>
      <w:r w:rsidR="00DC3004">
        <w:rPr>
          <w:lang w:val="en-US"/>
        </w:rPr>
        <w:t xml:space="preserve"> </w:t>
      </w:r>
      <w:r w:rsidR="00DC3004" w:rsidRPr="00DC3004">
        <w:rPr>
          <w:lang w:val="en-US"/>
        </w:rPr>
        <w:t>protection</w:t>
      </w:r>
      <w:r>
        <w:rPr>
          <w:lang w:val="en-US"/>
        </w:rPr>
        <w:t xml:space="preserve"> zone, V2P communication configuration, user consent for using user application context information, user activity, active applications, etc.</w:t>
      </w:r>
    </w:p>
    <w:p w:rsidR="000359E8" w:rsidRDefault="000359E8" w:rsidP="000359E8">
      <w:pPr>
        <w:pStyle w:val="B1"/>
        <w:rPr>
          <w:lang w:val="en-US"/>
        </w:rPr>
      </w:pPr>
      <w:r>
        <w:rPr>
          <w:lang w:val="en-US"/>
        </w:rPr>
        <w:t>3.</w:t>
      </w:r>
      <w:r>
        <w:rPr>
          <w:lang w:val="en-US"/>
        </w:rPr>
        <w:tab/>
        <w:t xml:space="preserve">The VAE server sends a </w:t>
      </w:r>
      <w:r w:rsidR="006F59B1">
        <w:rPr>
          <w:lang w:val="en-US"/>
        </w:rPr>
        <w:t xml:space="preserve">request </w:t>
      </w:r>
      <w:r>
        <w:rPr>
          <w:lang w:val="en-US"/>
        </w:rPr>
        <w:t>to a VASS to authorize the creation of the</w:t>
      </w:r>
      <w:r w:rsidR="00DC3004">
        <w:rPr>
          <w:lang w:val="en-US"/>
        </w:rPr>
        <w:t xml:space="preserve"> </w:t>
      </w:r>
      <w:r w:rsidR="00DC3004" w:rsidRPr="00DC3004">
        <w:rPr>
          <w:lang w:val="en-US"/>
        </w:rPr>
        <w:t>protection</w:t>
      </w:r>
      <w:r>
        <w:rPr>
          <w:lang w:val="en-US"/>
        </w:rPr>
        <w:t xml:space="preserve"> zone for the cyclist UE and includes the information provided by the cyclist UE.</w:t>
      </w:r>
    </w:p>
    <w:p w:rsidR="006F59B1" w:rsidRDefault="006F59B1" w:rsidP="006F59B1">
      <w:pPr>
        <w:pStyle w:val="B1"/>
        <w:rPr>
          <w:lang w:val="en-US" w:eastAsia="en-US"/>
        </w:rPr>
      </w:pPr>
      <w:r>
        <w:rPr>
          <w:lang w:val="en-US"/>
        </w:rPr>
        <w:t>4.</w:t>
      </w:r>
      <w:r>
        <w:rPr>
          <w:lang w:val="en-US"/>
        </w:rPr>
        <w:tab/>
        <w:t>The VASS authorizes the request and creates a</w:t>
      </w:r>
      <w:r w:rsidR="00DC3004">
        <w:rPr>
          <w:lang w:val="en-US"/>
        </w:rPr>
        <w:t xml:space="preserve"> </w:t>
      </w:r>
      <w:r w:rsidR="00DC3004" w:rsidRPr="00DC3004">
        <w:rPr>
          <w:lang w:val="en-US"/>
        </w:rPr>
        <w:t>protection</w:t>
      </w:r>
      <w:r>
        <w:rPr>
          <w:lang w:val="en-US"/>
        </w:rPr>
        <w:t xml:space="preserve"> zone based on information received from the VAE server. The VASS provides the VAE server with the</w:t>
      </w:r>
      <w:r w:rsidR="00DC3004">
        <w:rPr>
          <w:lang w:val="en-US"/>
        </w:rPr>
        <w:t xml:space="preserve"> </w:t>
      </w:r>
      <w:r w:rsidR="00DC3004" w:rsidRPr="00DC3004">
        <w:rPr>
          <w:lang w:val="en-US"/>
        </w:rPr>
        <w:t>protection</w:t>
      </w:r>
      <w:r>
        <w:rPr>
          <w:lang w:val="en-US"/>
        </w:rPr>
        <w:t xml:space="preserve"> zone and V2P communication configuration.</w:t>
      </w:r>
    </w:p>
    <w:p w:rsidR="000359E8" w:rsidRDefault="006F59B1" w:rsidP="000359E8">
      <w:pPr>
        <w:pStyle w:val="B1"/>
        <w:rPr>
          <w:lang w:val="en-US"/>
        </w:rPr>
      </w:pPr>
      <w:r>
        <w:rPr>
          <w:lang w:val="en-US"/>
        </w:rPr>
        <w:t>5</w:t>
      </w:r>
      <w:r w:rsidR="000359E8">
        <w:rPr>
          <w:lang w:val="en-US"/>
        </w:rPr>
        <w:t>.</w:t>
      </w:r>
      <w:r w:rsidR="000359E8">
        <w:rPr>
          <w:lang w:val="en-US"/>
        </w:rPr>
        <w:tab/>
        <w:t xml:space="preserve">The VASS responds with </w:t>
      </w:r>
      <w:r>
        <w:rPr>
          <w:lang w:val="en-US"/>
        </w:rPr>
        <w:t xml:space="preserve">an authorization response </w:t>
      </w:r>
      <w:r w:rsidR="000359E8">
        <w:rPr>
          <w:lang w:val="en-US"/>
        </w:rPr>
        <w:t>to the VAE server. The response includes the status of the authorization, the</w:t>
      </w:r>
      <w:r w:rsidR="00DC3004">
        <w:rPr>
          <w:lang w:val="en-US"/>
        </w:rPr>
        <w:t xml:space="preserve"> </w:t>
      </w:r>
      <w:r w:rsidR="00DC3004" w:rsidRPr="00DC3004">
        <w:rPr>
          <w:lang w:val="en-US"/>
        </w:rPr>
        <w:t>protection</w:t>
      </w:r>
      <w:r w:rsidR="000359E8">
        <w:rPr>
          <w:lang w:val="en-US"/>
        </w:rPr>
        <w:t xml:space="preserve"> zone type, geographical area, time validity and initiation trigger, types of supported messages and requirements (e.g. requirements for VAM messages), application QoS requirement dedicated for the</w:t>
      </w:r>
      <w:r w:rsidR="00DC3004">
        <w:rPr>
          <w:lang w:val="en-US"/>
        </w:rPr>
        <w:t xml:space="preserve"> </w:t>
      </w:r>
      <w:r w:rsidR="00DC3004" w:rsidRPr="00DC3004">
        <w:rPr>
          <w:lang w:val="en-US"/>
        </w:rPr>
        <w:t>protection</w:t>
      </w:r>
      <w:r w:rsidR="000359E8">
        <w:rPr>
          <w:lang w:val="en-US"/>
        </w:rPr>
        <w:t xml:space="preserve"> zone (e.g. URLLC like), whether it is a dynamic or static zone, an expiration for the</w:t>
      </w:r>
      <w:r w:rsidR="00DC3004">
        <w:rPr>
          <w:lang w:val="en-US"/>
        </w:rPr>
        <w:t xml:space="preserve"> </w:t>
      </w:r>
      <w:r w:rsidR="00DC3004" w:rsidRPr="00DC3004">
        <w:rPr>
          <w:lang w:val="en-US"/>
        </w:rPr>
        <w:t>protection</w:t>
      </w:r>
      <w:r w:rsidR="000359E8">
        <w:rPr>
          <w:lang w:val="en-US"/>
        </w:rPr>
        <w:t xml:space="preserve"> zone, V2P communication configuration information, etc.</w:t>
      </w:r>
    </w:p>
    <w:p w:rsidR="000359E8" w:rsidRDefault="006F59B1" w:rsidP="000359E8">
      <w:pPr>
        <w:pStyle w:val="B1"/>
        <w:rPr>
          <w:lang w:val="en-US"/>
        </w:rPr>
      </w:pPr>
      <w:r>
        <w:rPr>
          <w:lang w:val="en-US"/>
        </w:rPr>
        <w:t>6</w:t>
      </w:r>
      <w:r w:rsidR="000359E8">
        <w:rPr>
          <w:lang w:val="en-US"/>
        </w:rPr>
        <w:t>.</w:t>
      </w:r>
      <w:r w:rsidR="000359E8">
        <w:rPr>
          <w:lang w:val="en-US"/>
        </w:rPr>
        <w:tab/>
      </w:r>
      <w:bookmarkStart w:id="131" w:name="_Hlk100267577"/>
      <w:r w:rsidR="000359E8">
        <w:rPr>
          <w:lang w:val="en-US"/>
        </w:rPr>
        <w:t>The VAE server configures subscriptions to obtain UE location from the 5G system</w:t>
      </w:r>
      <w:r w:rsidR="000359E8">
        <w:rPr>
          <w:lang w:val="en-US" w:eastAsia="ko-KR"/>
        </w:rPr>
        <w:t xml:space="preserve">. Sources of UE mobility information may come from SEAL LMS servers, EES, an analytics function (e.g. from ADAES or NWDAF), and the 5G core network. </w:t>
      </w:r>
      <w:r w:rsidR="000359E8">
        <w:t>For V2X UEs location obtained from the location management server, the procedures specified in 3GPP TS 23.434 (clause 9.3.12)</w:t>
      </w:r>
      <w:r w:rsidR="000359E8">
        <w:rPr>
          <w:lang w:val="en-US"/>
        </w:rPr>
        <w:t xml:space="preserve"> apply.</w:t>
      </w:r>
    </w:p>
    <w:bookmarkEnd w:id="131"/>
    <w:p w:rsidR="000359E8" w:rsidRDefault="000359E8" w:rsidP="000359E8">
      <w:pPr>
        <w:pStyle w:val="B1"/>
        <w:rPr>
          <w:lang w:val="en-US"/>
        </w:rPr>
      </w:pPr>
      <w:r>
        <w:rPr>
          <w:lang w:val="en-US"/>
        </w:rPr>
        <w:t>7.</w:t>
      </w:r>
      <w:r>
        <w:rPr>
          <w:lang w:val="en-US"/>
        </w:rPr>
        <w:tab/>
        <w:t>The VAE server sends a response message to the cyclist UE with a status for the request, the information of the</w:t>
      </w:r>
      <w:r w:rsidR="00DC3004">
        <w:rPr>
          <w:lang w:val="en-US"/>
        </w:rPr>
        <w:t xml:space="preserve"> </w:t>
      </w:r>
      <w:r w:rsidR="00DC3004" w:rsidRPr="00DC3004">
        <w:rPr>
          <w:lang w:val="en-US"/>
        </w:rPr>
        <w:t>protection</w:t>
      </w:r>
      <w:r>
        <w:rPr>
          <w:lang w:val="en-US"/>
        </w:rPr>
        <w:t xml:space="preserve"> zone, and updated V2P communication configuration. The VAE server may also subscribe to receive notifications from the VAE client about application context events such as user activity, active applications, application notifications, navigation information, etc.</w:t>
      </w:r>
    </w:p>
    <w:p w:rsidR="000359E8" w:rsidRDefault="000359E8" w:rsidP="000359E8">
      <w:pPr>
        <w:pStyle w:val="B1"/>
        <w:rPr>
          <w:lang w:val="en-US"/>
        </w:rPr>
      </w:pPr>
      <w:r>
        <w:rPr>
          <w:lang w:val="en-US"/>
        </w:rPr>
        <w:t>8.</w:t>
      </w:r>
      <w:r>
        <w:rPr>
          <w:lang w:val="en-US"/>
        </w:rPr>
        <w:tab/>
        <w:t>Optionally, the VAE client returns a response to the application client.</w:t>
      </w:r>
    </w:p>
    <w:p w:rsidR="000359E8" w:rsidRDefault="000359E8" w:rsidP="000359E8">
      <w:pPr>
        <w:pStyle w:val="B1"/>
        <w:rPr>
          <w:lang w:val="en-US"/>
        </w:rPr>
      </w:pPr>
      <w:r>
        <w:rPr>
          <w:lang w:val="en-US"/>
        </w:rPr>
        <w:t>9.</w:t>
      </w:r>
      <w:r>
        <w:rPr>
          <w:lang w:val="en-US"/>
        </w:rPr>
        <w:tab/>
        <w:t>The VAE server receives UE mobility information from the 5G network and/or from the UEs. The cyclist UE and vehicular UE may also provide application context information to the VAE server, such as battery level, user activity, active applications,</w:t>
      </w:r>
      <w:r>
        <w:t xml:space="preserve"> and </w:t>
      </w:r>
      <w:r>
        <w:rPr>
          <w:lang w:val="en-US"/>
        </w:rPr>
        <w:t>routing information from a navigation app. The battery level of the UE may help the VAE server determine the V2P communication configuration to provide to UEs in the</w:t>
      </w:r>
      <w:r w:rsidR="00DC3004">
        <w:rPr>
          <w:lang w:val="en-US"/>
        </w:rPr>
        <w:t xml:space="preserve"> </w:t>
      </w:r>
      <w:r w:rsidR="00DC3004" w:rsidRPr="00DC3004">
        <w:rPr>
          <w:lang w:val="en-US"/>
        </w:rPr>
        <w:t>protection</w:t>
      </w:r>
      <w:r>
        <w:rPr>
          <w:lang w:val="en-US"/>
        </w:rPr>
        <w:t xml:space="preserve"> zone. For example, if the battery level of a cyclist UE is low, the VAE server may provide V2P communication configurations to vehicular UEs to align with when the cyclist UE is able to receive V2P communication. Alternatively, the VAE server can provide V2P communication parameters to vehicular UEs to communicate with nearby UEs instead.</w:t>
      </w:r>
    </w:p>
    <w:p w:rsidR="000359E8" w:rsidRDefault="000359E8" w:rsidP="000359E8">
      <w:pPr>
        <w:pStyle w:val="B1"/>
        <w:rPr>
          <w:lang w:val="en-US"/>
        </w:rPr>
      </w:pPr>
      <w:r>
        <w:rPr>
          <w:lang w:val="en-US"/>
        </w:rPr>
        <w:t>10.</w:t>
      </w:r>
      <w:r>
        <w:rPr>
          <w:lang w:val="en-US"/>
        </w:rPr>
        <w:tab/>
        <w:t>The VAE server updates the</w:t>
      </w:r>
      <w:r w:rsidR="00DC3004">
        <w:rPr>
          <w:lang w:val="en-US"/>
        </w:rPr>
        <w:t xml:space="preserve"> </w:t>
      </w:r>
      <w:r w:rsidR="00DC3004" w:rsidRPr="00DC3004">
        <w:rPr>
          <w:lang w:val="en-US"/>
        </w:rPr>
        <w:t>protection</w:t>
      </w:r>
      <w:r>
        <w:rPr>
          <w:lang w:val="en-US"/>
        </w:rPr>
        <w:t xml:space="preserve"> zone based on information the VAE server has obtained about the cyclist UE</w:t>
      </w:r>
      <w:r>
        <w:rPr>
          <w:lang w:val="en-US" w:eastAsia="ko-KR"/>
        </w:rPr>
        <w:t>. For example, the</w:t>
      </w:r>
      <w:r w:rsidR="00DC3004">
        <w:rPr>
          <w:lang w:val="en-US" w:eastAsia="ko-KR"/>
        </w:rPr>
        <w:t xml:space="preserve"> </w:t>
      </w:r>
      <w:r w:rsidR="00DC3004" w:rsidRPr="00DC3004">
        <w:rPr>
          <w:lang w:val="en-US" w:eastAsia="ko-KR"/>
        </w:rPr>
        <w:t>protection</w:t>
      </w:r>
      <w:r>
        <w:rPr>
          <w:lang w:val="en-US" w:eastAsia="ko-KR"/>
        </w:rPr>
        <w:t xml:space="preserve"> zone may be updated due to a change in UE location. In addition, the VAE server may broadcast the new</w:t>
      </w:r>
      <w:r w:rsidR="00DC3004">
        <w:rPr>
          <w:lang w:val="en-US" w:eastAsia="ko-KR"/>
        </w:rPr>
        <w:t xml:space="preserve"> </w:t>
      </w:r>
      <w:r w:rsidR="00DC3004" w:rsidRPr="00DC3004">
        <w:rPr>
          <w:lang w:val="en-US" w:eastAsia="ko-KR"/>
        </w:rPr>
        <w:t>protection</w:t>
      </w:r>
      <w:r>
        <w:rPr>
          <w:lang w:val="en-US" w:eastAsia="ko-KR"/>
        </w:rPr>
        <w:t xml:space="preserve"> zone information to all the UEs in the</w:t>
      </w:r>
      <w:r w:rsidR="00DC3004">
        <w:rPr>
          <w:lang w:val="en-US" w:eastAsia="ko-KR"/>
        </w:rPr>
        <w:t xml:space="preserve"> </w:t>
      </w:r>
      <w:r w:rsidR="00DC3004" w:rsidRPr="00DC3004">
        <w:rPr>
          <w:lang w:val="en-US" w:eastAsia="ko-KR"/>
        </w:rPr>
        <w:t>protection</w:t>
      </w:r>
      <w:r>
        <w:rPr>
          <w:lang w:val="en-US" w:eastAsia="ko-KR"/>
        </w:rPr>
        <w:t xml:space="preserve"> zone.</w:t>
      </w:r>
    </w:p>
    <w:p w:rsidR="000359E8" w:rsidRDefault="000359E8" w:rsidP="000359E8">
      <w:pPr>
        <w:pStyle w:val="B1"/>
        <w:rPr>
          <w:lang w:val="en-US"/>
        </w:rPr>
      </w:pPr>
      <w:r>
        <w:rPr>
          <w:lang w:val="en-US"/>
        </w:rPr>
        <w:t>11.</w:t>
      </w:r>
      <w:r>
        <w:rPr>
          <w:lang w:val="en-US"/>
        </w:rPr>
        <w:tab/>
        <w:t xml:space="preserve">The VAE server </w:t>
      </w:r>
      <w:r>
        <w:rPr>
          <w:lang w:val="en-US" w:eastAsia="ko-KR"/>
        </w:rPr>
        <w:t xml:space="preserve">detects that </w:t>
      </w:r>
      <w:r>
        <w:rPr>
          <w:lang w:val="en-US"/>
        </w:rPr>
        <w:t xml:space="preserve">a vehicular UE </w:t>
      </w:r>
      <w:r>
        <w:rPr>
          <w:lang w:val="en-US" w:eastAsia="ko-KR"/>
        </w:rPr>
        <w:t>is now in the updated</w:t>
      </w:r>
      <w:r w:rsidR="00DC3004">
        <w:rPr>
          <w:lang w:val="en-US" w:eastAsia="ko-KR"/>
        </w:rPr>
        <w:t xml:space="preserve"> </w:t>
      </w:r>
      <w:r w:rsidR="00DC3004" w:rsidRPr="00DC3004">
        <w:rPr>
          <w:lang w:val="en-US" w:eastAsia="ko-KR"/>
        </w:rPr>
        <w:t>protection</w:t>
      </w:r>
      <w:r>
        <w:rPr>
          <w:lang w:val="en-US" w:eastAsia="ko-KR"/>
        </w:rPr>
        <w:t xml:space="preserve"> zone</w:t>
      </w:r>
      <w:r>
        <w:rPr>
          <w:lang w:val="en-US"/>
        </w:rPr>
        <w:t xml:space="preserve"> and sends a notification alert to the vehicular UE and includes the V2P communication configuration for use by the vehicular UE to communicate directly with the cyclist UE.</w:t>
      </w:r>
    </w:p>
    <w:p w:rsidR="000359E8" w:rsidRDefault="000359E8" w:rsidP="000359E8">
      <w:pPr>
        <w:keepNext/>
        <w:keepLines/>
        <w:spacing w:before="120"/>
        <w:ind w:left="1134" w:hanging="1134"/>
        <w:outlineLvl w:val="2"/>
        <w:rPr>
          <w:rFonts w:ascii="Arial" w:eastAsia="SimSun" w:hAnsi="Arial"/>
          <w:sz w:val="28"/>
          <w:lang w:val="en-US"/>
        </w:rPr>
      </w:pPr>
      <w:bookmarkStart w:id="132" w:name="_Toc77951876"/>
      <w:r>
        <w:rPr>
          <w:rFonts w:ascii="Arial" w:hAnsi="Arial"/>
          <w:sz w:val="28"/>
          <w:lang w:val="en-US"/>
        </w:rPr>
        <w:t>6.4.2</w:t>
      </w:r>
      <w:r>
        <w:rPr>
          <w:rFonts w:ascii="Arial" w:hAnsi="Arial"/>
          <w:sz w:val="28"/>
          <w:lang w:val="en-US"/>
        </w:rPr>
        <w:tab/>
        <w:t>Solution evaluation</w:t>
      </w:r>
      <w:bookmarkEnd w:id="132"/>
    </w:p>
    <w:p w:rsidR="004D6B6D" w:rsidRDefault="004D6B6D" w:rsidP="004D6B6D">
      <w:pPr>
        <w:rPr>
          <w:lang w:val="en-US" w:eastAsia="en-US"/>
        </w:rPr>
      </w:pPr>
      <w:bookmarkStart w:id="133" w:name="_Toc107783923"/>
      <w:r>
        <w:rPr>
          <w:lang w:val="en-US"/>
        </w:rPr>
        <w:t>This solution addresses KI #1 and aspects of KI #2 and provides a procedure for a VAL client on a cyclist UE to request the creation of a dynamic</w:t>
      </w:r>
      <w:r w:rsidR="00FD628A">
        <w:rPr>
          <w:lang w:val="en-US"/>
        </w:rPr>
        <w:t xml:space="preserve"> </w:t>
      </w:r>
      <w:r w:rsidR="00FD628A" w:rsidRPr="00FD628A">
        <w:rPr>
          <w:lang w:val="en-US"/>
        </w:rPr>
        <w:t>protection</w:t>
      </w:r>
      <w:r>
        <w:rPr>
          <w:lang w:val="en-US"/>
        </w:rPr>
        <w:t xml:space="preserve"> zone via the VAE client. The VAE server checks with a VASS to authorize the request and if authorized, the VASS creates a</w:t>
      </w:r>
      <w:r w:rsidR="00FD628A">
        <w:rPr>
          <w:lang w:val="en-US"/>
        </w:rPr>
        <w:t xml:space="preserve"> </w:t>
      </w:r>
      <w:r w:rsidR="00FD628A" w:rsidRPr="00FD628A">
        <w:rPr>
          <w:lang w:val="en-US"/>
        </w:rPr>
        <w:t>protection</w:t>
      </w:r>
      <w:r>
        <w:rPr>
          <w:lang w:val="en-US"/>
        </w:rPr>
        <w:t xml:space="preserve"> zone based on the information provided by the VAE client. After the creation of the</w:t>
      </w:r>
      <w:r w:rsidR="00FD628A">
        <w:rPr>
          <w:lang w:val="en-US"/>
        </w:rPr>
        <w:t xml:space="preserve"> </w:t>
      </w:r>
      <w:r w:rsidR="00FD628A" w:rsidRPr="00FD628A">
        <w:rPr>
          <w:lang w:val="en-US"/>
        </w:rPr>
        <w:t>protection</w:t>
      </w:r>
      <w:r>
        <w:rPr>
          <w:lang w:val="en-US"/>
        </w:rPr>
        <w:t xml:space="preserve"> zone, the VAE server monitors the UE’s mobility information and updates the</w:t>
      </w:r>
      <w:r w:rsidR="00FD628A">
        <w:rPr>
          <w:lang w:val="en-US"/>
        </w:rPr>
        <w:t xml:space="preserve"> </w:t>
      </w:r>
      <w:r w:rsidR="00FD628A" w:rsidRPr="00FD628A">
        <w:rPr>
          <w:lang w:val="en-US"/>
        </w:rPr>
        <w:t>protection</w:t>
      </w:r>
      <w:r>
        <w:rPr>
          <w:lang w:val="en-US"/>
        </w:rPr>
        <w:t xml:space="preserve"> zone accordingly. If the VAE server detects the presence of other vehicular UEs in the updated</w:t>
      </w:r>
      <w:r w:rsidR="00FD628A">
        <w:rPr>
          <w:lang w:val="en-US"/>
        </w:rPr>
        <w:t xml:space="preserve"> </w:t>
      </w:r>
      <w:r w:rsidR="00FD628A" w:rsidRPr="00FD628A">
        <w:rPr>
          <w:lang w:val="en-US"/>
        </w:rPr>
        <w:t>protection</w:t>
      </w:r>
      <w:r>
        <w:rPr>
          <w:lang w:val="en-US"/>
        </w:rPr>
        <w:t xml:space="preserve"> zone, the VAE server sends a notification alert to the vehicular UE and includes V2P communication configuration information.</w:t>
      </w:r>
    </w:p>
    <w:p w:rsidR="004D6B6D" w:rsidRDefault="004D6B6D" w:rsidP="004D6B6D">
      <w:pPr>
        <w:rPr>
          <w:sz w:val="22"/>
          <w:szCs w:val="22"/>
          <w:lang w:val="en-US"/>
        </w:rPr>
      </w:pPr>
      <w:r>
        <w:t>Further agreement is needed for the scenario of this solution where UEs can initiate VRU</w:t>
      </w:r>
      <w:r w:rsidR="00FD628A">
        <w:t xml:space="preserve"> </w:t>
      </w:r>
      <w:r w:rsidR="00FD628A" w:rsidRPr="00FD628A">
        <w:t>protection</w:t>
      </w:r>
      <w:r>
        <w:t xml:space="preserve"> zone creation.</w:t>
      </w:r>
    </w:p>
    <w:p w:rsidR="003D7994" w:rsidRDefault="003D7994" w:rsidP="003D7994">
      <w:pPr>
        <w:pStyle w:val="Heading2"/>
      </w:pPr>
      <w:bookmarkStart w:id="134" w:name="_Toc131177490"/>
      <w:r>
        <w:t>6.5</w:t>
      </w:r>
      <w:r>
        <w:tab/>
      </w:r>
      <w:r>
        <w:rPr>
          <w:lang w:val="en-US"/>
        </w:rPr>
        <w:t>Solution #5</w:t>
      </w:r>
      <w:r w:rsidR="002F7115">
        <w:rPr>
          <w:lang w:val="en-US"/>
        </w:rPr>
        <w:t xml:space="preserve"> -</w:t>
      </w:r>
      <w:r>
        <w:rPr>
          <w:lang w:val="en-US"/>
        </w:rPr>
        <w:t xml:space="preserve"> </w:t>
      </w:r>
      <w:r>
        <w:t>Enhanced network monitoring</w:t>
      </w:r>
      <w:bookmarkEnd w:id="133"/>
      <w:bookmarkEnd w:id="134"/>
    </w:p>
    <w:p w:rsidR="003D7994" w:rsidRDefault="003D7994" w:rsidP="003D7994">
      <w:pPr>
        <w:pStyle w:val="Heading3"/>
      </w:pPr>
      <w:bookmarkStart w:id="135" w:name="_Toc107783924"/>
      <w:bookmarkStart w:id="136" w:name="_Toc131177491"/>
      <w:r>
        <w:t>6.5.1</w:t>
      </w:r>
      <w:r>
        <w:tab/>
        <w:t>Solution description</w:t>
      </w:r>
      <w:bookmarkEnd w:id="135"/>
      <w:bookmarkEnd w:id="136"/>
    </w:p>
    <w:p w:rsidR="003D7994" w:rsidRDefault="003D7994" w:rsidP="003D7994">
      <w:pPr>
        <w:pStyle w:val="Heading4"/>
      </w:pPr>
      <w:bookmarkStart w:id="137" w:name="_Toc107783925"/>
      <w:bookmarkStart w:id="138" w:name="_Toc131177492"/>
      <w:r>
        <w:t>6.5.1.1</w:t>
      </w:r>
      <w:r>
        <w:tab/>
        <w:t>General</w:t>
      </w:r>
      <w:bookmarkEnd w:id="137"/>
      <w:bookmarkEnd w:id="138"/>
    </w:p>
    <w:p w:rsidR="003D7994" w:rsidRDefault="003D7994" w:rsidP="003D7994">
      <w:r>
        <w:t>This solution corresponds to key issue#6. The network monitoring subscription and notification procedures specified in clause 9.7 of 3GPP TS 23.286 [6] are enhanced to allow a V2X UE for subscription and notification of network situation monitoring events considering a single V2X UE or a group of V2X UE(s) in addition to area information.</w:t>
      </w:r>
    </w:p>
    <w:p w:rsidR="003D7994" w:rsidRDefault="003D7994" w:rsidP="003D7994">
      <w:pPr>
        <w:pStyle w:val="Heading4"/>
      </w:pPr>
      <w:bookmarkStart w:id="139" w:name="_Toc107783926"/>
      <w:bookmarkStart w:id="140" w:name="_Toc131177493"/>
      <w:r>
        <w:t>6.5.1.2</w:t>
      </w:r>
      <w:r>
        <w:tab/>
        <w:t>Enhancements to subscription procedure in clause 9.7.3</w:t>
      </w:r>
      <w:bookmarkEnd w:id="139"/>
      <w:bookmarkEnd w:id="140"/>
    </w:p>
    <w:p w:rsidR="003D7994" w:rsidRDefault="003D7994" w:rsidP="003D7994">
      <w:r>
        <w:t>In step 1, the network monitoring information subscription request from VAE client to VAE server can include target V2X UE ID(s) in addition to area information.</w:t>
      </w:r>
    </w:p>
    <w:p w:rsidR="003D7994" w:rsidRDefault="003D7994" w:rsidP="003D7994">
      <w:r>
        <w:t>In step 2, the VAE server is enhanced to initiate network monitoring considering the requested information in step 1.</w:t>
      </w:r>
    </w:p>
    <w:p w:rsidR="003D7994" w:rsidRDefault="003D7994" w:rsidP="003D7994">
      <w:pPr>
        <w:pStyle w:val="Heading4"/>
      </w:pPr>
      <w:bookmarkStart w:id="141" w:name="_Toc107783927"/>
      <w:bookmarkStart w:id="142" w:name="_Toc131177494"/>
      <w:r>
        <w:t>6.5.1.3</w:t>
      </w:r>
      <w:r>
        <w:tab/>
        <w:t>Enhancements to notification procedure in clause 9.7.4</w:t>
      </w:r>
      <w:bookmarkEnd w:id="141"/>
      <w:bookmarkEnd w:id="142"/>
    </w:p>
    <w:p w:rsidR="003D7994" w:rsidRDefault="003D7994" w:rsidP="003D7994">
      <w:r>
        <w:t>In step 1, the network monitoring of VAE server with 5GC is enhanced to include configuring and receiving network monitoring events for V2X UE ID(s) also as per the subscription.</w:t>
      </w:r>
    </w:p>
    <w:p w:rsidR="003D7994" w:rsidRDefault="003D7994" w:rsidP="003D7994">
      <w:pPr>
        <w:pStyle w:val="Heading3"/>
      </w:pPr>
      <w:bookmarkStart w:id="143" w:name="_Toc107783928"/>
      <w:bookmarkStart w:id="144" w:name="_Toc131177495"/>
      <w:r>
        <w:t>6.5.2</w:t>
      </w:r>
      <w:r>
        <w:tab/>
        <w:t>Solution evaluation</w:t>
      </w:r>
      <w:bookmarkEnd w:id="143"/>
      <w:bookmarkEnd w:id="144"/>
    </w:p>
    <w:p w:rsidR="003D7994" w:rsidRDefault="003D7994" w:rsidP="003D7994">
      <w:r>
        <w:t>This is a viable technical solution to address key issue#6.</w:t>
      </w:r>
    </w:p>
    <w:p w:rsidR="00B47983" w:rsidRDefault="00B47983" w:rsidP="00B47983">
      <w:pPr>
        <w:pStyle w:val="Heading2"/>
        <w:rPr>
          <w:lang w:eastAsia="en-US"/>
        </w:rPr>
      </w:pPr>
      <w:bookmarkStart w:id="145" w:name="_Toc464463369"/>
      <w:bookmarkStart w:id="146" w:name="_Toc475064963"/>
      <w:bookmarkStart w:id="147" w:name="_Toc478400633"/>
      <w:bookmarkStart w:id="148" w:name="_Toc90491011"/>
      <w:bookmarkStart w:id="149" w:name="_Toc107783929"/>
      <w:bookmarkStart w:id="150" w:name="_Toc131177496"/>
      <w:bookmarkEnd w:id="77"/>
      <w:bookmarkEnd w:id="78"/>
      <w:bookmarkEnd w:id="79"/>
      <w:bookmarkEnd w:id="104"/>
      <w:r>
        <w:t>6.6</w:t>
      </w:r>
      <w:r>
        <w:tab/>
      </w:r>
      <w:r>
        <w:rPr>
          <w:lang w:val="en-US"/>
        </w:rPr>
        <w:t xml:space="preserve">Solution #6 – </w:t>
      </w:r>
      <w:r>
        <w:t>Network situation enhanced with analytics</w:t>
      </w:r>
      <w:bookmarkEnd w:id="150"/>
    </w:p>
    <w:p w:rsidR="00B47983" w:rsidRDefault="00B47983" w:rsidP="00B47983">
      <w:pPr>
        <w:pStyle w:val="Heading3"/>
      </w:pPr>
      <w:bookmarkStart w:id="151" w:name="_Toc131177497"/>
      <w:r>
        <w:t>6.6.1</w:t>
      </w:r>
      <w:r>
        <w:tab/>
        <w:t>Solution description</w:t>
      </w:r>
      <w:bookmarkEnd w:id="151"/>
    </w:p>
    <w:p w:rsidR="00B47983" w:rsidRDefault="00B47983" w:rsidP="00B47983">
      <w:pPr>
        <w:pStyle w:val="Heading4"/>
      </w:pPr>
      <w:bookmarkStart w:id="152" w:name="_Toc131177498"/>
      <w:r>
        <w:t>6.6.1.1</w:t>
      </w:r>
      <w:r>
        <w:tab/>
        <w:t>General</w:t>
      </w:r>
      <w:bookmarkEnd w:id="152"/>
    </w:p>
    <w:p w:rsidR="00B47983" w:rsidRDefault="00B47983" w:rsidP="00B47983">
      <w:r>
        <w:t>This solution corresponds to key issue#5. The network situation monitoring procedures specified in clause 9.7 and clause 9.20 of 3GPP TS 23.286 [6] are enhanced to utilize the SEAL's ADAE services for application performance analytics and prediction.</w:t>
      </w:r>
    </w:p>
    <w:p w:rsidR="00B47983" w:rsidRDefault="00B47983" w:rsidP="00B47983">
      <w:pPr>
        <w:pStyle w:val="Heading4"/>
      </w:pPr>
      <w:bookmarkStart w:id="153" w:name="_Toc131177499"/>
      <w:r>
        <w:t>6.6.1.2</w:t>
      </w:r>
      <w:r>
        <w:tab/>
        <w:t>Enhancements to network monitoring by V2X UE</w:t>
      </w:r>
      <w:bookmarkEnd w:id="153"/>
    </w:p>
    <w:p w:rsidR="00B47983" w:rsidRDefault="00B47983" w:rsidP="00B47983">
      <w:r>
        <w:t>In clause 9.7.3, step 2 of 3GPP TS 23.286 [6], the VAE server is enhanced to utilize the SEAL's ADAE service for application performance analytics and prediction.</w:t>
      </w:r>
    </w:p>
    <w:p w:rsidR="00B47983" w:rsidRDefault="00B47983" w:rsidP="00B47983">
      <w:r>
        <w:t>In clause 9.7.4, step 1 of 3GPP TS 23.286 [6], the network monitoring also includes the SEAL's ADAE service. In step 2, the VAE server processes the information obtained from SEAL's ADAE service corresponding to the application session. In step 3, the VAE server provides the notification to the V2X UE about both network situation and the predicted network situation.</w:t>
      </w:r>
    </w:p>
    <w:p w:rsidR="00B47983" w:rsidRDefault="00B47983" w:rsidP="00B47983">
      <w:pPr>
        <w:pStyle w:val="Heading4"/>
      </w:pPr>
      <w:bookmarkStart w:id="154" w:name="_Toc131177500"/>
      <w:r>
        <w:t>6.6.1.3</w:t>
      </w:r>
      <w:r>
        <w:tab/>
        <w:t>Enhancements to monitoring and control of QoS for eV2X communications</w:t>
      </w:r>
      <w:bookmarkEnd w:id="154"/>
    </w:p>
    <w:p w:rsidR="00B47983" w:rsidRDefault="00B47983" w:rsidP="00B47983">
      <w:r>
        <w:t>In clause 9.20.3, step 2 of 3GPP TS 23.286 [6], the VAE server is enhanced to utilize the SEAL's ADAE service for application performance analytics and prediction.</w:t>
      </w:r>
    </w:p>
    <w:p w:rsidR="00B47983" w:rsidRDefault="00B47983" w:rsidP="00B47983">
      <w:r>
        <w:t xml:space="preserve">In clause 9.20.4, step 1 of 3GPP TS 23.286 [6], the monitoring reports also includes the SEAL's ADAE service. In step 2, the VAE server processes the information obtained from SEAL's ADAE service corresponding to the application session. In step 3, the VAE server provides the </w:t>
      </w:r>
      <w:r>
        <w:rPr>
          <w:rFonts w:eastAsia="Malgun Gothic"/>
          <w:lang w:eastAsia="ja-JP"/>
        </w:rPr>
        <w:t xml:space="preserve">service requirement adaptation notification request to V2X application specific server </w:t>
      </w:r>
      <w:r>
        <w:t>about both network situation and the predicted network situation to initiate any application session adaptation (e.g. session oriented service update or terminate).</w:t>
      </w:r>
    </w:p>
    <w:p w:rsidR="00B47983" w:rsidRDefault="00B47983" w:rsidP="00B47983">
      <w:pPr>
        <w:pStyle w:val="Heading3"/>
      </w:pPr>
      <w:bookmarkStart w:id="155" w:name="_Toc131177501"/>
      <w:r>
        <w:t>6.6.2</w:t>
      </w:r>
      <w:r>
        <w:tab/>
        <w:t>Solution evaluation</w:t>
      </w:r>
      <w:bookmarkEnd w:id="155"/>
    </w:p>
    <w:p w:rsidR="00B47983" w:rsidRDefault="00B47983" w:rsidP="00B47983">
      <w:pPr>
        <w:rPr>
          <w:noProof/>
          <w:lang w:val="en-US"/>
        </w:rPr>
      </w:pPr>
      <w:r>
        <w:t xml:space="preserve">This is a viable technical solution </w:t>
      </w:r>
      <w:r w:rsidRPr="00E75CB9">
        <w:t>to</w:t>
      </w:r>
      <w:r>
        <w:t xml:space="preserve"> address key issue#5 for supporting utilization of improved analytics.</w:t>
      </w:r>
    </w:p>
    <w:p w:rsidR="00495F8F" w:rsidRDefault="008D7A12" w:rsidP="00495F8F">
      <w:pPr>
        <w:pStyle w:val="Heading1"/>
      </w:pPr>
      <w:bookmarkStart w:id="156" w:name="_Toc131177502"/>
      <w:r>
        <w:t>7</w:t>
      </w:r>
      <w:r w:rsidR="00495F8F">
        <w:tab/>
        <w:t>Overall evaluation</w:t>
      </w:r>
      <w:bookmarkEnd w:id="145"/>
      <w:bookmarkEnd w:id="146"/>
      <w:bookmarkEnd w:id="147"/>
      <w:bookmarkEnd w:id="148"/>
      <w:bookmarkEnd w:id="149"/>
      <w:bookmarkEnd w:id="156"/>
    </w:p>
    <w:p w:rsidR="001C2225" w:rsidRDefault="001C2225" w:rsidP="001C2225">
      <w:pPr>
        <w:pStyle w:val="Heading2"/>
      </w:pPr>
      <w:bookmarkStart w:id="157" w:name="_Toc533164904"/>
      <w:bookmarkStart w:id="158" w:name="_Toc50599550"/>
      <w:bookmarkStart w:id="159" w:name="_Toc50599694"/>
      <w:bookmarkStart w:id="160" w:name="_Toc107783930"/>
      <w:bookmarkStart w:id="161" w:name="_Toc131177503"/>
      <w:r>
        <w:t>7.1</w:t>
      </w:r>
      <w:r>
        <w:tab/>
        <w:t>General</w:t>
      </w:r>
      <w:bookmarkEnd w:id="157"/>
      <w:bookmarkEnd w:id="158"/>
      <w:bookmarkEnd w:id="159"/>
      <w:bookmarkEnd w:id="160"/>
      <w:bookmarkEnd w:id="161"/>
    </w:p>
    <w:p w:rsidR="001C2225" w:rsidRDefault="001C2225" w:rsidP="001C2225">
      <w:pPr>
        <w:rPr>
          <w:noProof/>
          <w:lang w:val="en-US"/>
        </w:rPr>
      </w:pPr>
      <w:r>
        <w:rPr>
          <w:noProof/>
          <w:lang w:val="en-US"/>
        </w:rPr>
        <w:t xml:space="preserve">The following subclauses contain an overall evaluation of the solutions presented in this technical report, and their applicability to the identified key issues. </w:t>
      </w:r>
    </w:p>
    <w:p w:rsidR="001C2225" w:rsidRDefault="001C2225" w:rsidP="001C2225">
      <w:pPr>
        <w:pStyle w:val="B1"/>
        <w:rPr>
          <w:noProof/>
          <w:lang w:val="en-US"/>
        </w:rPr>
      </w:pPr>
      <w:r>
        <w:rPr>
          <w:noProof/>
          <w:lang w:val="en-US"/>
        </w:rPr>
        <w:t>-</w:t>
      </w:r>
      <w:r>
        <w:rPr>
          <w:noProof/>
          <w:lang w:val="en-US"/>
        </w:rPr>
        <w:tab/>
        <w:t>Clause 7.2 lists the solutions for the key issues including impact on other working groups that will need consideration.</w:t>
      </w:r>
    </w:p>
    <w:p w:rsidR="001C2225" w:rsidRDefault="001C2225" w:rsidP="001C2225">
      <w:pPr>
        <w:pStyle w:val="Heading2"/>
      </w:pPr>
      <w:bookmarkStart w:id="162" w:name="_Toc533164906"/>
      <w:bookmarkStart w:id="163" w:name="_Toc50599552"/>
      <w:bookmarkStart w:id="164" w:name="_Toc50599696"/>
      <w:bookmarkStart w:id="165" w:name="_Toc493027349"/>
      <w:bookmarkStart w:id="166" w:name="_Toc107783931"/>
      <w:bookmarkStart w:id="167" w:name="_Toc131177504"/>
      <w:r>
        <w:t>7.2</w:t>
      </w:r>
      <w:r>
        <w:tab/>
        <w:t>Key issue and solution evaluation</w:t>
      </w:r>
      <w:bookmarkEnd w:id="162"/>
      <w:bookmarkEnd w:id="163"/>
      <w:bookmarkEnd w:id="164"/>
      <w:bookmarkEnd w:id="165"/>
      <w:bookmarkEnd w:id="166"/>
      <w:bookmarkEnd w:id="167"/>
    </w:p>
    <w:p w:rsidR="001C2225" w:rsidRDefault="001C2225" w:rsidP="001C2225">
      <w:pPr>
        <w:rPr>
          <w:noProof/>
          <w:lang w:val="en-US"/>
        </w:rPr>
      </w:pPr>
      <w:r>
        <w:rPr>
          <w:noProof/>
          <w:lang w:val="en-US"/>
        </w:rPr>
        <w:t>All the key issues and solutions specified in this technical report are listed in table 7.2-1. It includes the mapping of the key issues (clause 4) to the solutions and corresponding solution evaluations. Also it lists the impact on other working groups that will need consideration during the Release 18 normative phase.</w:t>
      </w:r>
    </w:p>
    <w:p w:rsidR="001C2225" w:rsidRDefault="001C2225" w:rsidP="001C2225">
      <w:pPr>
        <w:pStyle w:val="TH"/>
        <w:rPr>
          <w:noProof/>
        </w:rPr>
      </w:pPr>
      <w:r>
        <w:rPr>
          <w:noProof/>
        </w:rPr>
        <w:t>Table 7.2-1: Key issue and solution evaluation</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2608"/>
        <w:gridCol w:w="3811"/>
        <w:gridCol w:w="1711"/>
        <w:gridCol w:w="1567"/>
      </w:tblGrid>
      <w:tr w:rsidR="001C2225" w:rsidTr="001C2225">
        <w:trPr>
          <w:cantSplit/>
          <w:tblHeader/>
          <w:jc w:val="center"/>
        </w:trPr>
        <w:tc>
          <w:tcPr>
            <w:tcW w:w="1345" w:type="pct"/>
            <w:tcBorders>
              <w:top w:val="single" w:sz="6" w:space="0" w:color="auto"/>
              <w:left w:val="single" w:sz="6" w:space="0" w:color="auto"/>
              <w:bottom w:val="single" w:sz="6" w:space="0" w:color="auto"/>
              <w:right w:val="single" w:sz="6" w:space="0" w:color="auto"/>
            </w:tcBorders>
            <w:hideMark/>
          </w:tcPr>
          <w:p w:rsidR="001C2225" w:rsidRDefault="001C2225">
            <w:pPr>
              <w:pStyle w:val="TAH"/>
            </w:pPr>
            <w:r>
              <w:t>Key issues</w:t>
            </w:r>
          </w:p>
        </w:tc>
        <w:tc>
          <w:tcPr>
            <w:tcW w:w="1965" w:type="pct"/>
            <w:tcBorders>
              <w:top w:val="single" w:sz="6" w:space="0" w:color="auto"/>
              <w:left w:val="single" w:sz="6" w:space="0" w:color="auto"/>
              <w:bottom w:val="single" w:sz="6" w:space="0" w:color="auto"/>
              <w:right w:val="single" w:sz="6" w:space="0" w:color="auto"/>
            </w:tcBorders>
            <w:hideMark/>
          </w:tcPr>
          <w:p w:rsidR="001C2225" w:rsidRDefault="001C2225">
            <w:pPr>
              <w:pStyle w:val="TAH"/>
            </w:pPr>
            <w:r>
              <w:t>Solution</w:t>
            </w:r>
          </w:p>
        </w:tc>
        <w:tc>
          <w:tcPr>
            <w:tcW w:w="882" w:type="pct"/>
            <w:tcBorders>
              <w:top w:val="single" w:sz="6" w:space="0" w:color="auto"/>
              <w:left w:val="single" w:sz="6" w:space="0" w:color="auto"/>
              <w:bottom w:val="single" w:sz="6" w:space="0" w:color="auto"/>
              <w:right w:val="single" w:sz="6" w:space="0" w:color="auto"/>
            </w:tcBorders>
            <w:hideMark/>
          </w:tcPr>
          <w:p w:rsidR="001C2225" w:rsidRDefault="001C2225">
            <w:pPr>
              <w:pStyle w:val="TAH"/>
            </w:pPr>
            <w:r>
              <w:t>Evaluation</w:t>
            </w:r>
          </w:p>
          <w:p w:rsidR="001C2225" w:rsidRDefault="001C2225">
            <w:pPr>
              <w:pStyle w:val="TAH"/>
            </w:pPr>
            <w:r>
              <w:t>(subclause reference)</w:t>
            </w:r>
          </w:p>
        </w:tc>
        <w:tc>
          <w:tcPr>
            <w:tcW w:w="808" w:type="pct"/>
            <w:tcBorders>
              <w:top w:val="single" w:sz="6" w:space="0" w:color="auto"/>
              <w:left w:val="single" w:sz="6" w:space="0" w:color="auto"/>
              <w:bottom w:val="single" w:sz="6" w:space="0" w:color="auto"/>
              <w:right w:val="single" w:sz="6" w:space="0" w:color="auto"/>
            </w:tcBorders>
            <w:hideMark/>
          </w:tcPr>
          <w:p w:rsidR="001C2225" w:rsidRDefault="001C2225">
            <w:pPr>
              <w:pStyle w:val="TAH"/>
            </w:pPr>
            <w:r>
              <w:t>Dependency on other working groups</w:t>
            </w:r>
          </w:p>
        </w:tc>
      </w:tr>
      <w:tr w:rsidR="001C2225" w:rsidTr="001C2225">
        <w:trPr>
          <w:cantSplit/>
          <w:jc w:val="center"/>
        </w:trPr>
        <w:tc>
          <w:tcPr>
            <w:tcW w:w="1345" w:type="pct"/>
            <w:vMerge w:val="restart"/>
            <w:tcBorders>
              <w:top w:val="single" w:sz="6" w:space="0" w:color="auto"/>
              <w:left w:val="single" w:sz="6" w:space="0" w:color="auto"/>
              <w:bottom w:val="single" w:sz="6" w:space="0" w:color="auto"/>
              <w:right w:val="single" w:sz="6" w:space="0" w:color="auto"/>
            </w:tcBorders>
            <w:hideMark/>
          </w:tcPr>
          <w:p w:rsidR="001C2225" w:rsidRDefault="001C2225">
            <w:pPr>
              <w:pStyle w:val="TAL"/>
            </w:pPr>
            <w:r>
              <w:t>Key issue #1 – Support for high risk VRU zones</w:t>
            </w:r>
          </w:p>
        </w:tc>
        <w:tc>
          <w:tcPr>
            <w:tcW w:w="1965" w:type="pct"/>
            <w:tcBorders>
              <w:top w:val="single" w:sz="6" w:space="0" w:color="auto"/>
              <w:left w:val="single" w:sz="6" w:space="0" w:color="auto"/>
              <w:bottom w:val="single" w:sz="6" w:space="0" w:color="auto"/>
              <w:right w:val="single" w:sz="6" w:space="0" w:color="auto"/>
            </w:tcBorders>
            <w:hideMark/>
          </w:tcPr>
          <w:p w:rsidR="001C2225" w:rsidRDefault="001C2225">
            <w:pPr>
              <w:pStyle w:val="TAL"/>
            </w:pPr>
            <w:r>
              <w:rPr>
                <w:lang w:val="en-US"/>
              </w:rPr>
              <w:t>Solution #2 - Support for VRU zone configuration and operation</w:t>
            </w:r>
          </w:p>
        </w:tc>
        <w:tc>
          <w:tcPr>
            <w:tcW w:w="882" w:type="pct"/>
            <w:tcBorders>
              <w:top w:val="single" w:sz="6" w:space="0" w:color="auto"/>
              <w:left w:val="single" w:sz="6" w:space="0" w:color="auto"/>
              <w:bottom w:val="single" w:sz="6" w:space="0" w:color="auto"/>
              <w:right w:val="single" w:sz="6" w:space="0" w:color="auto"/>
            </w:tcBorders>
          </w:tcPr>
          <w:p w:rsidR="001C2225" w:rsidRDefault="00B107FD" w:rsidP="006F59B1">
            <w:pPr>
              <w:pStyle w:val="TAL"/>
            </w:pPr>
            <w:r>
              <w:t>Clause 6.</w:t>
            </w:r>
            <w:r w:rsidR="006F59B1">
              <w:t>2</w:t>
            </w:r>
            <w:r>
              <w:t>.2</w:t>
            </w:r>
          </w:p>
        </w:tc>
        <w:tc>
          <w:tcPr>
            <w:tcW w:w="808" w:type="pct"/>
            <w:tcBorders>
              <w:top w:val="single" w:sz="6" w:space="0" w:color="auto"/>
              <w:left w:val="single" w:sz="6" w:space="0" w:color="auto"/>
              <w:bottom w:val="single" w:sz="6" w:space="0" w:color="auto"/>
              <w:right w:val="single" w:sz="6" w:space="0" w:color="auto"/>
            </w:tcBorders>
            <w:hideMark/>
          </w:tcPr>
          <w:p w:rsidR="001C2225" w:rsidRDefault="00B107FD">
            <w:pPr>
              <w:pStyle w:val="TAL"/>
            </w:pPr>
            <w:r>
              <w:t>SA2, RAN2</w:t>
            </w:r>
          </w:p>
        </w:tc>
      </w:tr>
      <w:tr w:rsidR="001C2225" w:rsidTr="00402615">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1C2225" w:rsidRDefault="001C2225">
            <w:pPr>
              <w:spacing w:after="0"/>
              <w:rPr>
                <w:rFonts w:ascii="Arial" w:hAnsi="Arial"/>
                <w:sz w:val="18"/>
              </w:rPr>
            </w:pPr>
          </w:p>
        </w:tc>
        <w:tc>
          <w:tcPr>
            <w:tcW w:w="1965" w:type="pct"/>
            <w:tcBorders>
              <w:top w:val="single" w:sz="6" w:space="0" w:color="auto"/>
              <w:left w:val="single" w:sz="6" w:space="0" w:color="auto"/>
              <w:bottom w:val="single" w:sz="6" w:space="0" w:color="auto"/>
              <w:right w:val="single" w:sz="6" w:space="0" w:color="auto"/>
            </w:tcBorders>
            <w:hideMark/>
          </w:tcPr>
          <w:p w:rsidR="001C2225" w:rsidRDefault="001C2225">
            <w:pPr>
              <w:pStyle w:val="TAL"/>
              <w:rPr>
                <w:lang w:val="en-US"/>
              </w:rPr>
            </w:pPr>
            <w:r>
              <w:rPr>
                <w:lang w:val="en-US"/>
              </w:rPr>
              <w:t>Solution #4 - UE initiated request for VRU zones</w:t>
            </w:r>
          </w:p>
        </w:tc>
        <w:tc>
          <w:tcPr>
            <w:tcW w:w="882" w:type="pct"/>
            <w:tcBorders>
              <w:top w:val="single" w:sz="6" w:space="0" w:color="auto"/>
              <w:left w:val="single" w:sz="6" w:space="0" w:color="auto"/>
              <w:bottom w:val="single" w:sz="6" w:space="0" w:color="auto"/>
              <w:right w:val="single" w:sz="6" w:space="0" w:color="auto"/>
            </w:tcBorders>
          </w:tcPr>
          <w:p w:rsidR="001C2225" w:rsidRDefault="006F59B1" w:rsidP="006F59B1">
            <w:pPr>
              <w:pStyle w:val="TAL"/>
            </w:pPr>
            <w:r>
              <w:t>Clause 6.4.2</w:t>
            </w:r>
          </w:p>
        </w:tc>
        <w:tc>
          <w:tcPr>
            <w:tcW w:w="808" w:type="pct"/>
            <w:tcBorders>
              <w:top w:val="single" w:sz="6" w:space="0" w:color="auto"/>
              <w:left w:val="single" w:sz="6" w:space="0" w:color="auto"/>
              <w:bottom w:val="single" w:sz="6" w:space="0" w:color="auto"/>
              <w:right w:val="single" w:sz="6" w:space="0" w:color="auto"/>
            </w:tcBorders>
            <w:hideMark/>
          </w:tcPr>
          <w:p w:rsidR="001C2225" w:rsidRDefault="001C2225">
            <w:pPr>
              <w:pStyle w:val="TAL"/>
            </w:pPr>
            <w:r>
              <w:t>-</w:t>
            </w:r>
          </w:p>
        </w:tc>
      </w:tr>
      <w:tr w:rsidR="006F59B1" w:rsidTr="000A25E4">
        <w:trPr>
          <w:cantSplit/>
          <w:jc w:val="center"/>
        </w:trPr>
        <w:tc>
          <w:tcPr>
            <w:tcW w:w="1345" w:type="pct"/>
            <w:vMerge w:val="restart"/>
            <w:tcBorders>
              <w:top w:val="single" w:sz="6" w:space="0" w:color="auto"/>
              <w:left w:val="single" w:sz="6" w:space="0" w:color="auto"/>
              <w:right w:val="single" w:sz="6" w:space="0" w:color="auto"/>
            </w:tcBorders>
            <w:hideMark/>
          </w:tcPr>
          <w:p w:rsidR="006F59B1" w:rsidRDefault="006F59B1">
            <w:pPr>
              <w:pStyle w:val="TAL"/>
            </w:pPr>
            <w:r>
              <w:t>Key issue #2 – Support for V2P communications</w:t>
            </w:r>
          </w:p>
        </w:tc>
        <w:tc>
          <w:tcPr>
            <w:tcW w:w="1965" w:type="pct"/>
            <w:tcBorders>
              <w:top w:val="single" w:sz="6" w:space="0" w:color="auto"/>
              <w:left w:val="single" w:sz="6" w:space="0" w:color="auto"/>
              <w:bottom w:val="single" w:sz="6" w:space="0" w:color="auto"/>
              <w:right w:val="single" w:sz="6" w:space="0" w:color="auto"/>
            </w:tcBorders>
            <w:hideMark/>
          </w:tcPr>
          <w:p w:rsidR="006F59B1" w:rsidRDefault="006F59B1">
            <w:pPr>
              <w:pStyle w:val="TAL"/>
            </w:pPr>
            <w:r>
              <w:rPr>
                <w:lang w:val="fr-FR"/>
              </w:rPr>
              <w:t xml:space="preserve">Solution #1 - VAE support for Energy Efficient V2P communications </w:t>
            </w:r>
          </w:p>
        </w:tc>
        <w:tc>
          <w:tcPr>
            <w:tcW w:w="882" w:type="pct"/>
            <w:tcBorders>
              <w:top w:val="single" w:sz="6" w:space="0" w:color="auto"/>
              <w:left w:val="single" w:sz="6" w:space="0" w:color="auto"/>
              <w:bottom w:val="single" w:sz="6" w:space="0" w:color="auto"/>
              <w:right w:val="single" w:sz="6" w:space="0" w:color="auto"/>
            </w:tcBorders>
          </w:tcPr>
          <w:p w:rsidR="006F59B1" w:rsidRDefault="006F59B1" w:rsidP="006F59B1">
            <w:pPr>
              <w:pStyle w:val="TAL"/>
            </w:pPr>
            <w:r>
              <w:t>Clause 6.1.2</w:t>
            </w:r>
          </w:p>
        </w:tc>
        <w:tc>
          <w:tcPr>
            <w:tcW w:w="808" w:type="pct"/>
            <w:tcBorders>
              <w:top w:val="single" w:sz="6" w:space="0" w:color="auto"/>
              <w:left w:val="single" w:sz="6" w:space="0" w:color="auto"/>
              <w:bottom w:val="single" w:sz="6" w:space="0" w:color="auto"/>
              <w:right w:val="single" w:sz="6" w:space="0" w:color="auto"/>
            </w:tcBorders>
            <w:hideMark/>
          </w:tcPr>
          <w:p w:rsidR="006F59B1" w:rsidRDefault="006F59B1">
            <w:pPr>
              <w:pStyle w:val="TAL"/>
            </w:pPr>
            <w:r>
              <w:t>-</w:t>
            </w:r>
          </w:p>
        </w:tc>
      </w:tr>
      <w:tr w:rsidR="006F59B1" w:rsidTr="000A25E4">
        <w:trPr>
          <w:cantSplit/>
          <w:jc w:val="center"/>
        </w:trPr>
        <w:tc>
          <w:tcPr>
            <w:tcW w:w="1345" w:type="pct"/>
            <w:vMerge/>
            <w:tcBorders>
              <w:left w:val="single" w:sz="6" w:space="0" w:color="auto"/>
              <w:bottom w:val="single" w:sz="6" w:space="0" w:color="auto"/>
              <w:right w:val="single" w:sz="6" w:space="0" w:color="auto"/>
            </w:tcBorders>
          </w:tcPr>
          <w:p w:rsidR="006F59B1" w:rsidRDefault="006F59B1" w:rsidP="006F59B1">
            <w:pPr>
              <w:pStyle w:val="TAL"/>
            </w:pPr>
          </w:p>
        </w:tc>
        <w:tc>
          <w:tcPr>
            <w:tcW w:w="1965" w:type="pct"/>
            <w:tcBorders>
              <w:top w:val="single" w:sz="6" w:space="0" w:color="auto"/>
              <w:left w:val="single" w:sz="6" w:space="0" w:color="auto"/>
              <w:bottom w:val="single" w:sz="6" w:space="0" w:color="auto"/>
              <w:right w:val="single" w:sz="6" w:space="0" w:color="auto"/>
            </w:tcBorders>
          </w:tcPr>
          <w:p w:rsidR="006F59B1" w:rsidRDefault="006F59B1" w:rsidP="006F59B1">
            <w:pPr>
              <w:pStyle w:val="TAL"/>
              <w:rPr>
                <w:lang w:val="fr-FR"/>
              </w:rPr>
            </w:pPr>
            <w:r>
              <w:rPr>
                <w:lang w:val="en-US"/>
              </w:rPr>
              <w:t>Solution #4 - UE initiated request for VRU zones</w:t>
            </w:r>
          </w:p>
        </w:tc>
        <w:tc>
          <w:tcPr>
            <w:tcW w:w="882" w:type="pct"/>
            <w:tcBorders>
              <w:top w:val="single" w:sz="6" w:space="0" w:color="auto"/>
              <w:left w:val="single" w:sz="6" w:space="0" w:color="auto"/>
              <w:bottom w:val="single" w:sz="6" w:space="0" w:color="auto"/>
              <w:right w:val="single" w:sz="6" w:space="0" w:color="auto"/>
            </w:tcBorders>
          </w:tcPr>
          <w:p w:rsidR="006F59B1" w:rsidRDefault="006F59B1" w:rsidP="006F59B1">
            <w:pPr>
              <w:pStyle w:val="TAL"/>
            </w:pPr>
            <w:r>
              <w:t>Clause 6.4.2</w:t>
            </w:r>
          </w:p>
        </w:tc>
        <w:tc>
          <w:tcPr>
            <w:tcW w:w="808" w:type="pct"/>
            <w:tcBorders>
              <w:top w:val="single" w:sz="6" w:space="0" w:color="auto"/>
              <w:left w:val="single" w:sz="6" w:space="0" w:color="auto"/>
              <w:bottom w:val="single" w:sz="6" w:space="0" w:color="auto"/>
              <w:right w:val="single" w:sz="6" w:space="0" w:color="auto"/>
            </w:tcBorders>
          </w:tcPr>
          <w:p w:rsidR="006F59B1" w:rsidRDefault="006F59B1" w:rsidP="006F59B1">
            <w:pPr>
              <w:pStyle w:val="TAL"/>
            </w:pPr>
            <w:r>
              <w:t>-</w:t>
            </w:r>
          </w:p>
        </w:tc>
      </w:tr>
      <w:tr w:rsidR="001C2225" w:rsidTr="00402615">
        <w:trPr>
          <w:cantSplit/>
          <w:jc w:val="center"/>
        </w:trPr>
        <w:tc>
          <w:tcPr>
            <w:tcW w:w="1345" w:type="pct"/>
            <w:tcBorders>
              <w:top w:val="single" w:sz="6" w:space="0" w:color="auto"/>
              <w:left w:val="single" w:sz="6" w:space="0" w:color="auto"/>
              <w:bottom w:val="single" w:sz="6" w:space="0" w:color="auto"/>
              <w:right w:val="single" w:sz="6" w:space="0" w:color="auto"/>
            </w:tcBorders>
            <w:hideMark/>
          </w:tcPr>
          <w:p w:rsidR="001C2225" w:rsidRDefault="001C2225">
            <w:pPr>
              <w:pStyle w:val="TAL"/>
            </w:pPr>
            <w:r>
              <w:t>Key issue #3 – V2X service deployment in edge data network</w:t>
            </w:r>
          </w:p>
        </w:tc>
        <w:tc>
          <w:tcPr>
            <w:tcW w:w="1965" w:type="pct"/>
            <w:tcBorders>
              <w:top w:val="single" w:sz="6" w:space="0" w:color="auto"/>
              <w:left w:val="single" w:sz="6" w:space="0" w:color="auto"/>
              <w:bottom w:val="single" w:sz="6" w:space="0" w:color="auto"/>
              <w:right w:val="single" w:sz="6" w:space="0" w:color="auto"/>
            </w:tcBorders>
            <w:hideMark/>
          </w:tcPr>
          <w:p w:rsidR="001C2225" w:rsidRDefault="001C2225">
            <w:pPr>
              <w:pStyle w:val="TAL"/>
            </w:pPr>
            <w:r>
              <w:rPr>
                <w:rFonts w:eastAsia="SimSun"/>
                <w:lang w:val="en-IN"/>
              </w:rPr>
              <w:t xml:space="preserve">Solution #3 - </w:t>
            </w:r>
            <w:r>
              <w:rPr>
                <w:rFonts w:eastAsia="SimSun"/>
                <w:lang w:eastAsia="zh-CN"/>
              </w:rPr>
              <w:t>Deployment of V2X application layer with Edge Enabler Layer</w:t>
            </w:r>
          </w:p>
        </w:tc>
        <w:tc>
          <w:tcPr>
            <w:tcW w:w="882" w:type="pct"/>
            <w:tcBorders>
              <w:top w:val="single" w:sz="6" w:space="0" w:color="auto"/>
              <w:left w:val="single" w:sz="6" w:space="0" w:color="auto"/>
              <w:bottom w:val="single" w:sz="6" w:space="0" w:color="auto"/>
              <w:right w:val="single" w:sz="6" w:space="0" w:color="auto"/>
            </w:tcBorders>
            <w:hideMark/>
          </w:tcPr>
          <w:p w:rsidR="001C2225" w:rsidRDefault="001C2225">
            <w:pPr>
              <w:pStyle w:val="TAL"/>
            </w:pPr>
            <w:r>
              <w:t>Clause 6.3.2</w:t>
            </w:r>
          </w:p>
        </w:tc>
        <w:tc>
          <w:tcPr>
            <w:tcW w:w="808" w:type="pct"/>
            <w:tcBorders>
              <w:top w:val="single" w:sz="6" w:space="0" w:color="auto"/>
              <w:left w:val="single" w:sz="6" w:space="0" w:color="auto"/>
              <w:bottom w:val="single" w:sz="6" w:space="0" w:color="auto"/>
              <w:right w:val="single" w:sz="6" w:space="0" w:color="auto"/>
            </w:tcBorders>
            <w:hideMark/>
          </w:tcPr>
          <w:p w:rsidR="001C2225" w:rsidRDefault="001C2225">
            <w:pPr>
              <w:pStyle w:val="TAL"/>
            </w:pPr>
            <w:r>
              <w:t>-</w:t>
            </w:r>
          </w:p>
        </w:tc>
      </w:tr>
      <w:tr w:rsidR="001C2225" w:rsidTr="00402615">
        <w:trPr>
          <w:cantSplit/>
          <w:jc w:val="center"/>
        </w:trPr>
        <w:tc>
          <w:tcPr>
            <w:tcW w:w="1345" w:type="pct"/>
            <w:tcBorders>
              <w:top w:val="single" w:sz="6" w:space="0" w:color="auto"/>
              <w:left w:val="single" w:sz="6" w:space="0" w:color="auto"/>
              <w:bottom w:val="single" w:sz="6" w:space="0" w:color="auto"/>
              <w:right w:val="single" w:sz="6" w:space="0" w:color="auto"/>
            </w:tcBorders>
            <w:hideMark/>
          </w:tcPr>
          <w:p w:rsidR="001C2225" w:rsidRDefault="001C2225">
            <w:pPr>
              <w:pStyle w:val="TAL"/>
            </w:pPr>
            <w:r>
              <w:t>Key issue #4 – Enhancement to support non-simultaneous multiple service providers control for advanced V2X services</w:t>
            </w:r>
          </w:p>
        </w:tc>
        <w:tc>
          <w:tcPr>
            <w:tcW w:w="1965" w:type="pct"/>
            <w:tcBorders>
              <w:top w:val="single" w:sz="6" w:space="0" w:color="auto"/>
              <w:left w:val="single" w:sz="6" w:space="0" w:color="auto"/>
              <w:bottom w:val="single" w:sz="6" w:space="0" w:color="auto"/>
              <w:right w:val="single" w:sz="6" w:space="0" w:color="auto"/>
            </w:tcBorders>
          </w:tcPr>
          <w:p w:rsidR="001C2225" w:rsidRDefault="006F59B1">
            <w:pPr>
              <w:pStyle w:val="TAL"/>
            </w:pPr>
            <w:r>
              <w:t>-</w:t>
            </w:r>
          </w:p>
        </w:tc>
        <w:tc>
          <w:tcPr>
            <w:tcW w:w="882" w:type="pct"/>
            <w:tcBorders>
              <w:top w:val="single" w:sz="6" w:space="0" w:color="auto"/>
              <w:left w:val="single" w:sz="6" w:space="0" w:color="auto"/>
              <w:bottom w:val="single" w:sz="6" w:space="0" w:color="auto"/>
              <w:right w:val="single" w:sz="6" w:space="0" w:color="auto"/>
            </w:tcBorders>
          </w:tcPr>
          <w:p w:rsidR="001C2225" w:rsidRDefault="006F59B1">
            <w:pPr>
              <w:pStyle w:val="TAL"/>
            </w:pPr>
            <w:r>
              <w:t>-</w:t>
            </w:r>
          </w:p>
        </w:tc>
        <w:tc>
          <w:tcPr>
            <w:tcW w:w="808" w:type="pct"/>
            <w:tcBorders>
              <w:top w:val="single" w:sz="6" w:space="0" w:color="auto"/>
              <w:left w:val="single" w:sz="6" w:space="0" w:color="auto"/>
              <w:bottom w:val="single" w:sz="6" w:space="0" w:color="auto"/>
              <w:right w:val="single" w:sz="6" w:space="0" w:color="auto"/>
            </w:tcBorders>
            <w:hideMark/>
          </w:tcPr>
          <w:p w:rsidR="001C2225" w:rsidRDefault="001C2225">
            <w:pPr>
              <w:pStyle w:val="TAL"/>
            </w:pPr>
            <w:r>
              <w:t>-</w:t>
            </w:r>
          </w:p>
        </w:tc>
      </w:tr>
      <w:tr w:rsidR="006F59B1" w:rsidTr="00402615">
        <w:trPr>
          <w:cantSplit/>
          <w:jc w:val="center"/>
        </w:trPr>
        <w:tc>
          <w:tcPr>
            <w:tcW w:w="1345" w:type="pct"/>
            <w:tcBorders>
              <w:top w:val="single" w:sz="6" w:space="0" w:color="auto"/>
              <w:left w:val="single" w:sz="6" w:space="0" w:color="auto"/>
              <w:bottom w:val="single" w:sz="6" w:space="0" w:color="auto"/>
              <w:right w:val="single" w:sz="6" w:space="0" w:color="auto"/>
            </w:tcBorders>
            <w:hideMark/>
          </w:tcPr>
          <w:p w:rsidR="006F59B1" w:rsidRDefault="006F59B1" w:rsidP="006F59B1">
            <w:pPr>
              <w:pStyle w:val="TAL"/>
            </w:pPr>
            <w:r>
              <w:t>Key issue #5 – Usage of network analytics</w:t>
            </w:r>
          </w:p>
        </w:tc>
        <w:tc>
          <w:tcPr>
            <w:tcW w:w="1965" w:type="pct"/>
            <w:tcBorders>
              <w:top w:val="single" w:sz="6" w:space="0" w:color="auto"/>
              <w:left w:val="single" w:sz="6" w:space="0" w:color="auto"/>
              <w:bottom w:val="single" w:sz="6" w:space="0" w:color="auto"/>
              <w:right w:val="single" w:sz="6" w:space="0" w:color="auto"/>
            </w:tcBorders>
          </w:tcPr>
          <w:p w:rsidR="006F59B1" w:rsidRDefault="006F59B1" w:rsidP="006F59B1">
            <w:pPr>
              <w:pStyle w:val="TAL"/>
            </w:pPr>
            <w:r>
              <w:rPr>
                <w:lang w:val="en-US"/>
              </w:rPr>
              <w:t xml:space="preserve">Solution #6 – </w:t>
            </w:r>
            <w:r>
              <w:t>Network situation enhanced with analytics</w:t>
            </w:r>
          </w:p>
        </w:tc>
        <w:tc>
          <w:tcPr>
            <w:tcW w:w="882" w:type="pct"/>
            <w:tcBorders>
              <w:top w:val="single" w:sz="6" w:space="0" w:color="auto"/>
              <w:left w:val="single" w:sz="6" w:space="0" w:color="auto"/>
              <w:bottom w:val="single" w:sz="6" w:space="0" w:color="auto"/>
              <w:right w:val="single" w:sz="6" w:space="0" w:color="auto"/>
            </w:tcBorders>
          </w:tcPr>
          <w:p w:rsidR="006F59B1" w:rsidRDefault="006F59B1" w:rsidP="006F59B1">
            <w:pPr>
              <w:pStyle w:val="TAL"/>
            </w:pPr>
            <w:r>
              <w:t>Clause 6.6.2</w:t>
            </w:r>
          </w:p>
        </w:tc>
        <w:tc>
          <w:tcPr>
            <w:tcW w:w="808" w:type="pct"/>
            <w:tcBorders>
              <w:top w:val="single" w:sz="6" w:space="0" w:color="auto"/>
              <w:left w:val="single" w:sz="6" w:space="0" w:color="auto"/>
              <w:bottom w:val="single" w:sz="6" w:space="0" w:color="auto"/>
              <w:right w:val="single" w:sz="6" w:space="0" w:color="auto"/>
            </w:tcBorders>
            <w:hideMark/>
          </w:tcPr>
          <w:p w:rsidR="006F59B1" w:rsidRDefault="006F59B1" w:rsidP="006F59B1">
            <w:pPr>
              <w:pStyle w:val="TAL"/>
            </w:pPr>
            <w:r>
              <w:t>-</w:t>
            </w:r>
          </w:p>
        </w:tc>
      </w:tr>
      <w:tr w:rsidR="001C2225" w:rsidTr="00402615">
        <w:trPr>
          <w:cantSplit/>
          <w:jc w:val="center"/>
        </w:trPr>
        <w:tc>
          <w:tcPr>
            <w:tcW w:w="1345" w:type="pct"/>
            <w:tcBorders>
              <w:top w:val="single" w:sz="6" w:space="0" w:color="auto"/>
              <w:left w:val="single" w:sz="6" w:space="0" w:color="auto"/>
              <w:bottom w:val="single" w:sz="6" w:space="0" w:color="auto"/>
              <w:right w:val="single" w:sz="6" w:space="0" w:color="auto"/>
            </w:tcBorders>
            <w:hideMark/>
          </w:tcPr>
          <w:p w:rsidR="001C2225" w:rsidRDefault="001C2225" w:rsidP="00B8792C">
            <w:pPr>
              <w:pStyle w:val="TAL"/>
            </w:pPr>
            <w:r>
              <w:t>Key issue #</w:t>
            </w:r>
            <w:r w:rsidR="00B8792C">
              <w:t>6</w:t>
            </w:r>
            <w:r>
              <w:t xml:space="preserve"> – Enhanced network monitoring to support advanced V2X services</w:t>
            </w:r>
          </w:p>
        </w:tc>
        <w:tc>
          <w:tcPr>
            <w:tcW w:w="1965" w:type="pct"/>
            <w:tcBorders>
              <w:top w:val="single" w:sz="6" w:space="0" w:color="auto"/>
              <w:left w:val="single" w:sz="6" w:space="0" w:color="auto"/>
              <w:bottom w:val="single" w:sz="6" w:space="0" w:color="auto"/>
              <w:right w:val="single" w:sz="6" w:space="0" w:color="auto"/>
            </w:tcBorders>
            <w:hideMark/>
          </w:tcPr>
          <w:p w:rsidR="001C2225" w:rsidRDefault="001C2225" w:rsidP="00B8792C">
            <w:pPr>
              <w:pStyle w:val="TAL"/>
            </w:pPr>
            <w:r>
              <w:rPr>
                <w:lang w:val="en-US"/>
              </w:rPr>
              <w:t>Solution #</w:t>
            </w:r>
            <w:r w:rsidR="00B8792C">
              <w:rPr>
                <w:lang w:val="en-US"/>
              </w:rPr>
              <w:t>5</w:t>
            </w:r>
            <w:r>
              <w:rPr>
                <w:lang w:val="en-US"/>
              </w:rPr>
              <w:t xml:space="preserve">: </w:t>
            </w:r>
            <w:r>
              <w:t>Enhanced network monitoring</w:t>
            </w:r>
          </w:p>
        </w:tc>
        <w:tc>
          <w:tcPr>
            <w:tcW w:w="882" w:type="pct"/>
            <w:tcBorders>
              <w:top w:val="single" w:sz="6" w:space="0" w:color="auto"/>
              <w:left w:val="single" w:sz="6" w:space="0" w:color="auto"/>
              <w:bottom w:val="single" w:sz="6" w:space="0" w:color="auto"/>
              <w:right w:val="single" w:sz="6" w:space="0" w:color="auto"/>
            </w:tcBorders>
            <w:hideMark/>
          </w:tcPr>
          <w:p w:rsidR="001C2225" w:rsidRDefault="001C2225" w:rsidP="00B8792C">
            <w:pPr>
              <w:pStyle w:val="TAL"/>
            </w:pPr>
            <w:r>
              <w:t>Clause 6.</w:t>
            </w:r>
            <w:r w:rsidR="00B8792C">
              <w:t>5</w:t>
            </w:r>
            <w:r>
              <w:t>.2</w:t>
            </w:r>
          </w:p>
        </w:tc>
        <w:tc>
          <w:tcPr>
            <w:tcW w:w="808" w:type="pct"/>
            <w:tcBorders>
              <w:top w:val="single" w:sz="6" w:space="0" w:color="auto"/>
              <w:left w:val="single" w:sz="6" w:space="0" w:color="auto"/>
              <w:bottom w:val="single" w:sz="6" w:space="0" w:color="auto"/>
              <w:right w:val="single" w:sz="6" w:space="0" w:color="auto"/>
            </w:tcBorders>
            <w:hideMark/>
          </w:tcPr>
          <w:p w:rsidR="001C2225" w:rsidRDefault="001C2225">
            <w:pPr>
              <w:pStyle w:val="TAL"/>
            </w:pPr>
            <w:r>
              <w:t>-</w:t>
            </w:r>
          </w:p>
        </w:tc>
      </w:tr>
    </w:tbl>
    <w:p w:rsidR="001C2225" w:rsidRDefault="001C2225" w:rsidP="001C2225">
      <w:pPr>
        <w:rPr>
          <w:noProof/>
          <w:lang w:val="en-US"/>
        </w:rPr>
      </w:pPr>
    </w:p>
    <w:p w:rsidR="001C2225" w:rsidRDefault="001C2225" w:rsidP="001C2225">
      <w:pPr>
        <w:pStyle w:val="Heading2"/>
      </w:pPr>
      <w:bookmarkStart w:id="168" w:name="_Toc107783932"/>
      <w:bookmarkStart w:id="169" w:name="_Toc131177505"/>
      <w:r>
        <w:t>7.3</w:t>
      </w:r>
      <w:r>
        <w:tab/>
        <w:t>Overall evaluation of key issue#1</w:t>
      </w:r>
      <w:bookmarkEnd w:id="168"/>
      <w:bookmarkEnd w:id="169"/>
    </w:p>
    <w:p w:rsidR="00B107FD" w:rsidRDefault="00B107FD" w:rsidP="00B107FD">
      <w:r>
        <w:t>Key issue#1 on support for high risk VRU zones discussed the following open issues:</w:t>
      </w:r>
    </w:p>
    <w:p w:rsidR="00B107FD" w:rsidRDefault="00B107FD" w:rsidP="00B107FD">
      <w:pPr>
        <w:pStyle w:val="B1"/>
      </w:pPr>
      <w:r>
        <w:t>a.</w:t>
      </w:r>
      <w:r>
        <w:tab/>
        <w:t>Whether and how to enhance VAE layer capabilities to support configuring the communication parameters for the zones.</w:t>
      </w:r>
    </w:p>
    <w:p w:rsidR="00B107FD" w:rsidRDefault="00B107FD" w:rsidP="00B107FD">
      <w:pPr>
        <w:pStyle w:val="B1"/>
      </w:pPr>
      <w:r>
        <w:t>b.</w:t>
      </w:r>
      <w:r>
        <w:tab/>
        <w:t>Whether and how to enhance VAE layer capabilities to translate the zone configurations to network requirements and zone specific provisioning parameters.</w:t>
      </w:r>
    </w:p>
    <w:p w:rsidR="00B107FD" w:rsidRDefault="00B107FD" w:rsidP="00B107FD">
      <w:pPr>
        <w:pStyle w:val="B1"/>
      </w:pPr>
      <w:r>
        <w:t>c.</w:t>
      </w:r>
      <w:r>
        <w:tab/>
        <w:t>Whether and how to assist the provisioning of zone specific parameters to the devices which can be potential VRUs and V2X-UEs.</w:t>
      </w:r>
    </w:p>
    <w:p w:rsidR="00B107FD" w:rsidRDefault="00B107FD" w:rsidP="00B107FD">
      <w:r>
        <w:t xml:space="preserve">Solution#2 provides a solution for network initiated VRU zone configuration and operation. It addresses the open issues in a, b and c. </w:t>
      </w:r>
    </w:p>
    <w:p w:rsidR="00B107FD" w:rsidRDefault="00B107FD" w:rsidP="00B107FD">
      <w:r>
        <w:t>Solution#4 provides a solution for UE initiated configuration and operation</w:t>
      </w:r>
      <w:r w:rsidR="00FD628A" w:rsidRPr="00FD628A">
        <w:t xml:space="preserve"> of protection zones</w:t>
      </w:r>
      <w:r>
        <w:t>.</w:t>
      </w:r>
    </w:p>
    <w:p w:rsidR="001C2225" w:rsidRDefault="001C2225" w:rsidP="001C2225">
      <w:pPr>
        <w:pStyle w:val="Heading2"/>
      </w:pPr>
      <w:bookmarkStart w:id="170" w:name="_Toc107783933"/>
      <w:bookmarkStart w:id="171" w:name="_Toc131177506"/>
      <w:r>
        <w:t>7.4</w:t>
      </w:r>
      <w:r>
        <w:tab/>
        <w:t>Overall evaluation of key issue#2</w:t>
      </w:r>
      <w:bookmarkEnd w:id="170"/>
      <w:bookmarkEnd w:id="171"/>
    </w:p>
    <w:p w:rsidR="00B107FD" w:rsidRDefault="00B107FD" w:rsidP="00B107FD">
      <w:bookmarkStart w:id="172" w:name="_Toc107783934"/>
      <w:r>
        <w:t>Key issue#2 on support for V2P communications discussed the following open issues:</w:t>
      </w:r>
    </w:p>
    <w:p w:rsidR="00B107FD" w:rsidRPr="001F390D" w:rsidRDefault="00B107FD" w:rsidP="00FD2B94">
      <w:pPr>
        <w:pStyle w:val="B1"/>
      </w:pPr>
      <w:r w:rsidRPr="001F390D">
        <w:t>a.</w:t>
      </w:r>
      <w:r w:rsidRPr="001F390D">
        <w:tab/>
        <w:t>Whether and how the VAE layer can support the V2P communications considering the UE situation (e.g. low battery power, weak radio signals)?</w:t>
      </w:r>
    </w:p>
    <w:p w:rsidR="00B107FD" w:rsidRDefault="00B107FD" w:rsidP="00B107FD">
      <w:pPr>
        <w:pStyle w:val="B1"/>
        <w:rPr>
          <w:noProof/>
        </w:rPr>
      </w:pPr>
      <w:r>
        <w:rPr>
          <w:color w:val="1F497D"/>
          <w:lang w:val="en-US"/>
        </w:rPr>
        <w:t>b.</w:t>
      </w:r>
      <w:r>
        <w:rPr>
          <w:color w:val="1F497D"/>
          <w:lang w:val="en-US"/>
        </w:rPr>
        <w:tab/>
      </w:r>
      <w:r>
        <w:rPr>
          <w:noProof/>
        </w:rPr>
        <w:t xml:space="preserve">Whether and how the VAE layer can coordinate the alignment of the communication traffic patterns </w:t>
      </w:r>
      <w:r>
        <w:t>with the PC5 QoS setting and the AS layer configurations (e.g. DRX cycles)</w:t>
      </w:r>
      <w:r>
        <w:rPr>
          <w:noProof/>
        </w:rPr>
        <w:t>?</w:t>
      </w:r>
    </w:p>
    <w:p w:rsidR="00B107FD" w:rsidRDefault="00B107FD" w:rsidP="00B107FD">
      <w:pPr>
        <w:rPr>
          <w:noProof/>
        </w:rPr>
      </w:pPr>
      <w:r>
        <w:rPr>
          <w:noProof/>
        </w:rPr>
        <w:t>Solution#1 provides a solution for VAE support for energy efficicent V2P communications. It addresses the open issues in a and b. The solution#1 is dependent on SA2 and RAN2.</w:t>
      </w:r>
    </w:p>
    <w:p w:rsidR="001C2225" w:rsidRDefault="001C2225" w:rsidP="001C2225">
      <w:pPr>
        <w:pStyle w:val="Heading2"/>
      </w:pPr>
      <w:bookmarkStart w:id="173" w:name="_Toc131177507"/>
      <w:r>
        <w:t>7.5</w:t>
      </w:r>
      <w:r>
        <w:tab/>
        <w:t>Overall evaluation of key issue#3</w:t>
      </w:r>
      <w:bookmarkEnd w:id="172"/>
      <w:bookmarkEnd w:id="173"/>
    </w:p>
    <w:p w:rsidR="00B107FD" w:rsidRDefault="00B107FD" w:rsidP="00B107FD">
      <w:r>
        <w:t>Key issue#3 on V2X service deployment on edge data network discussed the following open issues:</w:t>
      </w:r>
    </w:p>
    <w:p w:rsidR="00B107FD" w:rsidRDefault="00B107FD" w:rsidP="00B107FD">
      <w:pPr>
        <w:pStyle w:val="B1"/>
        <w:rPr>
          <w:noProof/>
          <w:lang w:val="en-US"/>
        </w:rPr>
      </w:pPr>
      <w:r>
        <w:rPr>
          <w:noProof/>
          <w:lang w:val="en-US"/>
        </w:rPr>
        <w:t>a.</w:t>
      </w:r>
      <w:r>
        <w:rPr>
          <w:noProof/>
          <w:lang w:val="en-US"/>
        </w:rPr>
        <w:tab/>
        <w:t>Whether and how V2X application architecture supports the edge enabler architecture specified in 3GPP TS 23.558 </w:t>
      </w:r>
      <w:r w:rsidR="00474646">
        <w:rPr>
          <w:noProof/>
          <w:lang w:val="en-US"/>
        </w:rPr>
        <w:t>[11]</w:t>
      </w:r>
      <w:r>
        <w:rPr>
          <w:noProof/>
          <w:lang w:val="en-US"/>
        </w:rPr>
        <w:t>.</w:t>
      </w:r>
    </w:p>
    <w:p w:rsidR="00B107FD" w:rsidRDefault="00B107FD" w:rsidP="00B107FD">
      <w:pPr>
        <w:pStyle w:val="B1"/>
        <w:rPr>
          <w:noProof/>
          <w:lang w:val="en-US"/>
        </w:rPr>
      </w:pPr>
      <w:r>
        <w:rPr>
          <w:noProof/>
          <w:lang w:val="en-US"/>
        </w:rPr>
        <w:t>b.</w:t>
      </w:r>
      <w:r>
        <w:rPr>
          <w:noProof/>
          <w:lang w:val="en-US"/>
        </w:rPr>
        <w:tab/>
        <w:t>Investigate the the impact on V2X enabler services for edge deployments.</w:t>
      </w:r>
    </w:p>
    <w:p w:rsidR="001C2225" w:rsidRDefault="001C2225" w:rsidP="001C2225">
      <w:r>
        <w:t xml:space="preserve">Solution#3 addresses the </w:t>
      </w:r>
      <w:r w:rsidR="00B107FD">
        <w:t xml:space="preserve">open issue a of </w:t>
      </w:r>
      <w:r>
        <w:t>key issue#3 which further enables the V2X service deployments to utilize edge enabler layer for V2X service deployments.</w:t>
      </w:r>
      <w:r w:rsidR="00B107FD">
        <w:t xml:space="preserve"> No impact on V2X enabler services for edge deployments were identified as per open issue b.</w:t>
      </w:r>
    </w:p>
    <w:p w:rsidR="001C2225" w:rsidRDefault="001C2225" w:rsidP="001C2225">
      <w:pPr>
        <w:pStyle w:val="Heading2"/>
      </w:pPr>
      <w:bookmarkStart w:id="174" w:name="_Toc107783935"/>
      <w:bookmarkStart w:id="175" w:name="_Toc131177508"/>
      <w:r>
        <w:t>7.6</w:t>
      </w:r>
      <w:r>
        <w:tab/>
        <w:t>Overall evaluation of key issue#4</w:t>
      </w:r>
      <w:bookmarkEnd w:id="174"/>
      <w:bookmarkEnd w:id="175"/>
    </w:p>
    <w:p w:rsidR="00B107FD" w:rsidRDefault="00B107FD" w:rsidP="00B107FD">
      <w:r>
        <w:t>Key issue#4 on enhancement to support non-simultaneous multiple service providers control for advanced V2X services discussed the following open issues:</w:t>
      </w:r>
    </w:p>
    <w:p w:rsidR="00B107FD" w:rsidRDefault="00B107FD" w:rsidP="00B107FD">
      <w:pPr>
        <w:pStyle w:val="B1"/>
        <w:rPr>
          <w:noProof/>
          <w:lang w:val="en-US"/>
        </w:rPr>
      </w:pPr>
      <w:r>
        <w:rPr>
          <w:noProof/>
          <w:lang w:val="en-US"/>
        </w:rPr>
        <w:t>a.</w:t>
      </w:r>
      <w:r>
        <w:rPr>
          <w:noProof/>
          <w:lang w:val="en-US"/>
        </w:rPr>
        <w:tab/>
        <w:t>Whether and how V2X enabler services (e.g. session oriented services) can support non-simultaneous multiple V2X service provider control for advanced V2X services.</w:t>
      </w:r>
    </w:p>
    <w:p w:rsidR="006F59B1" w:rsidRDefault="006F59B1" w:rsidP="006F59B1">
      <w:pPr>
        <w:rPr>
          <w:noProof/>
          <w:lang w:val="en-US" w:eastAsia="en-US"/>
        </w:rPr>
      </w:pPr>
      <w:r>
        <w:rPr>
          <w:noProof/>
          <w:lang w:val="en-US"/>
        </w:rPr>
        <w:t>No solutions were proposed to address this key issue.</w:t>
      </w:r>
    </w:p>
    <w:p w:rsidR="001C2225" w:rsidRDefault="001C2225" w:rsidP="001C2225">
      <w:pPr>
        <w:pStyle w:val="Heading2"/>
      </w:pPr>
      <w:bookmarkStart w:id="176" w:name="_Toc107783936"/>
      <w:bookmarkStart w:id="177" w:name="_Toc131177509"/>
      <w:r>
        <w:t>7.7</w:t>
      </w:r>
      <w:r>
        <w:tab/>
        <w:t>Overall evaluation of key issue#5</w:t>
      </w:r>
      <w:bookmarkEnd w:id="176"/>
      <w:bookmarkEnd w:id="177"/>
    </w:p>
    <w:p w:rsidR="00E75CB9" w:rsidRDefault="00E75CB9" w:rsidP="00E75CB9">
      <w:pPr>
        <w:rPr>
          <w:lang w:eastAsia="en-US"/>
        </w:rPr>
      </w:pPr>
      <w:bookmarkStart w:id="178" w:name="_Toc107783937"/>
      <w:r>
        <w:t>Key issue#5 on usage of network analytics discussed the following open issues:</w:t>
      </w:r>
    </w:p>
    <w:p w:rsidR="00E75CB9" w:rsidRDefault="00E75CB9" w:rsidP="00E75CB9">
      <w:pPr>
        <w:pStyle w:val="B1"/>
        <w:rPr>
          <w:noProof/>
          <w:lang w:val="en-US"/>
        </w:rPr>
      </w:pPr>
      <w:r>
        <w:rPr>
          <w:noProof/>
          <w:lang w:val="en-US"/>
        </w:rPr>
        <w:t>a.</w:t>
      </w:r>
      <w:r>
        <w:rPr>
          <w:noProof/>
          <w:lang w:val="en-US"/>
        </w:rPr>
        <w:tab/>
        <w:t>Whether and how V2X enabler services (e.g. session oriented services, V2X message delivery) can be enhanced to utilize the network analytics services specified in 3GPP TS 23.288 [8] and 3GPP TS 23.436 </w:t>
      </w:r>
      <w:r w:rsidR="00474646">
        <w:rPr>
          <w:noProof/>
          <w:lang w:val="en-US"/>
        </w:rPr>
        <w:t>[9]</w:t>
      </w:r>
      <w:r>
        <w:rPr>
          <w:noProof/>
          <w:lang w:val="en-US"/>
        </w:rPr>
        <w:t>.</w:t>
      </w:r>
    </w:p>
    <w:p w:rsidR="00E75CB9" w:rsidRDefault="00E75CB9" w:rsidP="00E75CB9">
      <w:r>
        <w:t>Solution#6 provides a solution for usage of network analytics offered by ADAE. It addresses the open issue a.</w:t>
      </w:r>
    </w:p>
    <w:p w:rsidR="001C2225" w:rsidRDefault="001C2225" w:rsidP="001C2225">
      <w:pPr>
        <w:pStyle w:val="Heading2"/>
      </w:pPr>
      <w:bookmarkStart w:id="179" w:name="_Toc131177510"/>
      <w:r>
        <w:t>7.8</w:t>
      </w:r>
      <w:r>
        <w:tab/>
        <w:t>Overall evaluation of key issue#6</w:t>
      </w:r>
      <w:bookmarkEnd w:id="178"/>
      <w:bookmarkEnd w:id="179"/>
    </w:p>
    <w:p w:rsidR="00B107FD" w:rsidRDefault="00B107FD" w:rsidP="00B107FD">
      <w:r>
        <w:t>Key issue#6 on enhanced network monitoring to support advanced V2X services discussed the following open issues:</w:t>
      </w:r>
    </w:p>
    <w:p w:rsidR="00B107FD" w:rsidRDefault="00B107FD" w:rsidP="00B107FD">
      <w:pPr>
        <w:pStyle w:val="B1"/>
        <w:rPr>
          <w:noProof/>
          <w:lang w:val="en-US"/>
        </w:rPr>
      </w:pPr>
      <w:r>
        <w:rPr>
          <w:noProof/>
          <w:lang w:val="en-US"/>
        </w:rPr>
        <w:t>a.</w:t>
      </w:r>
      <w:r>
        <w:rPr>
          <w:noProof/>
          <w:lang w:val="en-US"/>
        </w:rPr>
        <w:tab/>
        <w:t>How to enhance the network monitoring procedures considering specific V2X UE information or group of V2X UE(s) information?</w:t>
      </w:r>
    </w:p>
    <w:p w:rsidR="00B107FD" w:rsidRDefault="00B107FD" w:rsidP="00B107FD">
      <w:r>
        <w:t>Solution#5 provides a solution for enhanced network monitoring. It addresses the open issue a.</w:t>
      </w:r>
    </w:p>
    <w:p w:rsidR="00495F8F" w:rsidRDefault="00495F8F" w:rsidP="00495F8F"/>
    <w:p w:rsidR="00495F8F" w:rsidRDefault="008D7A12" w:rsidP="00495F8F">
      <w:pPr>
        <w:pStyle w:val="Heading1"/>
      </w:pPr>
      <w:bookmarkStart w:id="180" w:name="_Toc464463370"/>
      <w:bookmarkStart w:id="181" w:name="_Toc475064964"/>
      <w:bookmarkStart w:id="182" w:name="_Toc478400634"/>
      <w:bookmarkStart w:id="183" w:name="_Toc90491012"/>
      <w:bookmarkStart w:id="184" w:name="_Toc107783938"/>
      <w:bookmarkStart w:id="185" w:name="_Toc131177511"/>
      <w:r>
        <w:t>8</w:t>
      </w:r>
      <w:r w:rsidR="00495F8F">
        <w:tab/>
        <w:t>Conclusions</w:t>
      </w:r>
      <w:bookmarkEnd w:id="180"/>
      <w:bookmarkEnd w:id="181"/>
      <w:bookmarkEnd w:id="182"/>
      <w:bookmarkEnd w:id="183"/>
      <w:bookmarkEnd w:id="184"/>
      <w:bookmarkEnd w:id="185"/>
    </w:p>
    <w:p w:rsidR="00B107FD" w:rsidRDefault="00B107FD" w:rsidP="00B107FD">
      <w:pPr>
        <w:rPr>
          <w:noProof/>
          <w:lang w:val="en-US"/>
        </w:rPr>
      </w:pPr>
      <w:r>
        <w:rPr>
          <w:noProof/>
          <w:lang w:val="en-US"/>
        </w:rPr>
        <w:t xml:space="preserve">This technical report fulfills the objectives of the study on enhancements to application layer to support </w:t>
      </w:r>
      <w:r>
        <w:t>advanced V2X services like V2P, ToD, etc and edge computing deployments for V2X services. The study includes the following</w:t>
      </w:r>
      <w:r>
        <w:rPr>
          <w:noProof/>
          <w:lang w:val="en-US"/>
        </w:rPr>
        <w:t>:</w:t>
      </w:r>
    </w:p>
    <w:p w:rsidR="00B107FD" w:rsidRDefault="00B107FD" w:rsidP="00B107FD">
      <w:pPr>
        <w:pStyle w:val="B1"/>
      </w:pPr>
      <w:r>
        <w:t>1)</w:t>
      </w:r>
      <w:r>
        <w:tab/>
        <w:t>Identification of key issues (clause 4) and corresponding architecture requirements (clause 5) for enhanced V2X application enabler capabilities.</w:t>
      </w:r>
    </w:p>
    <w:p w:rsidR="00B107FD" w:rsidRDefault="00B107FD" w:rsidP="00B107FD">
      <w:pPr>
        <w:pStyle w:val="B1"/>
        <w:rPr>
          <w:rFonts w:eastAsia="SimSun"/>
        </w:rPr>
      </w:pPr>
      <w:r>
        <w:rPr>
          <w:rFonts w:eastAsia="SimSun"/>
        </w:rPr>
        <w:t>2)</w:t>
      </w:r>
      <w:r>
        <w:rPr>
          <w:rFonts w:eastAsia="SimSun"/>
        </w:rPr>
        <w:tab/>
        <w:t>Individual solutions (clause 5) addressing the key issues.</w:t>
      </w:r>
    </w:p>
    <w:p w:rsidR="00B107FD" w:rsidRDefault="00B107FD" w:rsidP="00B107FD">
      <w:pPr>
        <w:pStyle w:val="B1"/>
        <w:rPr>
          <w:rFonts w:eastAsia="SimSun"/>
        </w:rPr>
      </w:pPr>
      <w:r>
        <w:rPr>
          <w:rFonts w:eastAsia="SimSun"/>
        </w:rPr>
        <w:t>3)</w:t>
      </w:r>
      <w:r>
        <w:rPr>
          <w:rFonts w:eastAsia="SimSun"/>
        </w:rPr>
        <w:tab/>
        <w:t>Overall evaluation (clause 7) of all the key issues and solutions.</w:t>
      </w:r>
    </w:p>
    <w:p w:rsidR="00B107FD" w:rsidRDefault="00B107FD" w:rsidP="00B107FD">
      <w:pPr>
        <w:rPr>
          <w:rFonts w:eastAsia="SimSun"/>
        </w:rPr>
      </w:pPr>
      <w:r>
        <w:rPr>
          <w:rFonts w:eastAsia="SimSun"/>
        </w:rPr>
        <w:t>The results from the study will be considered for follow-up normative work in Release 18 as follows:</w:t>
      </w:r>
    </w:p>
    <w:p w:rsidR="00B107FD" w:rsidRDefault="00B107FD" w:rsidP="00B107FD">
      <w:pPr>
        <w:pStyle w:val="B1"/>
        <w:rPr>
          <w:rFonts w:eastAsia="SimSun"/>
        </w:rPr>
      </w:pPr>
      <w:r>
        <w:rPr>
          <w:rFonts w:eastAsia="SimSun"/>
        </w:rPr>
        <w:t>1)</w:t>
      </w:r>
      <w:r>
        <w:rPr>
          <w:rFonts w:eastAsia="SimSun"/>
        </w:rPr>
        <w:tab/>
        <w:t>The architecture requirements (in clause 5) will be considered as the basis for technical specification with necessary enhancements and additions;</w:t>
      </w:r>
    </w:p>
    <w:p w:rsidR="00B107FD" w:rsidRDefault="00B107FD" w:rsidP="00B107FD">
      <w:pPr>
        <w:pStyle w:val="B1"/>
        <w:rPr>
          <w:rFonts w:eastAsia="SimSun"/>
        </w:rPr>
      </w:pPr>
      <w:r>
        <w:rPr>
          <w:rFonts w:eastAsia="SimSun"/>
        </w:rPr>
        <w:t>2)</w:t>
      </w:r>
      <w:r>
        <w:rPr>
          <w:rFonts w:eastAsia="SimSun"/>
        </w:rPr>
        <w:tab/>
        <w:t>The following key issues (clause 4) and individual solutions (clause 6) are considered to be the candidate solutions with necessary enhancements as appropriate, according to the overall evaluation (clause 7):</w:t>
      </w:r>
    </w:p>
    <w:p w:rsidR="00B107FD" w:rsidRDefault="00B107FD" w:rsidP="00B107FD">
      <w:pPr>
        <w:pStyle w:val="B2"/>
        <w:rPr>
          <w:rFonts w:eastAsia="SimSun"/>
        </w:rPr>
      </w:pPr>
      <w:r>
        <w:rPr>
          <w:rFonts w:eastAsia="SimSun"/>
        </w:rPr>
        <w:t>-</w:t>
      </w:r>
      <w:r>
        <w:rPr>
          <w:rFonts w:eastAsia="SimSun"/>
        </w:rPr>
        <w:tab/>
        <w:t>For key issue#1, solution#2 is considered</w:t>
      </w:r>
      <w:r w:rsidR="006F59B1">
        <w:rPr>
          <w:rFonts w:eastAsia="SimSun"/>
        </w:rPr>
        <w:t xml:space="preserve"> and solution#4 can be considered based on the agreement on the</w:t>
      </w:r>
      <w:r w:rsidR="00FD628A" w:rsidRPr="00FD628A">
        <w:rPr>
          <w:rFonts w:eastAsia="SimSun"/>
        </w:rPr>
        <w:t xml:space="preserve"> use of protection zones</w:t>
      </w:r>
      <w:r>
        <w:rPr>
          <w:rFonts w:eastAsia="SimSun"/>
        </w:rPr>
        <w:t>.</w:t>
      </w:r>
    </w:p>
    <w:p w:rsidR="00B107FD" w:rsidRDefault="00B107FD" w:rsidP="00B107FD">
      <w:pPr>
        <w:pStyle w:val="B2"/>
        <w:rPr>
          <w:rFonts w:eastAsia="SimSun"/>
        </w:rPr>
      </w:pPr>
      <w:r>
        <w:rPr>
          <w:rFonts w:eastAsia="SimSun"/>
        </w:rPr>
        <w:t xml:space="preserve">- </w:t>
      </w:r>
      <w:r>
        <w:rPr>
          <w:rFonts w:eastAsia="SimSun"/>
        </w:rPr>
        <w:tab/>
        <w:t>For key issue#2, solution#1 is considered subjected to capabilities enabled by SA2 and RAN2.</w:t>
      </w:r>
    </w:p>
    <w:p w:rsidR="00B107FD" w:rsidRDefault="00B107FD" w:rsidP="00B107FD">
      <w:pPr>
        <w:pStyle w:val="B2"/>
        <w:rPr>
          <w:rFonts w:eastAsia="SimSun"/>
        </w:rPr>
      </w:pPr>
      <w:r>
        <w:rPr>
          <w:rFonts w:eastAsia="SimSun"/>
        </w:rPr>
        <w:t>-</w:t>
      </w:r>
      <w:r>
        <w:rPr>
          <w:rFonts w:eastAsia="SimSun"/>
        </w:rPr>
        <w:tab/>
        <w:t>For key issue#3, solution#3 is considered.</w:t>
      </w:r>
    </w:p>
    <w:p w:rsidR="006F59B1" w:rsidRDefault="006F59B1" w:rsidP="006F59B1">
      <w:pPr>
        <w:pStyle w:val="B2"/>
        <w:rPr>
          <w:rFonts w:eastAsia="SimSun"/>
          <w:lang w:eastAsia="en-US"/>
        </w:rPr>
      </w:pPr>
      <w:r>
        <w:rPr>
          <w:rFonts w:eastAsia="SimSun"/>
        </w:rPr>
        <w:t>-</w:t>
      </w:r>
      <w:r>
        <w:rPr>
          <w:rFonts w:eastAsia="SimSun"/>
        </w:rPr>
        <w:tab/>
        <w:t>For key issue#4, there is no solution proposed.</w:t>
      </w:r>
    </w:p>
    <w:p w:rsidR="00E75CB9" w:rsidRDefault="00E75CB9" w:rsidP="00E75CB9">
      <w:pPr>
        <w:pStyle w:val="B2"/>
        <w:rPr>
          <w:rFonts w:eastAsia="SimSun"/>
          <w:lang w:eastAsia="en-US"/>
        </w:rPr>
      </w:pPr>
      <w:r>
        <w:rPr>
          <w:rFonts w:eastAsia="SimSun"/>
        </w:rPr>
        <w:t>-</w:t>
      </w:r>
      <w:r>
        <w:rPr>
          <w:rFonts w:eastAsia="SimSun"/>
        </w:rPr>
        <w:tab/>
        <w:t>For key issue#5, solution#6 is considered.</w:t>
      </w:r>
    </w:p>
    <w:p w:rsidR="00B107FD" w:rsidRDefault="00B107FD" w:rsidP="001F390D">
      <w:pPr>
        <w:pStyle w:val="B2"/>
        <w:rPr>
          <w:rFonts w:eastAsia="SimSun"/>
        </w:rPr>
      </w:pPr>
      <w:r>
        <w:rPr>
          <w:rFonts w:eastAsia="SimSun"/>
        </w:rPr>
        <w:t>-</w:t>
      </w:r>
      <w:r>
        <w:rPr>
          <w:rFonts w:eastAsia="SimSun"/>
        </w:rPr>
        <w:tab/>
        <w:t>For key issue#6, solution#5 is considered.</w:t>
      </w:r>
    </w:p>
    <w:p w:rsidR="00E8629F" w:rsidRPr="00235394" w:rsidRDefault="00E8629F">
      <w:pPr>
        <w:pStyle w:val="Heading9"/>
      </w:pPr>
      <w:bookmarkStart w:id="186" w:name="historyclause"/>
      <w:r w:rsidRPr="00235394">
        <w:br w:type="page"/>
      </w:r>
      <w:bookmarkStart w:id="187" w:name="_Toc90491013"/>
      <w:bookmarkStart w:id="188" w:name="_Toc107783939"/>
      <w:bookmarkStart w:id="189" w:name="_Toc131177512"/>
      <w:r w:rsidRPr="00235394">
        <w:t xml:space="preserve">Annex </w:t>
      </w:r>
      <w:r w:rsidR="00591272">
        <w:t>A</w:t>
      </w:r>
      <w:r w:rsidRPr="00235394">
        <w:t>:</w:t>
      </w:r>
      <w:r w:rsidRPr="00235394">
        <w:br/>
        <w:t>Change history</w:t>
      </w:r>
      <w:bookmarkEnd w:id="187"/>
      <w:bookmarkEnd w:id="188"/>
      <w:bookmarkEnd w:id="18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E8629F" w:rsidRPr="00235394" w:rsidTr="007D6048">
        <w:tblPrEx>
          <w:tblCellMar>
            <w:top w:w="0" w:type="dxa"/>
            <w:bottom w:w="0" w:type="dxa"/>
          </w:tblCellMar>
        </w:tblPrEx>
        <w:trPr>
          <w:cantSplit/>
        </w:trPr>
        <w:tc>
          <w:tcPr>
            <w:tcW w:w="9639" w:type="dxa"/>
            <w:gridSpan w:val="8"/>
            <w:tcBorders>
              <w:bottom w:val="nil"/>
            </w:tcBorders>
            <w:shd w:val="solid" w:color="FFFFFF" w:fill="auto"/>
          </w:tcPr>
          <w:p w:rsidR="00E8629F" w:rsidRPr="00235394" w:rsidRDefault="00E8629F">
            <w:pPr>
              <w:pStyle w:val="TAL"/>
              <w:jc w:val="center"/>
              <w:rPr>
                <w:b/>
                <w:sz w:val="16"/>
              </w:rPr>
            </w:pPr>
            <w:bookmarkStart w:id="190" w:name="OLE_LINK20"/>
            <w:bookmarkStart w:id="191" w:name="OLE_LINK21"/>
            <w:bookmarkStart w:id="192" w:name="OLE_LINK22"/>
            <w:r w:rsidRPr="00235394">
              <w:rPr>
                <w:b/>
              </w:rPr>
              <w:t>Change history</w:t>
            </w:r>
          </w:p>
        </w:tc>
      </w:tr>
      <w:tr w:rsidR="006B0D02" w:rsidRPr="00235394" w:rsidTr="005C11E8">
        <w:tblPrEx>
          <w:tblCellMar>
            <w:top w:w="0" w:type="dxa"/>
            <w:bottom w:w="0" w:type="dxa"/>
          </w:tblCellMar>
        </w:tblPrEx>
        <w:tc>
          <w:tcPr>
            <w:tcW w:w="800" w:type="dxa"/>
            <w:shd w:val="pct10" w:color="auto" w:fill="FFFFFF"/>
          </w:tcPr>
          <w:p w:rsidR="006B0D02" w:rsidRPr="00235394" w:rsidRDefault="006B0D02">
            <w:pPr>
              <w:pStyle w:val="TAL"/>
              <w:rPr>
                <w:b/>
                <w:sz w:val="16"/>
              </w:rPr>
            </w:pPr>
            <w:r w:rsidRPr="00235394">
              <w:rPr>
                <w:b/>
                <w:sz w:val="16"/>
              </w:rPr>
              <w:t>Date</w:t>
            </w:r>
          </w:p>
        </w:tc>
        <w:tc>
          <w:tcPr>
            <w:tcW w:w="800" w:type="dxa"/>
            <w:shd w:val="pct10" w:color="auto" w:fill="FFFFFF"/>
          </w:tcPr>
          <w:p w:rsidR="006B0D02" w:rsidRPr="00235394" w:rsidRDefault="006856E5">
            <w:pPr>
              <w:pStyle w:val="TAL"/>
              <w:rPr>
                <w:b/>
                <w:sz w:val="16"/>
              </w:rPr>
            </w:pPr>
            <w:r>
              <w:rPr>
                <w:b/>
                <w:sz w:val="16"/>
              </w:rPr>
              <w:t>Meeting</w:t>
            </w:r>
          </w:p>
        </w:tc>
        <w:tc>
          <w:tcPr>
            <w:tcW w:w="952" w:type="dxa"/>
            <w:shd w:val="pct10" w:color="auto" w:fill="FFFFFF"/>
          </w:tcPr>
          <w:p w:rsidR="006B0D02" w:rsidRPr="00235394" w:rsidRDefault="006B0D02" w:rsidP="006856E5">
            <w:pPr>
              <w:pStyle w:val="TAL"/>
              <w:rPr>
                <w:b/>
                <w:sz w:val="16"/>
              </w:rPr>
            </w:pPr>
            <w:r w:rsidRPr="00235394">
              <w:rPr>
                <w:b/>
                <w:sz w:val="16"/>
              </w:rPr>
              <w:t>TDoc</w:t>
            </w:r>
          </w:p>
        </w:tc>
        <w:tc>
          <w:tcPr>
            <w:tcW w:w="567" w:type="dxa"/>
            <w:shd w:val="pct10" w:color="auto" w:fill="FFFFFF"/>
          </w:tcPr>
          <w:p w:rsidR="006B0D02" w:rsidRPr="00235394" w:rsidRDefault="006B0D02">
            <w:pPr>
              <w:pStyle w:val="TAL"/>
              <w:rPr>
                <w:b/>
                <w:sz w:val="16"/>
              </w:rPr>
            </w:pPr>
            <w:r w:rsidRPr="00235394">
              <w:rPr>
                <w:b/>
                <w:sz w:val="16"/>
              </w:rPr>
              <w:t>CR</w:t>
            </w:r>
          </w:p>
        </w:tc>
        <w:tc>
          <w:tcPr>
            <w:tcW w:w="425" w:type="dxa"/>
            <w:shd w:val="pct10" w:color="auto" w:fill="FFFFFF"/>
          </w:tcPr>
          <w:p w:rsidR="006B0D02" w:rsidRPr="00235394" w:rsidRDefault="006B0D02">
            <w:pPr>
              <w:pStyle w:val="TAL"/>
              <w:rPr>
                <w:b/>
                <w:sz w:val="16"/>
              </w:rPr>
            </w:pPr>
            <w:r w:rsidRPr="00235394">
              <w:rPr>
                <w:b/>
                <w:sz w:val="16"/>
              </w:rPr>
              <w:t>Rev</w:t>
            </w:r>
          </w:p>
        </w:tc>
        <w:tc>
          <w:tcPr>
            <w:tcW w:w="425" w:type="dxa"/>
            <w:shd w:val="pct10" w:color="auto" w:fill="FFFFFF"/>
          </w:tcPr>
          <w:p w:rsidR="006B0D02" w:rsidRPr="00235394" w:rsidRDefault="006B0D02">
            <w:pPr>
              <w:pStyle w:val="TAL"/>
              <w:rPr>
                <w:b/>
                <w:sz w:val="16"/>
              </w:rPr>
            </w:pPr>
            <w:r>
              <w:rPr>
                <w:b/>
                <w:sz w:val="16"/>
              </w:rPr>
              <w:t>Cat</w:t>
            </w:r>
          </w:p>
        </w:tc>
        <w:tc>
          <w:tcPr>
            <w:tcW w:w="4962" w:type="dxa"/>
            <w:shd w:val="pct10" w:color="auto" w:fill="FFFFFF"/>
          </w:tcPr>
          <w:p w:rsidR="006B0D02" w:rsidRPr="00235394" w:rsidRDefault="006B0D02">
            <w:pPr>
              <w:pStyle w:val="TAL"/>
              <w:rPr>
                <w:b/>
                <w:sz w:val="16"/>
              </w:rPr>
            </w:pPr>
            <w:r w:rsidRPr="00235394">
              <w:rPr>
                <w:b/>
                <w:sz w:val="16"/>
              </w:rPr>
              <w:t>Subject/Comment</w:t>
            </w:r>
          </w:p>
        </w:tc>
        <w:tc>
          <w:tcPr>
            <w:tcW w:w="708" w:type="dxa"/>
            <w:shd w:val="pct10" w:color="auto" w:fill="FFFFFF"/>
          </w:tcPr>
          <w:p w:rsidR="006B0D02" w:rsidRPr="00235394" w:rsidRDefault="006B0D02">
            <w:pPr>
              <w:pStyle w:val="TAL"/>
              <w:rPr>
                <w:b/>
                <w:sz w:val="16"/>
              </w:rPr>
            </w:pPr>
            <w:r w:rsidRPr="00235394">
              <w:rPr>
                <w:b/>
                <w:sz w:val="16"/>
              </w:rPr>
              <w:t>New</w:t>
            </w:r>
            <w:r>
              <w:rPr>
                <w:b/>
                <w:sz w:val="16"/>
              </w:rPr>
              <w:t xml:space="preserve"> vers</w:t>
            </w:r>
            <w:r w:rsidR="006856E5">
              <w:rPr>
                <w:b/>
                <w:sz w:val="16"/>
              </w:rPr>
              <w:t>ion</w:t>
            </w:r>
          </w:p>
        </w:tc>
      </w:tr>
      <w:tr w:rsidR="00591272" w:rsidRPr="006B0D02" w:rsidTr="005C11E8">
        <w:tblPrEx>
          <w:tblCellMar>
            <w:top w:w="0" w:type="dxa"/>
            <w:bottom w:w="0" w:type="dxa"/>
          </w:tblCellMar>
        </w:tblPrEx>
        <w:tc>
          <w:tcPr>
            <w:tcW w:w="800" w:type="dxa"/>
            <w:shd w:val="solid" w:color="FFFFFF" w:fill="auto"/>
          </w:tcPr>
          <w:p w:rsidR="00591272" w:rsidRPr="000A3A55" w:rsidRDefault="00591272" w:rsidP="008D7A12">
            <w:pPr>
              <w:pStyle w:val="TAC"/>
              <w:rPr>
                <w:sz w:val="16"/>
                <w:szCs w:val="16"/>
              </w:rPr>
            </w:pPr>
            <w:r w:rsidRPr="000A3A55">
              <w:rPr>
                <w:sz w:val="16"/>
                <w:szCs w:val="16"/>
              </w:rPr>
              <w:t>20</w:t>
            </w:r>
            <w:r w:rsidR="008D7A12">
              <w:rPr>
                <w:sz w:val="16"/>
                <w:szCs w:val="16"/>
              </w:rPr>
              <w:t>21</w:t>
            </w:r>
            <w:r w:rsidRPr="000A3A55">
              <w:rPr>
                <w:sz w:val="16"/>
                <w:szCs w:val="16"/>
              </w:rPr>
              <w:t>-</w:t>
            </w:r>
            <w:r w:rsidR="008D7A12">
              <w:rPr>
                <w:sz w:val="16"/>
                <w:szCs w:val="16"/>
              </w:rPr>
              <w:t>10</w:t>
            </w:r>
          </w:p>
        </w:tc>
        <w:tc>
          <w:tcPr>
            <w:tcW w:w="800" w:type="dxa"/>
            <w:shd w:val="solid" w:color="FFFFFF" w:fill="auto"/>
          </w:tcPr>
          <w:p w:rsidR="00591272" w:rsidRPr="000A3A55" w:rsidRDefault="00591272" w:rsidP="008D7A12">
            <w:pPr>
              <w:pStyle w:val="TAC"/>
              <w:rPr>
                <w:sz w:val="16"/>
                <w:szCs w:val="16"/>
              </w:rPr>
            </w:pPr>
            <w:r w:rsidRPr="000A3A55">
              <w:rPr>
                <w:sz w:val="16"/>
                <w:szCs w:val="16"/>
              </w:rPr>
              <w:t>SA6#</w:t>
            </w:r>
            <w:r w:rsidR="008D7A12">
              <w:rPr>
                <w:sz w:val="16"/>
                <w:szCs w:val="16"/>
              </w:rPr>
              <w:t>45-bis-e</w:t>
            </w:r>
          </w:p>
        </w:tc>
        <w:tc>
          <w:tcPr>
            <w:tcW w:w="952" w:type="dxa"/>
            <w:shd w:val="solid" w:color="FFFFFF" w:fill="auto"/>
          </w:tcPr>
          <w:p w:rsidR="00591272" w:rsidRPr="000A3A55" w:rsidRDefault="00591272" w:rsidP="00591272">
            <w:pPr>
              <w:pStyle w:val="TAC"/>
              <w:rPr>
                <w:sz w:val="16"/>
                <w:szCs w:val="16"/>
              </w:rPr>
            </w:pPr>
          </w:p>
        </w:tc>
        <w:tc>
          <w:tcPr>
            <w:tcW w:w="567" w:type="dxa"/>
            <w:shd w:val="solid" w:color="FFFFFF" w:fill="auto"/>
          </w:tcPr>
          <w:p w:rsidR="00591272" w:rsidRPr="000A3A55" w:rsidRDefault="00591272" w:rsidP="00591272">
            <w:pPr>
              <w:pStyle w:val="TAL"/>
              <w:rPr>
                <w:sz w:val="16"/>
                <w:szCs w:val="16"/>
              </w:rPr>
            </w:pPr>
          </w:p>
        </w:tc>
        <w:tc>
          <w:tcPr>
            <w:tcW w:w="425" w:type="dxa"/>
            <w:shd w:val="solid" w:color="FFFFFF" w:fill="auto"/>
          </w:tcPr>
          <w:p w:rsidR="00591272" w:rsidRPr="000A3A55" w:rsidRDefault="00591272" w:rsidP="00591272">
            <w:pPr>
              <w:pStyle w:val="TAR"/>
              <w:rPr>
                <w:sz w:val="16"/>
                <w:szCs w:val="16"/>
              </w:rPr>
            </w:pPr>
          </w:p>
        </w:tc>
        <w:tc>
          <w:tcPr>
            <w:tcW w:w="425" w:type="dxa"/>
            <w:shd w:val="solid" w:color="FFFFFF" w:fill="auto"/>
          </w:tcPr>
          <w:p w:rsidR="00591272" w:rsidRPr="000A3A55" w:rsidRDefault="00591272" w:rsidP="00591272">
            <w:pPr>
              <w:pStyle w:val="TAC"/>
              <w:rPr>
                <w:sz w:val="16"/>
                <w:szCs w:val="16"/>
              </w:rPr>
            </w:pPr>
          </w:p>
        </w:tc>
        <w:tc>
          <w:tcPr>
            <w:tcW w:w="4962" w:type="dxa"/>
            <w:shd w:val="solid" w:color="FFFFFF" w:fill="auto"/>
          </w:tcPr>
          <w:p w:rsidR="00591272" w:rsidRPr="000A3A55" w:rsidRDefault="00591272" w:rsidP="0072177D">
            <w:pPr>
              <w:pStyle w:val="TAL"/>
              <w:rPr>
                <w:sz w:val="16"/>
                <w:szCs w:val="16"/>
              </w:rPr>
            </w:pPr>
            <w:r w:rsidRPr="000A3A55">
              <w:rPr>
                <w:sz w:val="16"/>
                <w:szCs w:val="16"/>
              </w:rPr>
              <w:t>T</w:t>
            </w:r>
            <w:r w:rsidR="0072177D">
              <w:rPr>
                <w:sz w:val="16"/>
                <w:szCs w:val="16"/>
              </w:rPr>
              <w:t>R</w:t>
            </w:r>
            <w:r w:rsidRPr="000A3A55">
              <w:rPr>
                <w:sz w:val="16"/>
                <w:szCs w:val="16"/>
              </w:rPr>
              <w:t xml:space="preserve"> skeleton</w:t>
            </w:r>
            <w:r w:rsidR="000B4E46">
              <w:rPr>
                <w:sz w:val="16"/>
                <w:szCs w:val="16"/>
              </w:rPr>
              <w:t xml:space="preserve"> as approved by SA6 in </w:t>
            </w:r>
            <w:r w:rsidR="000B4E46" w:rsidRPr="000B4E46">
              <w:rPr>
                <w:sz w:val="16"/>
                <w:szCs w:val="16"/>
              </w:rPr>
              <w:t>S6-212349</w:t>
            </w:r>
          </w:p>
        </w:tc>
        <w:tc>
          <w:tcPr>
            <w:tcW w:w="708" w:type="dxa"/>
            <w:shd w:val="solid" w:color="FFFFFF" w:fill="auto"/>
          </w:tcPr>
          <w:p w:rsidR="00591272" w:rsidRPr="000A3A55" w:rsidRDefault="00591272" w:rsidP="00591272">
            <w:pPr>
              <w:pStyle w:val="TAC"/>
              <w:rPr>
                <w:sz w:val="16"/>
                <w:szCs w:val="16"/>
              </w:rPr>
            </w:pPr>
            <w:r w:rsidRPr="000A3A55">
              <w:rPr>
                <w:sz w:val="16"/>
                <w:szCs w:val="16"/>
              </w:rPr>
              <w:t>0.0.0</w:t>
            </w:r>
          </w:p>
        </w:tc>
      </w:tr>
      <w:tr w:rsidR="000B4E46" w:rsidRPr="006B0D02" w:rsidTr="005C11E8">
        <w:tblPrEx>
          <w:tblCellMar>
            <w:top w:w="0" w:type="dxa"/>
            <w:bottom w:w="0" w:type="dxa"/>
          </w:tblCellMar>
        </w:tblPrEx>
        <w:tc>
          <w:tcPr>
            <w:tcW w:w="800" w:type="dxa"/>
            <w:shd w:val="solid" w:color="FFFFFF" w:fill="auto"/>
          </w:tcPr>
          <w:p w:rsidR="000B4E46" w:rsidRPr="000A3A55" w:rsidRDefault="000B4E46" w:rsidP="008D7A12">
            <w:pPr>
              <w:pStyle w:val="TAC"/>
              <w:rPr>
                <w:sz w:val="16"/>
                <w:szCs w:val="16"/>
              </w:rPr>
            </w:pPr>
            <w:r>
              <w:rPr>
                <w:sz w:val="16"/>
                <w:szCs w:val="16"/>
              </w:rPr>
              <w:t>2021-10</w:t>
            </w:r>
          </w:p>
        </w:tc>
        <w:tc>
          <w:tcPr>
            <w:tcW w:w="800" w:type="dxa"/>
            <w:shd w:val="solid" w:color="FFFFFF" w:fill="auto"/>
          </w:tcPr>
          <w:p w:rsidR="000B4E46" w:rsidRPr="000A3A55" w:rsidRDefault="000B4E46" w:rsidP="008D7A12">
            <w:pPr>
              <w:pStyle w:val="TAC"/>
              <w:rPr>
                <w:sz w:val="16"/>
                <w:szCs w:val="16"/>
              </w:rPr>
            </w:pPr>
            <w:r>
              <w:rPr>
                <w:sz w:val="16"/>
                <w:szCs w:val="16"/>
              </w:rPr>
              <w:t>SA6#45-bis-e</w:t>
            </w:r>
          </w:p>
        </w:tc>
        <w:tc>
          <w:tcPr>
            <w:tcW w:w="952" w:type="dxa"/>
            <w:shd w:val="solid" w:color="FFFFFF" w:fill="auto"/>
          </w:tcPr>
          <w:p w:rsidR="000B4E46" w:rsidRPr="000A3A55" w:rsidRDefault="000B4E46" w:rsidP="00591272">
            <w:pPr>
              <w:pStyle w:val="TAC"/>
              <w:rPr>
                <w:sz w:val="16"/>
                <w:szCs w:val="16"/>
              </w:rPr>
            </w:pPr>
          </w:p>
        </w:tc>
        <w:tc>
          <w:tcPr>
            <w:tcW w:w="567" w:type="dxa"/>
            <w:shd w:val="solid" w:color="FFFFFF" w:fill="auto"/>
          </w:tcPr>
          <w:p w:rsidR="000B4E46" w:rsidRPr="000A3A55" w:rsidRDefault="000B4E46" w:rsidP="00591272">
            <w:pPr>
              <w:pStyle w:val="TAL"/>
              <w:rPr>
                <w:sz w:val="16"/>
                <w:szCs w:val="16"/>
              </w:rPr>
            </w:pPr>
          </w:p>
        </w:tc>
        <w:tc>
          <w:tcPr>
            <w:tcW w:w="425" w:type="dxa"/>
            <w:shd w:val="solid" w:color="FFFFFF" w:fill="auto"/>
          </w:tcPr>
          <w:p w:rsidR="000B4E46" w:rsidRPr="000A3A55" w:rsidRDefault="000B4E46" w:rsidP="00591272">
            <w:pPr>
              <w:pStyle w:val="TAR"/>
              <w:rPr>
                <w:sz w:val="16"/>
                <w:szCs w:val="16"/>
              </w:rPr>
            </w:pPr>
          </w:p>
        </w:tc>
        <w:tc>
          <w:tcPr>
            <w:tcW w:w="425" w:type="dxa"/>
            <w:shd w:val="solid" w:color="FFFFFF" w:fill="auto"/>
          </w:tcPr>
          <w:p w:rsidR="000B4E46" w:rsidRPr="000A3A55" w:rsidRDefault="000B4E46" w:rsidP="00591272">
            <w:pPr>
              <w:pStyle w:val="TAC"/>
              <w:rPr>
                <w:sz w:val="16"/>
                <w:szCs w:val="16"/>
              </w:rPr>
            </w:pPr>
          </w:p>
        </w:tc>
        <w:tc>
          <w:tcPr>
            <w:tcW w:w="4962" w:type="dxa"/>
            <w:shd w:val="solid" w:color="FFFFFF" w:fill="auto"/>
          </w:tcPr>
          <w:p w:rsidR="000B4E46" w:rsidRDefault="000B4E46" w:rsidP="0072177D">
            <w:pPr>
              <w:pStyle w:val="TAL"/>
              <w:rPr>
                <w:sz w:val="16"/>
                <w:szCs w:val="16"/>
              </w:rPr>
            </w:pPr>
            <w:r w:rsidRPr="000B4E46">
              <w:rPr>
                <w:sz w:val="16"/>
                <w:szCs w:val="16"/>
              </w:rPr>
              <w:t>Implementation of the following pCRs approved by SA6:</w:t>
            </w:r>
          </w:p>
          <w:p w:rsidR="000B4E46" w:rsidRPr="000A3A55" w:rsidRDefault="000B4E46" w:rsidP="000B4E46">
            <w:pPr>
              <w:pStyle w:val="TAL"/>
              <w:rPr>
                <w:sz w:val="16"/>
                <w:szCs w:val="16"/>
              </w:rPr>
            </w:pPr>
            <w:r w:rsidRPr="000B4E46">
              <w:rPr>
                <w:sz w:val="16"/>
                <w:szCs w:val="16"/>
              </w:rPr>
              <w:t>S6-212397</w:t>
            </w:r>
            <w:r>
              <w:rPr>
                <w:sz w:val="16"/>
                <w:szCs w:val="16"/>
              </w:rPr>
              <w:t xml:space="preserve">, </w:t>
            </w:r>
            <w:r w:rsidRPr="000B4E46">
              <w:rPr>
                <w:sz w:val="16"/>
                <w:szCs w:val="16"/>
              </w:rPr>
              <w:t>S6-21239</w:t>
            </w:r>
            <w:r>
              <w:rPr>
                <w:sz w:val="16"/>
                <w:szCs w:val="16"/>
              </w:rPr>
              <w:t xml:space="preserve">8, </w:t>
            </w:r>
            <w:r w:rsidRPr="000B4E46">
              <w:rPr>
                <w:sz w:val="16"/>
                <w:szCs w:val="16"/>
              </w:rPr>
              <w:t>S6-212</w:t>
            </w:r>
            <w:r>
              <w:rPr>
                <w:sz w:val="16"/>
                <w:szCs w:val="16"/>
              </w:rPr>
              <w:t>435</w:t>
            </w:r>
          </w:p>
        </w:tc>
        <w:tc>
          <w:tcPr>
            <w:tcW w:w="708" w:type="dxa"/>
            <w:shd w:val="solid" w:color="FFFFFF" w:fill="auto"/>
          </w:tcPr>
          <w:p w:rsidR="000B4E46" w:rsidRPr="000A3A55" w:rsidRDefault="000B4E46" w:rsidP="00591272">
            <w:pPr>
              <w:pStyle w:val="TAC"/>
              <w:rPr>
                <w:sz w:val="16"/>
                <w:szCs w:val="16"/>
              </w:rPr>
            </w:pPr>
            <w:r>
              <w:rPr>
                <w:sz w:val="16"/>
                <w:szCs w:val="16"/>
              </w:rPr>
              <w:t>0.1.0</w:t>
            </w:r>
          </w:p>
        </w:tc>
      </w:tr>
      <w:tr w:rsidR="00A37B79" w:rsidRPr="006B0D02" w:rsidTr="005C11E8">
        <w:tblPrEx>
          <w:tblCellMar>
            <w:top w:w="0" w:type="dxa"/>
            <w:bottom w:w="0" w:type="dxa"/>
          </w:tblCellMar>
        </w:tblPrEx>
        <w:tc>
          <w:tcPr>
            <w:tcW w:w="800" w:type="dxa"/>
            <w:shd w:val="solid" w:color="FFFFFF" w:fill="auto"/>
          </w:tcPr>
          <w:p w:rsidR="00A37B79" w:rsidRDefault="00A37B79" w:rsidP="008D7A12">
            <w:pPr>
              <w:pStyle w:val="TAC"/>
              <w:rPr>
                <w:sz w:val="16"/>
                <w:szCs w:val="16"/>
              </w:rPr>
            </w:pPr>
            <w:r>
              <w:rPr>
                <w:sz w:val="16"/>
                <w:szCs w:val="16"/>
              </w:rPr>
              <w:t>2021-11</w:t>
            </w:r>
          </w:p>
        </w:tc>
        <w:tc>
          <w:tcPr>
            <w:tcW w:w="800" w:type="dxa"/>
            <w:shd w:val="solid" w:color="FFFFFF" w:fill="auto"/>
          </w:tcPr>
          <w:p w:rsidR="00A37B79" w:rsidRDefault="00A37B79" w:rsidP="008D7A12">
            <w:pPr>
              <w:pStyle w:val="TAC"/>
              <w:rPr>
                <w:sz w:val="16"/>
                <w:szCs w:val="16"/>
              </w:rPr>
            </w:pPr>
            <w:r>
              <w:rPr>
                <w:sz w:val="16"/>
                <w:szCs w:val="16"/>
              </w:rPr>
              <w:t>SA6#46-e</w:t>
            </w:r>
          </w:p>
        </w:tc>
        <w:tc>
          <w:tcPr>
            <w:tcW w:w="952" w:type="dxa"/>
            <w:shd w:val="solid" w:color="FFFFFF" w:fill="auto"/>
          </w:tcPr>
          <w:p w:rsidR="00A37B79" w:rsidRPr="000A3A55" w:rsidRDefault="00A37B79" w:rsidP="00591272">
            <w:pPr>
              <w:pStyle w:val="TAC"/>
              <w:rPr>
                <w:sz w:val="16"/>
                <w:szCs w:val="16"/>
              </w:rPr>
            </w:pPr>
          </w:p>
        </w:tc>
        <w:tc>
          <w:tcPr>
            <w:tcW w:w="567" w:type="dxa"/>
            <w:shd w:val="solid" w:color="FFFFFF" w:fill="auto"/>
          </w:tcPr>
          <w:p w:rsidR="00A37B79" w:rsidRPr="000A3A55" w:rsidRDefault="00A37B79" w:rsidP="00591272">
            <w:pPr>
              <w:pStyle w:val="TAL"/>
              <w:rPr>
                <w:sz w:val="16"/>
                <w:szCs w:val="16"/>
              </w:rPr>
            </w:pPr>
          </w:p>
        </w:tc>
        <w:tc>
          <w:tcPr>
            <w:tcW w:w="425" w:type="dxa"/>
            <w:shd w:val="solid" w:color="FFFFFF" w:fill="auto"/>
          </w:tcPr>
          <w:p w:rsidR="00A37B79" w:rsidRPr="000A3A55" w:rsidRDefault="00A37B79" w:rsidP="00591272">
            <w:pPr>
              <w:pStyle w:val="TAR"/>
              <w:rPr>
                <w:sz w:val="16"/>
                <w:szCs w:val="16"/>
              </w:rPr>
            </w:pPr>
          </w:p>
        </w:tc>
        <w:tc>
          <w:tcPr>
            <w:tcW w:w="425" w:type="dxa"/>
            <w:shd w:val="solid" w:color="FFFFFF" w:fill="auto"/>
          </w:tcPr>
          <w:p w:rsidR="00A37B79" w:rsidRPr="000A3A55" w:rsidRDefault="00A37B79" w:rsidP="00591272">
            <w:pPr>
              <w:pStyle w:val="TAC"/>
              <w:rPr>
                <w:sz w:val="16"/>
                <w:szCs w:val="16"/>
              </w:rPr>
            </w:pPr>
          </w:p>
        </w:tc>
        <w:tc>
          <w:tcPr>
            <w:tcW w:w="4962" w:type="dxa"/>
            <w:shd w:val="solid" w:color="FFFFFF" w:fill="auto"/>
          </w:tcPr>
          <w:p w:rsidR="00A37B79" w:rsidRDefault="00A37B79" w:rsidP="00A37B79">
            <w:pPr>
              <w:pStyle w:val="TAL"/>
              <w:rPr>
                <w:sz w:val="16"/>
                <w:szCs w:val="16"/>
              </w:rPr>
            </w:pPr>
            <w:r w:rsidRPr="000B4E46">
              <w:rPr>
                <w:sz w:val="16"/>
                <w:szCs w:val="16"/>
              </w:rPr>
              <w:t>Implementation of the following pCRs approved by SA6:</w:t>
            </w:r>
          </w:p>
          <w:p w:rsidR="00A37B79" w:rsidRPr="000B4E46" w:rsidRDefault="00A37B79" w:rsidP="0072177D">
            <w:pPr>
              <w:pStyle w:val="TAL"/>
              <w:rPr>
                <w:sz w:val="16"/>
                <w:szCs w:val="16"/>
              </w:rPr>
            </w:pPr>
            <w:r>
              <w:rPr>
                <w:sz w:val="16"/>
                <w:szCs w:val="16"/>
              </w:rPr>
              <w:t>S6-212661, S6-212758, S6-212800</w:t>
            </w:r>
          </w:p>
        </w:tc>
        <w:tc>
          <w:tcPr>
            <w:tcW w:w="708" w:type="dxa"/>
            <w:shd w:val="solid" w:color="FFFFFF" w:fill="auto"/>
          </w:tcPr>
          <w:p w:rsidR="00A37B79" w:rsidRDefault="00A37B79" w:rsidP="00591272">
            <w:pPr>
              <w:pStyle w:val="TAC"/>
              <w:rPr>
                <w:sz w:val="16"/>
                <w:szCs w:val="16"/>
              </w:rPr>
            </w:pPr>
            <w:r>
              <w:rPr>
                <w:sz w:val="16"/>
                <w:szCs w:val="16"/>
              </w:rPr>
              <w:t>0.2.0</w:t>
            </w:r>
          </w:p>
        </w:tc>
      </w:tr>
      <w:tr w:rsidR="004C3E67" w:rsidRPr="006B0D02" w:rsidTr="005C11E8">
        <w:tblPrEx>
          <w:tblCellMar>
            <w:top w:w="0" w:type="dxa"/>
            <w:bottom w:w="0" w:type="dxa"/>
          </w:tblCellMar>
        </w:tblPrEx>
        <w:tc>
          <w:tcPr>
            <w:tcW w:w="800" w:type="dxa"/>
            <w:shd w:val="solid" w:color="FFFFFF" w:fill="auto"/>
          </w:tcPr>
          <w:p w:rsidR="004C3E67" w:rsidRDefault="004C3E67" w:rsidP="008D7A12">
            <w:pPr>
              <w:pStyle w:val="TAC"/>
              <w:rPr>
                <w:sz w:val="16"/>
                <w:szCs w:val="16"/>
              </w:rPr>
            </w:pPr>
            <w:r>
              <w:rPr>
                <w:sz w:val="16"/>
                <w:szCs w:val="16"/>
              </w:rPr>
              <w:t>2022-02</w:t>
            </w:r>
          </w:p>
        </w:tc>
        <w:tc>
          <w:tcPr>
            <w:tcW w:w="800" w:type="dxa"/>
            <w:shd w:val="solid" w:color="FFFFFF" w:fill="auto"/>
          </w:tcPr>
          <w:p w:rsidR="004C3E67" w:rsidRDefault="004C3E67" w:rsidP="008D7A12">
            <w:pPr>
              <w:pStyle w:val="TAC"/>
              <w:rPr>
                <w:sz w:val="16"/>
                <w:szCs w:val="16"/>
              </w:rPr>
            </w:pPr>
            <w:r>
              <w:rPr>
                <w:sz w:val="16"/>
                <w:szCs w:val="16"/>
              </w:rPr>
              <w:t>SA6#47-e</w:t>
            </w:r>
          </w:p>
        </w:tc>
        <w:tc>
          <w:tcPr>
            <w:tcW w:w="952" w:type="dxa"/>
            <w:shd w:val="solid" w:color="FFFFFF" w:fill="auto"/>
          </w:tcPr>
          <w:p w:rsidR="004C3E67" w:rsidRPr="000A3A55" w:rsidRDefault="004C3E67" w:rsidP="00591272">
            <w:pPr>
              <w:pStyle w:val="TAC"/>
              <w:rPr>
                <w:sz w:val="16"/>
                <w:szCs w:val="16"/>
              </w:rPr>
            </w:pPr>
          </w:p>
        </w:tc>
        <w:tc>
          <w:tcPr>
            <w:tcW w:w="567" w:type="dxa"/>
            <w:shd w:val="solid" w:color="FFFFFF" w:fill="auto"/>
          </w:tcPr>
          <w:p w:rsidR="004C3E67" w:rsidRPr="000A3A55" w:rsidRDefault="004C3E67" w:rsidP="00591272">
            <w:pPr>
              <w:pStyle w:val="TAL"/>
              <w:rPr>
                <w:sz w:val="16"/>
                <w:szCs w:val="16"/>
              </w:rPr>
            </w:pPr>
          </w:p>
        </w:tc>
        <w:tc>
          <w:tcPr>
            <w:tcW w:w="425" w:type="dxa"/>
            <w:shd w:val="solid" w:color="FFFFFF" w:fill="auto"/>
          </w:tcPr>
          <w:p w:rsidR="004C3E67" w:rsidRPr="000A3A55" w:rsidRDefault="004C3E67" w:rsidP="00591272">
            <w:pPr>
              <w:pStyle w:val="TAR"/>
              <w:rPr>
                <w:sz w:val="16"/>
                <w:szCs w:val="16"/>
              </w:rPr>
            </w:pPr>
          </w:p>
        </w:tc>
        <w:tc>
          <w:tcPr>
            <w:tcW w:w="425" w:type="dxa"/>
            <w:shd w:val="solid" w:color="FFFFFF" w:fill="auto"/>
          </w:tcPr>
          <w:p w:rsidR="004C3E67" w:rsidRPr="000A3A55" w:rsidRDefault="004C3E67" w:rsidP="00591272">
            <w:pPr>
              <w:pStyle w:val="TAC"/>
              <w:rPr>
                <w:sz w:val="16"/>
                <w:szCs w:val="16"/>
              </w:rPr>
            </w:pPr>
          </w:p>
        </w:tc>
        <w:tc>
          <w:tcPr>
            <w:tcW w:w="4962" w:type="dxa"/>
            <w:shd w:val="solid" w:color="FFFFFF" w:fill="auto"/>
          </w:tcPr>
          <w:p w:rsidR="004C3E67" w:rsidRDefault="004C3E67" w:rsidP="004C3E67">
            <w:pPr>
              <w:pStyle w:val="TAL"/>
              <w:rPr>
                <w:sz w:val="16"/>
                <w:szCs w:val="16"/>
              </w:rPr>
            </w:pPr>
            <w:r w:rsidRPr="000B4E46">
              <w:rPr>
                <w:sz w:val="16"/>
                <w:szCs w:val="16"/>
              </w:rPr>
              <w:t>Implementation of the following pCRs approved by SA6:</w:t>
            </w:r>
          </w:p>
          <w:p w:rsidR="004C3E67" w:rsidRPr="000B4E46" w:rsidRDefault="004C3E67" w:rsidP="00A37B79">
            <w:pPr>
              <w:pStyle w:val="TAL"/>
              <w:rPr>
                <w:sz w:val="16"/>
                <w:szCs w:val="16"/>
              </w:rPr>
            </w:pPr>
            <w:r w:rsidRPr="004C3E67">
              <w:rPr>
                <w:sz w:val="16"/>
                <w:szCs w:val="16"/>
              </w:rPr>
              <w:t>S6-220103</w:t>
            </w:r>
          </w:p>
        </w:tc>
        <w:tc>
          <w:tcPr>
            <w:tcW w:w="708" w:type="dxa"/>
            <w:shd w:val="solid" w:color="FFFFFF" w:fill="auto"/>
          </w:tcPr>
          <w:p w:rsidR="004C3E67" w:rsidRDefault="004C3E67" w:rsidP="00591272">
            <w:pPr>
              <w:pStyle w:val="TAC"/>
              <w:rPr>
                <w:sz w:val="16"/>
                <w:szCs w:val="16"/>
              </w:rPr>
            </w:pPr>
            <w:r>
              <w:rPr>
                <w:sz w:val="16"/>
                <w:szCs w:val="16"/>
              </w:rPr>
              <w:t>0.3.0</w:t>
            </w:r>
          </w:p>
        </w:tc>
      </w:tr>
      <w:tr w:rsidR="005C4F6D" w:rsidRPr="006B0D02" w:rsidTr="005C11E8">
        <w:tblPrEx>
          <w:tblCellMar>
            <w:top w:w="0" w:type="dxa"/>
            <w:bottom w:w="0" w:type="dxa"/>
          </w:tblCellMar>
        </w:tblPrEx>
        <w:tc>
          <w:tcPr>
            <w:tcW w:w="800" w:type="dxa"/>
            <w:shd w:val="solid" w:color="FFFFFF" w:fill="auto"/>
          </w:tcPr>
          <w:p w:rsidR="005C4F6D" w:rsidRDefault="005C4F6D" w:rsidP="008D7A12">
            <w:pPr>
              <w:pStyle w:val="TAC"/>
              <w:rPr>
                <w:sz w:val="16"/>
                <w:szCs w:val="16"/>
              </w:rPr>
            </w:pPr>
            <w:r>
              <w:rPr>
                <w:sz w:val="16"/>
                <w:szCs w:val="16"/>
              </w:rPr>
              <w:t>2022-04</w:t>
            </w:r>
          </w:p>
        </w:tc>
        <w:tc>
          <w:tcPr>
            <w:tcW w:w="800" w:type="dxa"/>
            <w:shd w:val="solid" w:color="FFFFFF" w:fill="auto"/>
          </w:tcPr>
          <w:p w:rsidR="005C4F6D" w:rsidRDefault="005C4F6D" w:rsidP="008D7A12">
            <w:pPr>
              <w:pStyle w:val="TAC"/>
              <w:rPr>
                <w:sz w:val="16"/>
                <w:szCs w:val="16"/>
              </w:rPr>
            </w:pPr>
            <w:r>
              <w:rPr>
                <w:sz w:val="16"/>
                <w:szCs w:val="16"/>
              </w:rPr>
              <w:t>SA6#48-e</w:t>
            </w:r>
          </w:p>
        </w:tc>
        <w:tc>
          <w:tcPr>
            <w:tcW w:w="952" w:type="dxa"/>
            <w:shd w:val="solid" w:color="FFFFFF" w:fill="auto"/>
          </w:tcPr>
          <w:p w:rsidR="005C4F6D" w:rsidRPr="000A3A55" w:rsidRDefault="005C4F6D" w:rsidP="00591272">
            <w:pPr>
              <w:pStyle w:val="TAC"/>
              <w:rPr>
                <w:sz w:val="16"/>
                <w:szCs w:val="16"/>
              </w:rPr>
            </w:pPr>
          </w:p>
        </w:tc>
        <w:tc>
          <w:tcPr>
            <w:tcW w:w="567" w:type="dxa"/>
            <w:shd w:val="solid" w:color="FFFFFF" w:fill="auto"/>
          </w:tcPr>
          <w:p w:rsidR="005C4F6D" w:rsidRPr="000A3A55" w:rsidRDefault="005C4F6D" w:rsidP="00591272">
            <w:pPr>
              <w:pStyle w:val="TAL"/>
              <w:rPr>
                <w:sz w:val="16"/>
                <w:szCs w:val="16"/>
              </w:rPr>
            </w:pPr>
          </w:p>
        </w:tc>
        <w:tc>
          <w:tcPr>
            <w:tcW w:w="425" w:type="dxa"/>
            <w:shd w:val="solid" w:color="FFFFFF" w:fill="auto"/>
          </w:tcPr>
          <w:p w:rsidR="005C4F6D" w:rsidRPr="000A3A55" w:rsidRDefault="005C4F6D" w:rsidP="00591272">
            <w:pPr>
              <w:pStyle w:val="TAR"/>
              <w:rPr>
                <w:sz w:val="16"/>
                <w:szCs w:val="16"/>
              </w:rPr>
            </w:pPr>
          </w:p>
        </w:tc>
        <w:tc>
          <w:tcPr>
            <w:tcW w:w="425" w:type="dxa"/>
            <w:shd w:val="solid" w:color="FFFFFF" w:fill="auto"/>
          </w:tcPr>
          <w:p w:rsidR="005C4F6D" w:rsidRPr="000A3A55" w:rsidRDefault="005C4F6D" w:rsidP="00591272">
            <w:pPr>
              <w:pStyle w:val="TAC"/>
              <w:rPr>
                <w:sz w:val="16"/>
                <w:szCs w:val="16"/>
              </w:rPr>
            </w:pPr>
          </w:p>
        </w:tc>
        <w:tc>
          <w:tcPr>
            <w:tcW w:w="4962" w:type="dxa"/>
            <w:shd w:val="solid" w:color="FFFFFF" w:fill="auto"/>
          </w:tcPr>
          <w:p w:rsidR="005C4F6D" w:rsidRDefault="005C4F6D" w:rsidP="005C4F6D">
            <w:pPr>
              <w:pStyle w:val="TAL"/>
              <w:rPr>
                <w:sz w:val="16"/>
                <w:szCs w:val="16"/>
              </w:rPr>
            </w:pPr>
            <w:r w:rsidRPr="000B4E46">
              <w:rPr>
                <w:sz w:val="16"/>
                <w:szCs w:val="16"/>
              </w:rPr>
              <w:t>Implementation of the following pCRs approved by SA6:</w:t>
            </w:r>
          </w:p>
          <w:p w:rsidR="005C4F6D" w:rsidRPr="000B4E46" w:rsidRDefault="005C4F6D" w:rsidP="005C4F6D">
            <w:pPr>
              <w:pStyle w:val="TAL"/>
              <w:rPr>
                <w:sz w:val="16"/>
                <w:szCs w:val="16"/>
              </w:rPr>
            </w:pPr>
            <w:r w:rsidRPr="004C3E67">
              <w:rPr>
                <w:sz w:val="16"/>
                <w:szCs w:val="16"/>
              </w:rPr>
              <w:t>S6-220</w:t>
            </w:r>
            <w:r>
              <w:rPr>
                <w:sz w:val="16"/>
                <w:szCs w:val="16"/>
              </w:rPr>
              <w:t xml:space="preserve">904, </w:t>
            </w:r>
            <w:r w:rsidRPr="004C3E67">
              <w:rPr>
                <w:sz w:val="16"/>
                <w:szCs w:val="16"/>
              </w:rPr>
              <w:t>S6-220</w:t>
            </w:r>
            <w:r>
              <w:rPr>
                <w:sz w:val="16"/>
                <w:szCs w:val="16"/>
              </w:rPr>
              <w:t>971</w:t>
            </w:r>
          </w:p>
        </w:tc>
        <w:tc>
          <w:tcPr>
            <w:tcW w:w="708" w:type="dxa"/>
            <w:shd w:val="solid" w:color="FFFFFF" w:fill="auto"/>
          </w:tcPr>
          <w:p w:rsidR="005C4F6D" w:rsidRDefault="005C4F6D" w:rsidP="00591272">
            <w:pPr>
              <w:pStyle w:val="TAC"/>
              <w:rPr>
                <w:sz w:val="16"/>
                <w:szCs w:val="16"/>
              </w:rPr>
            </w:pPr>
            <w:r>
              <w:rPr>
                <w:sz w:val="16"/>
                <w:szCs w:val="16"/>
              </w:rPr>
              <w:t>0.4.0</w:t>
            </w:r>
          </w:p>
        </w:tc>
      </w:tr>
      <w:tr w:rsidR="00656D8D" w:rsidRPr="006B0D02" w:rsidTr="005C11E8">
        <w:tblPrEx>
          <w:tblCellMar>
            <w:top w:w="0" w:type="dxa"/>
            <w:bottom w:w="0" w:type="dxa"/>
          </w:tblCellMar>
        </w:tblPrEx>
        <w:tc>
          <w:tcPr>
            <w:tcW w:w="800" w:type="dxa"/>
            <w:shd w:val="solid" w:color="FFFFFF" w:fill="auto"/>
          </w:tcPr>
          <w:p w:rsidR="00656D8D" w:rsidRDefault="00656D8D" w:rsidP="008D7A12">
            <w:pPr>
              <w:pStyle w:val="TAC"/>
              <w:rPr>
                <w:sz w:val="16"/>
                <w:szCs w:val="16"/>
              </w:rPr>
            </w:pPr>
            <w:r>
              <w:rPr>
                <w:sz w:val="16"/>
                <w:szCs w:val="16"/>
              </w:rPr>
              <w:t>2022-05</w:t>
            </w:r>
          </w:p>
        </w:tc>
        <w:tc>
          <w:tcPr>
            <w:tcW w:w="800" w:type="dxa"/>
            <w:shd w:val="solid" w:color="FFFFFF" w:fill="auto"/>
          </w:tcPr>
          <w:p w:rsidR="00656D8D" w:rsidRDefault="00656D8D" w:rsidP="008D7A12">
            <w:pPr>
              <w:pStyle w:val="TAC"/>
              <w:rPr>
                <w:sz w:val="16"/>
                <w:szCs w:val="16"/>
              </w:rPr>
            </w:pPr>
            <w:r>
              <w:rPr>
                <w:sz w:val="16"/>
                <w:szCs w:val="16"/>
              </w:rPr>
              <w:t>SA6#49-e</w:t>
            </w:r>
          </w:p>
        </w:tc>
        <w:tc>
          <w:tcPr>
            <w:tcW w:w="952" w:type="dxa"/>
            <w:shd w:val="solid" w:color="FFFFFF" w:fill="auto"/>
          </w:tcPr>
          <w:p w:rsidR="00656D8D" w:rsidRPr="000A3A55" w:rsidRDefault="00656D8D" w:rsidP="00591272">
            <w:pPr>
              <w:pStyle w:val="TAC"/>
              <w:rPr>
                <w:sz w:val="16"/>
                <w:szCs w:val="16"/>
              </w:rPr>
            </w:pPr>
          </w:p>
        </w:tc>
        <w:tc>
          <w:tcPr>
            <w:tcW w:w="567" w:type="dxa"/>
            <w:shd w:val="solid" w:color="FFFFFF" w:fill="auto"/>
          </w:tcPr>
          <w:p w:rsidR="00656D8D" w:rsidRPr="000A3A55" w:rsidRDefault="00656D8D" w:rsidP="00591272">
            <w:pPr>
              <w:pStyle w:val="TAL"/>
              <w:rPr>
                <w:sz w:val="16"/>
                <w:szCs w:val="16"/>
              </w:rPr>
            </w:pPr>
          </w:p>
        </w:tc>
        <w:tc>
          <w:tcPr>
            <w:tcW w:w="425" w:type="dxa"/>
            <w:shd w:val="solid" w:color="FFFFFF" w:fill="auto"/>
          </w:tcPr>
          <w:p w:rsidR="00656D8D" w:rsidRPr="000A3A55" w:rsidRDefault="00656D8D" w:rsidP="00591272">
            <w:pPr>
              <w:pStyle w:val="TAR"/>
              <w:rPr>
                <w:sz w:val="16"/>
                <w:szCs w:val="16"/>
              </w:rPr>
            </w:pPr>
          </w:p>
        </w:tc>
        <w:tc>
          <w:tcPr>
            <w:tcW w:w="425" w:type="dxa"/>
            <w:shd w:val="solid" w:color="FFFFFF" w:fill="auto"/>
          </w:tcPr>
          <w:p w:rsidR="00656D8D" w:rsidRPr="000A3A55" w:rsidRDefault="00656D8D" w:rsidP="00591272">
            <w:pPr>
              <w:pStyle w:val="TAC"/>
              <w:rPr>
                <w:sz w:val="16"/>
                <w:szCs w:val="16"/>
              </w:rPr>
            </w:pPr>
          </w:p>
        </w:tc>
        <w:tc>
          <w:tcPr>
            <w:tcW w:w="4962" w:type="dxa"/>
            <w:shd w:val="solid" w:color="FFFFFF" w:fill="auto"/>
          </w:tcPr>
          <w:p w:rsidR="00656D8D" w:rsidRDefault="00656D8D" w:rsidP="00656D8D">
            <w:pPr>
              <w:pStyle w:val="TAL"/>
              <w:rPr>
                <w:sz w:val="16"/>
                <w:szCs w:val="16"/>
              </w:rPr>
            </w:pPr>
            <w:r w:rsidRPr="000B4E46">
              <w:rPr>
                <w:sz w:val="16"/>
                <w:szCs w:val="16"/>
              </w:rPr>
              <w:t>Implementation of the following pCRs approved by SA6:</w:t>
            </w:r>
          </w:p>
          <w:p w:rsidR="00656D8D" w:rsidRPr="000B4E46" w:rsidRDefault="00656D8D" w:rsidP="005C4F6D">
            <w:pPr>
              <w:pStyle w:val="TAL"/>
              <w:rPr>
                <w:sz w:val="16"/>
                <w:szCs w:val="16"/>
              </w:rPr>
            </w:pPr>
            <w:r w:rsidRPr="00656D8D">
              <w:rPr>
                <w:sz w:val="16"/>
                <w:szCs w:val="16"/>
              </w:rPr>
              <w:t>S6-221439, S6-221495</w:t>
            </w:r>
          </w:p>
        </w:tc>
        <w:tc>
          <w:tcPr>
            <w:tcW w:w="708" w:type="dxa"/>
            <w:shd w:val="solid" w:color="FFFFFF" w:fill="auto"/>
          </w:tcPr>
          <w:p w:rsidR="00656D8D" w:rsidRDefault="00656D8D" w:rsidP="00591272">
            <w:pPr>
              <w:pStyle w:val="TAC"/>
              <w:rPr>
                <w:sz w:val="16"/>
                <w:szCs w:val="16"/>
              </w:rPr>
            </w:pPr>
            <w:r>
              <w:rPr>
                <w:sz w:val="16"/>
                <w:szCs w:val="16"/>
              </w:rPr>
              <w:t>0.5.0</w:t>
            </w:r>
          </w:p>
        </w:tc>
      </w:tr>
      <w:tr w:rsidR="00572EF6" w:rsidRPr="006B0D02" w:rsidTr="005C11E8">
        <w:tblPrEx>
          <w:tblCellMar>
            <w:top w:w="0" w:type="dxa"/>
            <w:bottom w:w="0" w:type="dxa"/>
          </w:tblCellMar>
        </w:tblPrEx>
        <w:tc>
          <w:tcPr>
            <w:tcW w:w="800" w:type="dxa"/>
            <w:shd w:val="solid" w:color="FFFFFF" w:fill="auto"/>
          </w:tcPr>
          <w:p w:rsidR="00572EF6" w:rsidRDefault="00572EF6" w:rsidP="00572EF6">
            <w:pPr>
              <w:pStyle w:val="TAC"/>
              <w:rPr>
                <w:sz w:val="16"/>
                <w:szCs w:val="16"/>
              </w:rPr>
            </w:pPr>
            <w:r>
              <w:rPr>
                <w:sz w:val="16"/>
                <w:szCs w:val="16"/>
              </w:rPr>
              <w:t>2022-06</w:t>
            </w:r>
          </w:p>
        </w:tc>
        <w:tc>
          <w:tcPr>
            <w:tcW w:w="800" w:type="dxa"/>
            <w:shd w:val="solid" w:color="FFFFFF" w:fill="auto"/>
          </w:tcPr>
          <w:p w:rsidR="00572EF6" w:rsidRDefault="00572EF6" w:rsidP="00572EF6">
            <w:pPr>
              <w:pStyle w:val="TAC"/>
              <w:rPr>
                <w:sz w:val="16"/>
                <w:szCs w:val="16"/>
              </w:rPr>
            </w:pPr>
            <w:r w:rsidRPr="00D301B6">
              <w:rPr>
                <w:sz w:val="16"/>
                <w:szCs w:val="16"/>
              </w:rPr>
              <w:t>SA#9</w:t>
            </w:r>
            <w:r>
              <w:rPr>
                <w:sz w:val="16"/>
                <w:szCs w:val="16"/>
              </w:rPr>
              <w:t>6</w:t>
            </w:r>
          </w:p>
        </w:tc>
        <w:tc>
          <w:tcPr>
            <w:tcW w:w="952" w:type="dxa"/>
            <w:shd w:val="solid" w:color="FFFFFF" w:fill="auto"/>
          </w:tcPr>
          <w:p w:rsidR="00572EF6" w:rsidRPr="000A3A55" w:rsidRDefault="00572EF6" w:rsidP="00572EF6">
            <w:pPr>
              <w:pStyle w:val="TAC"/>
              <w:rPr>
                <w:sz w:val="16"/>
                <w:szCs w:val="16"/>
              </w:rPr>
            </w:pPr>
            <w:r w:rsidRPr="00166F0F">
              <w:rPr>
                <w:sz w:val="16"/>
                <w:szCs w:val="16"/>
              </w:rPr>
              <w:t>SP-22046</w:t>
            </w:r>
            <w:r>
              <w:rPr>
                <w:sz w:val="16"/>
                <w:szCs w:val="16"/>
              </w:rPr>
              <w:t>1</w:t>
            </w:r>
          </w:p>
        </w:tc>
        <w:tc>
          <w:tcPr>
            <w:tcW w:w="567" w:type="dxa"/>
            <w:shd w:val="solid" w:color="FFFFFF" w:fill="auto"/>
          </w:tcPr>
          <w:p w:rsidR="00572EF6" w:rsidRPr="000A3A55" w:rsidRDefault="00572EF6" w:rsidP="00572EF6">
            <w:pPr>
              <w:pStyle w:val="TAL"/>
              <w:rPr>
                <w:sz w:val="16"/>
                <w:szCs w:val="16"/>
              </w:rPr>
            </w:pPr>
          </w:p>
        </w:tc>
        <w:tc>
          <w:tcPr>
            <w:tcW w:w="425" w:type="dxa"/>
            <w:shd w:val="solid" w:color="FFFFFF" w:fill="auto"/>
          </w:tcPr>
          <w:p w:rsidR="00572EF6" w:rsidRPr="000A3A55" w:rsidRDefault="00572EF6" w:rsidP="00572EF6">
            <w:pPr>
              <w:pStyle w:val="TAR"/>
              <w:rPr>
                <w:sz w:val="16"/>
                <w:szCs w:val="16"/>
              </w:rPr>
            </w:pPr>
          </w:p>
        </w:tc>
        <w:tc>
          <w:tcPr>
            <w:tcW w:w="425" w:type="dxa"/>
            <w:shd w:val="solid" w:color="FFFFFF" w:fill="auto"/>
          </w:tcPr>
          <w:p w:rsidR="00572EF6" w:rsidRPr="000A3A55" w:rsidRDefault="00572EF6" w:rsidP="00572EF6">
            <w:pPr>
              <w:pStyle w:val="TAC"/>
              <w:rPr>
                <w:sz w:val="16"/>
                <w:szCs w:val="16"/>
              </w:rPr>
            </w:pPr>
          </w:p>
        </w:tc>
        <w:tc>
          <w:tcPr>
            <w:tcW w:w="4962" w:type="dxa"/>
            <w:shd w:val="solid" w:color="FFFFFF" w:fill="auto"/>
          </w:tcPr>
          <w:p w:rsidR="00572EF6" w:rsidRPr="000B4E46" w:rsidRDefault="00572EF6" w:rsidP="00572EF6">
            <w:pPr>
              <w:pStyle w:val="TAL"/>
              <w:rPr>
                <w:sz w:val="16"/>
                <w:szCs w:val="16"/>
              </w:rPr>
            </w:pPr>
            <w:r w:rsidRPr="00D301B6">
              <w:rPr>
                <w:sz w:val="16"/>
                <w:szCs w:val="16"/>
              </w:rPr>
              <w:t xml:space="preserve">Presentation for </w:t>
            </w:r>
            <w:r>
              <w:rPr>
                <w:sz w:val="16"/>
                <w:szCs w:val="16"/>
              </w:rPr>
              <w:t>information at</w:t>
            </w:r>
            <w:r w:rsidRPr="00D301B6">
              <w:rPr>
                <w:sz w:val="16"/>
                <w:szCs w:val="16"/>
              </w:rPr>
              <w:t xml:space="preserve"> SA#9</w:t>
            </w:r>
            <w:r>
              <w:rPr>
                <w:sz w:val="16"/>
                <w:szCs w:val="16"/>
              </w:rPr>
              <w:t>6</w:t>
            </w:r>
          </w:p>
        </w:tc>
        <w:tc>
          <w:tcPr>
            <w:tcW w:w="708" w:type="dxa"/>
            <w:shd w:val="solid" w:color="FFFFFF" w:fill="auto"/>
          </w:tcPr>
          <w:p w:rsidR="00572EF6" w:rsidRDefault="00572EF6" w:rsidP="00572EF6">
            <w:pPr>
              <w:pStyle w:val="TAC"/>
              <w:rPr>
                <w:sz w:val="16"/>
                <w:szCs w:val="16"/>
              </w:rPr>
            </w:pPr>
            <w:r>
              <w:rPr>
                <w:sz w:val="16"/>
                <w:szCs w:val="16"/>
              </w:rPr>
              <w:t>1</w:t>
            </w:r>
            <w:r w:rsidRPr="00D301B6">
              <w:rPr>
                <w:sz w:val="16"/>
                <w:szCs w:val="16"/>
              </w:rPr>
              <w:t>.0.0</w:t>
            </w:r>
          </w:p>
        </w:tc>
      </w:tr>
      <w:tr w:rsidR="00B8792C" w:rsidRPr="006B0D02" w:rsidTr="005C11E8">
        <w:tblPrEx>
          <w:tblCellMar>
            <w:top w:w="0" w:type="dxa"/>
            <w:bottom w:w="0" w:type="dxa"/>
          </w:tblCellMar>
        </w:tblPrEx>
        <w:tc>
          <w:tcPr>
            <w:tcW w:w="800" w:type="dxa"/>
            <w:shd w:val="solid" w:color="FFFFFF" w:fill="auto"/>
          </w:tcPr>
          <w:p w:rsidR="00B8792C" w:rsidRDefault="00B8792C" w:rsidP="00B8792C">
            <w:pPr>
              <w:pStyle w:val="TAC"/>
              <w:rPr>
                <w:sz w:val="16"/>
                <w:szCs w:val="16"/>
              </w:rPr>
            </w:pPr>
            <w:r>
              <w:rPr>
                <w:sz w:val="16"/>
                <w:szCs w:val="16"/>
              </w:rPr>
              <w:t>2022-07</w:t>
            </w:r>
          </w:p>
        </w:tc>
        <w:tc>
          <w:tcPr>
            <w:tcW w:w="800" w:type="dxa"/>
            <w:shd w:val="solid" w:color="FFFFFF" w:fill="auto"/>
          </w:tcPr>
          <w:p w:rsidR="00B8792C" w:rsidRPr="00D301B6" w:rsidRDefault="00B8792C" w:rsidP="00B8792C">
            <w:pPr>
              <w:pStyle w:val="TAC"/>
              <w:rPr>
                <w:sz w:val="16"/>
                <w:szCs w:val="16"/>
              </w:rPr>
            </w:pPr>
            <w:r>
              <w:rPr>
                <w:sz w:val="16"/>
                <w:szCs w:val="16"/>
              </w:rPr>
              <w:t>SA6#49-bis-e</w:t>
            </w:r>
          </w:p>
        </w:tc>
        <w:tc>
          <w:tcPr>
            <w:tcW w:w="952" w:type="dxa"/>
            <w:shd w:val="solid" w:color="FFFFFF" w:fill="auto"/>
          </w:tcPr>
          <w:p w:rsidR="00B8792C" w:rsidRPr="00166F0F" w:rsidRDefault="00B8792C" w:rsidP="00B8792C">
            <w:pPr>
              <w:pStyle w:val="TAC"/>
              <w:rPr>
                <w:sz w:val="16"/>
                <w:szCs w:val="16"/>
              </w:rPr>
            </w:pPr>
          </w:p>
        </w:tc>
        <w:tc>
          <w:tcPr>
            <w:tcW w:w="567" w:type="dxa"/>
            <w:shd w:val="solid" w:color="FFFFFF" w:fill="auto"/>
          </w:tcPr>
          <w:p w:rsidR="00B8792C" w:rsidRPr="000A3A55" w:rsidRDefault="00B8792C" w:rsidP="00B8792C">
            <w:pPr>
              <w:pStyle w:val="TAL"/>
              <w:rPr>
                <w:sz w:val="16"/>
                <w:szCs w:val="16"/>
              </w:rPr>
            </w:pPr>
          </w:p>
        </w:tc>
        <w:tc>
          <w:tcPr>
            <w:tcW w:w="425" w:type="dxa"/>
            <w:shd w:val="solid" w:color="FFFFFF" w:fill="auto"/>
          </w:tcPr>
          <w:p w:rsidR="00B8792C" w:rsidRPr="000A3A55" w:rsidRDefault="00B8792C" w:rsidP="00B8792C">
            <w:pPr>
              <w:pStyle w:val="TAR"/>
              <w:rPr>
                <w:sz w:val="16"/>
                <w:szCs w:val="16"/>
              </w:rPr>
            </w:pPr>
          </w:p>
        </w:tc>
        <w:tc>
          <w:tcPr>
            <w:tcW w:w="425" w:type="dxa"/>
            <w:shd w:val="solid" w:color="FFFFFF" w:fill="auto"/>
          </w:tcPr>
          <w:p w:rsidR="00B8792C" w:rsidRPr="000A3A55" w:rsidRDefault="00B8792C" w:rsidP="00B8792C">
            <w:pPr>
              <w:pStyle w:val="TAC"/>
              <w:rPr>
                <w:sz w:val="16"/>
                <w:szCs w:val="16"/>
              </w:rPr>
            </w:pPr>
          </w:p>
        </w:tc>
        <w:tc>
          <w:tcPr>
            <w:tcW w:w="4962" w:type="dxa"/>
            <w:shd w:val="solid" w:color="FFFFFF" w:fill="auto"/>
          </w:tcPr>
          <w:p w:rsidR="00B8792C" w:rsidRDefault="00B8792C" w:rsidP="00B8792C">
            <w:pPr>
              <w:pStyle w:val="TAL"/>
              <w:rPr>
                <w:sz w:val="16"/>
                <w:szCs w:val="16"/>
              </w:rPr>
            </w:pPr>
            <w:r w:rsidRPr="000B4E46">
              <w:rPr>
                <w:sz w:val="16"/>
                <w:szCs w:val="16"/>
              </w:rPr>
              <w:t>Implementation of the following pCRs approved by SA6:</w:t>
            </w:r>
          </w:p>
          <w:p w:rsidR="00B8792C" w:rsidRPr="00D301B6" w:rsidRDefault="00B8792C" w:rsidP="00B8792C">
            <w:pPr>
              <w:pStyle w:val="TAL"/>
              <w:rPr>
                <w:sz w:val="16"/>
                <w:szCs w:val="16"/>
              </w:rPr>
            </w:pPr>
            <w:r w:rsidRPr="00656D8D">
              <w:rPr>
                <w:sz w:val="16"/>
                <w:szCs w:val="16"/>
              </w:rPr>
              <w:t>S6-221</w:t>
            </w:r>
            <w:r>
              <w:rPr>
                <w:sz w:val="16"/>
                <w:szCs w:val="16"/>
              </w:rPr>
              <w:t>757, S6-221758, S6-221928</w:t>
            </w:r>
          </w:p>
        </w:tc>
        <w:tc>
          <w:tcPr>
            <w:tcW w:w="708" w:type="dxa"/>
            <w:shd w:val="solid" w:color="FFFFFF" w:fill="auto"/>
          </w:tcPr>
          <w:p w:rsidR="00B8792C" w:rsidRDefault="00B8792C" w:rsidP="00B8792C">
            <w:pPr>
              <w:pStyle w:val="TAC"/>
              <w:rPr>
                <w:sz w:val="16"/>
                <w:szCs w:val="16"/>
              </w:rPr>
            </w:pPr>
            <w:r>
              <w:rPr>
                <w:sz w:val="16"/>
                <w:szCs w:val="16"/>
              </w:rPr>
              <w:t>1.1.0</w:t>
            </w:r>
          </w:p>
        </w:tc>
      </w:tr>
      <w:tr w:rsidR="00081681" w:rsidRPr="006B0D02" w:rsidTr="005C11E8">
        <w:tblPrEx>
          <w:tblCellMar>
            <w:top w:w="0" w:type="dxa"/>
            <w:bottom w:w="0" w:type="dxa"/>
          </w:tblCellMar>
        </w:tblPrEx>
        <w:tc>
          <w:tcPr>
            <w:tcW w:w="800" w:type="dxa"/>
            <w:shd w:val="solid" w:color="FFFFFF" w:fill="auto"/>
          </w:tcPr>
          <w:p w:rsidR="00081681" w:rsidRDefault="00081681" w:rsidP="00081681">
            <w:pPr>
              <w:pStyle w:val="TAC"/>
              <w:rPr>
                <w:sz w:val="16"/>
                <w:szCs w:val="16"/>
              </w:rPr>
            </w:pPr>
            <w:r>
              <w:rPr>
                <w:sz w:val="16"/>
                <w:szCs w:val="16"/>
              </w:rPr>
              <w:t>2022-08</w:t>
            </w:r>
          </w:p>
        </w:tc>
        <w:tc>
          <w:tcPr>
            <w:tcW w:w="800" w:type="dxa"/>
            <w:shd w:val="solid" w:color="FFFFFF" w:fill="auto"/>
          </w:tcPr>
          <w:p w:rsidR="00081681" w:rsidRDefault="00081681" w:rsidP="00B8792C">
            <w:pPr>
              <w:pStyle w:val="TAC"/>
              <w:rPr>
                <w:sz w:val="16"/>
                <w:szCs w:val="16"/>
              </w:rPr>
            </w:pPr>
            <w:r>
              <w:rPr>
                <w:sz w:val="16"/>
                <w:szCs w:val="16"/>
              </w:rPr>
              <w:t>SA6#50-e</w:t>
            </w:r>
          </w:p>
        </w:tc>
        <w:tc>
          <w:tcPr>
            <w:tcW w:w="952" w:type="dxa"/>
            <w:shd w:val="solid" w:color="FFFFFF" w:fill="auto"/>
          </w:tcPr>
          <w:p w:rsidR="00081681" w:rsidRPr="00166F0F" w:rsidRDefault="00081681" w:rsidP="00B8792C">
            <w:pPr>
              <w:pStyle w:val="TAC"/>
              <w:rPr>
                <w:sz w:val="16"/>
                <w:szCs w:val="16"/>
              </w:rPr>
            </w:pPr>
          </w:p>
        </w:tc>
        <w:tc>
          <w:tcPr>
            <w:tcW w:w="567" w:type="dxa"/>
            <w:shd w:val="solid" w:color="FFFFFF" w:fill="auto"/>
          </w:tcPr>
          <w:p w:rsidR="00081681" w:rsidRPr="000A3A55" w:rsidRDefault="00081681" w:rsidP="00B8792C">
            <w:pPr>
              <w:pStyle w:val="TAL"/>
              <w:rPr>
                <w:sz w:val="16"/>
                <w:szCs w:val="16"/>
              </w:rPr>
            </w:pPr>
          </w:p>
        </w:tc>
        <w:tc>
          <w:tcPr>
            <w:tcW w:w="425" w:type="dxa"/>
            <w:shd w:val="solid" w:color="FFFFFF" w:fill="auto"/>
          </w:tcPr>
          <w:p w:rsidR="00081681" w:rsidRPr="000A3A55" w:rsidRDefault="00081681" w:rsidP="00B8792C">
            <w:pPr>
              <w:pStyle w:val="TAR"/>
              <w:rPr>
                <w:sz w:val="16"/>
                <w:szCs w:val="16"/>
              </w:rPr>
            </w:pPr>
          </w:p>
        </w:tc>
        <w:tc>
          <w:tcPr>
            <w:tcW w:w="425" w:type="dxa"/>
            <w:shd w:val="solid" w:color="FFFFFF" w:fill="auto"/>
          </w:tcPr>
          <w:p w:rsidR="00081681" w:rsidRPr="000A3A55" w:rsidRDefault="00081681" w:rsidP="00B8792C">
            <w:pPr>
              <w:pStyle w:val="TAC"/>
              <w:rPr>
                <w:sz w:val="16"/>
                <w:szCs w:val="16"/>
              </w:rPr>
            </w:pPr>
          </w:p>
        </w:tc>
        <w:tc>
          <w:tcPr>
            <w:tcW w:w="4962" w:type="dxa"/>
            <w:shd w:val="solid" w:color="FFFFFF" w:fill="auto"/>
          </w:tcPr>
          <w:p w:rsidR="00081681" w:rsidRDefault="00081681" w:rsidP="00081681">
            <w:pPr>
              <w:pStyle w:val="TAL"/>
              <w:rPr>
                <w:sz w:val="16"/>
                <w:szCs w:val="16"/>
              </w:rPr>
            </w:pPr>
            <w:r w:rsidRPr="000B4E46">
              <w:rPr>
                <w:sz w:val="16"/>
                <w:szCs w:val="16"/>
              </w:rPr>
              <w:t>Implementation of the following pCRs approved by SA6:</w:t>
            </w:r>
          </w:p>
          <w:p w:rsidR="00081681" w:rsidRPr="000B4E46" w:rsidRDefault="00081681" w:rsidP="00B8792C">
            <w:pPr>
              <w:pStyle w:val="TAL"/>
              <w:rPr>
                <w:sz w:val="16"/>
                <w:szCs w:val="16"/>
              </w:rPr>
            </w:pPr>
            <w:r w:rsidRPr="00081681">
              <w:rPr>
                <w:sz w:val="16"/>
                <w:szCs w:val="16"/>
              </w:rPr>
              <w:t>S6-222428, S6-222429, S6-222537, S6-222538</w:t>
            </w:r>
          </w:p>
        </w:tc>
        <w:tc>
          <w:tcPr>
            <w:tcW w:w="708" w:type="dxa"/>
            <w:shd w:val="solid" w:color="FFFFFF" w:fill="auto"/>
          </w:tcPr>
          <w:p w:rsidR="00081681" w:rsidRDefault="00081681" w:rsidP="00B8792C">
            <w:pPr>
              <w:pStyle w:val="TAC"/>
              <w:rPr>
                <w:sz w:val="16"/>
                <w:szCs w:val="16"/>
              </w:rPr>
            </w:pPr>
            <w:r>
              <w:rPr>
                <w:sz w:val="16"/>
                <w:szCs w:val="16"/>
              </w:rPr>
              <w:t>1.2.0</w:t>
            </w:r>
          </w:p>
        </w:tc>
      </w:tr>
      <w:tr w:rsidR="00474646" w:rsidRPr="006B0D02" w:rsidTr="005C11E8">
        <w:tblPrEx>
          <w:tblCellMar>
            <w:top w:w="0" w:type="dxa"/>
            <w:bottom w:w="0" w:type="dxa"/>
          </w:tblCellMar>
        </w:tblPrEx>
        <w:tc>
          <w:tcPr>
            <w:tcW w:w="800" w:type="dxa"/>
            <w:shd w:val="solid" w:color="FFFFFF" w:fill="auto"/>
          </w:tcPr>
          <w:p w:rsidR="00474646" w:rsidRDefault="00474646" w:rsidP="00081681">
            <w:pPr>
              <w:pStyle w:val="TAC"/>
              <w:rPr>
                <w:sz w:val="16"/>
                <w:szCs w:val="16"/>
              </w:rPr>
            </w:pPr>
            <w:r>
              <w:rPr>
                <w:sz w:val="16"/>
                <w:szCs w:val="16"/>
              </w:rPr>
              <w:t>2022-10</w:t>
            </w:r>
          </w:p>
        </w:tc>
        <w:tc>
          <w:tcPr>
            <w:tcW w:w="800" w:type="dxa"/>
            <w:shd w:val="solid" w:color="FFFFFF" w:fill="auto"/>
          </w:tcPr>
          <w:p w:rsidR="00474646" w:rsidRDefault="00474646" w:rsidP="00B8792C">
            <w:pPr>
              <w:pStyle w:val="TAC"/>
              <w:rPr>
                <w:sz w:val="16"/>
                <w:szCs w:val="16"/>
              </w:rPr>
            </w:pPr>
            <w:r>
              <w:rPr>
                <w:sz w:val="16"/>
                <w:szCs w:val="16"/>
              </w:rPr>
              <w:t>SA6#51-e</w:t>
            </w:r>
          </w:p>
        </w:tc>
        <w:tc>
          <w:tcPr>
            <w:tcW w:w="952" w:type="dxa"/>
            <w:shd w:val="solid" w:color="FFFFFF" w:fill="auto"/>
          </w:tcPr>
          <w:p w:rsidR="00474646" w:rsidRPr="00166F0F" w:rsidRDefault="00474646" w:rsidP="00B8792C">
            <w:pPr>
              <w:pStyle w:val="TAC"/>
              <w:rPr>
                <w:sz w:val="16"/>
                <w:szCs w:val="16"/>
              </w:rPr>
            </w:pPr>
          </w:p>
        </w:tc>
        <w:tc>
          <w:tcPr>
            <w:tcW w:w="567" w:type="dxa"/>
            <w:shd w:val="solid" w:color="FFFFFF" w:fill="auto"/>
          </w:tcPr>
          <w:p w:rsidR="00474646" w:rsidRPr="000A3A55" w:rsidRDefault="00474646" w:rsidP="00B8792C">
            <w:pPr>
              <w:pStyle w:val="TAL"/>
              <w:rPr>
                <w:sz w:val="16"/>
                <w:szCs w:val="16"/>
              </w:rPr>
            </w:pPr>
          </w:p>
        </w:tc>
        <w:tc>
          <w:tcPr>
            <w:tcW w:w="425" w:type="dxa"/>
            <w:shd w:val="solid" w:color="FFFFFF" w:fill="auto"/>
          </w:tcPr>
          <w:p w:rsidR="00474646" w:rsidRPr="000A3A55" w:rsidRDefault="00474646" w:rsidP="00B8792C">
            <w:pPr>
              <w:pStyle w:val="TAR"/>
              <w:rPr>
                <w:sz w:val="16"/>
                <w:szCs w:val="16"/>
              </w:rPr>
            </w:pPr>
          </w:p>
        </w:tc>
        <w:tc>
          <w:tcPr>
            <w:tcW w:w="425" w:type="dxa"/>
            <w:shd w:val="solid" w:color="FFFFFF" w:fill="auto"/>
          </w:tcPr>
          <w:p w:rsidR="00474646" w:rsidRPr="000A3A55" w:rsidRDefault="00474646" w:rsidP="00B8792C">
            <w:pPr>
              <w:pStyle w:val="TAC"/>
              <w:rPr>
                <w:sz w:val="16"/>
                <w:szCs w:val="16"/>
              </w:rPr>
            </w:pPr>
          </w:p>
        </w:tc>
        <w:tc>
          <w:tcPr>
            <w:tcW w:w="4962" w:type="dxa"/>
            <w:shd w:val="solid" w:color="FFFFFF" w:fill="auto"/>
          </w:tcPr>
          <w:p w:rsidR="00474646" w:rsidRDefault="00474646" w:rsidP="00474646">
            <w:pPr>
              <w:pStyle w:val="TAL"/>
              <w:rPr>
                <w:sz w:val="16"/>
                <w:szCs w:val="16"/>
              </w:rPr>
            </w:pPr>
            <w:r w:rsidRPr="000B4E46">
              <w:rPr>
                <w:sz w:val="16"/>
                <w:szCs w:val="16"/>
              </w:rPr>
              <w:t>Implementation of the following pCRs approved by SA6:</w:t>
            </w:r>
          </w:p>
          <w:p w:rsidR="00474646" w:rsidRPr="000B4E46" w:rsidRDefault="00474646" w:rsidP="00081681">
            <w:pPr>
              <w:pStyle w:val="TAL"/>
              <w:rPr>
                <w:sz w:val="16"/>
                <w:szCs w:val="16"/>
              </w:rPr>
            </w:pPr>
            <w:r w:rsidRPr="00474646">
              <w:rPr>
                <w:sz w:val="16"/>
                <w:szCs w:val="16"/>
              </w:rPr>
              <w:t>S6-222650, S6-222839, S6-222840, S6-223021, S6-223022</w:t>
            </w:r>
          </w:p>
        </w:tc>
        <w:tc>
          <w:tcPr>
            <w:tcW w:w="708" w:type="dxa"/>
            <w:shd w:val="solid" w:color="FFFFFF" w:fill="auto"/>
          </w:tcPr>
          <w:p w:rsidR="00474646" w:rsidRDefault="00474646" w:rsidP="00B8792C">
            <w:pPr>
              <w:pStyle w:val="TAC"/>
              <w:rPr>
                <w:sz w:val="16"/>
                <w:szCs w:val="16"/>
              </w:rPr>
            </w:pPr>
            <w:r>
              <w:rPr>
                <w:sz w:val="16"/>
                <w:szCs w:val="16"/>
              </w:rPr>
              <w:t>1.3.0</w:t>
            </w:r>
          </w:p>
        </w:tc>
      </w:tr>
      <w:tr w:rsidR="004D6B6D" w:rsidRPr="006B0D02" w:rsidTr="005C11E8">
        <w:tblPrEx>
          <w:tblCellMar>
            <w:top w:w="0" w:type="dxa"/>
            <w:bottom w:w="0" w:type="dxa"/>
          </w:tblCellMar>
        </w:tblPrEx>
        <w:tc>
          <w:tcPr>
            <w:tcW w:w="800" w:type="dxa"/>
            <w:shd w:val="solid" w:color="FFFFFF" w:fill="auto"/>
          </w:tcPr>
          <w:p w:rsidR="004D6B6D" w:rsidRDefault="004D6B6D" w:rsidP="004D6B6D">
            <w:pPr>
              <w:pStyle w:val="TAC"/>
              <w:rPr>
                <w:sz w:val="16"/>
                <w:szCs w:val="16"/>
              </w:rPr>
            </w:pPr>
            <w:r>
              <w:rPr>
                <w:sz w:val="16"/>
                <w:szCs w:val="16"/>
              </w:rPr>
              <w:t>2022-11</w:t>
            </w:r>
          </w:p>
        </w:tc>
        <w:tc>
          <w:tcPr>
            <w:tcW w:w="800" w:type="dxa"/>
            <w:shd w:val="solid" w:color="FFFFFF" w:fill="auto"/>
          </w:tcPr>
          <w:p w:rsidR="004D6B6D" w:rsidRDefault="004D6B6D" w:rsidP="004D6B6D">
            <w:pPr>
              <w:pStyle w:val="TAC"/>
              <w:rPr>
                <w:sz w:val="16"/>
                <w:szCs w:val="16"/>
              </w:rPr>
            </w:pPr>
            <w:r>
              <w:rPr>
                <w:sz w:val="16"/>
                <w:szCs w:val="16"/>
              </w:rPr>
              <w:t>SA6#52</w:t>
            </w:r>
          </w:p>
        </w:tc>
        <w:tc>
          <w:tcPr>
            <w:tcW w:w="952" w:type="dxa"/>
            <w:shd w:val="solid" w:color="FFFFFF" w:fill="auto"/>
          </w:tcPr>
          <w:p w:rsidR="004D6B6D" w:rsidRPr="00166F0F" w:rsidRDefault="004D6B6D" w:rsidP="004D6B6D">
            <w:pPr>
              <w:pStyle w:val="TAC"/>
              <w:rPr>
                <w:sz w:val="16"/>
                <w:szCs w:val="16"/>
              </w:rPr>
            </w:pPr>
          </w:p>
        </w:tc>
        <w:tc>
          <w:tcPr>
            <w:tcW w:w="567" w:type="dxa"/>
            <w:shd w:val="solid" w:color="FFFFFF" w:fill="auto"/>
          </w:tcPr>
          <w:p w:rsidR="004D6B6D" w:rsidRPr="000A3A55" w:rsidRDefault="004D6B6D" w:rsidP="004D6B6D">
            <w:pPr>
              <w:pStyle w:val="TAL"/>
              <w:rPr>
                <w:sz w:val="16"/>
                <w:szCs w:val="16"/>
              </w:rPr>
            </w:pPr>
          </w:p>
        </w:tc>
        <w:tc>
          <w:tcPr>
            <w:tcW w:w="425" w:type="dxa"/>
            <w:shd w:val="solid" w:color="FFFFFF" w:fill="auto"/>
          </w:tcPr>
          <w:p w:rsidR="004D6B6D" w:rsidRPr="000A3A55" w:rsidRDefault="004D6B6D" w:rsidP="004D6B6D">
            <w:pPr>
              <w:pStyle w:val="TAR"/>
              <w:rPr>
                <w:sz w:val="16"/>
                <w:szCs w:val="16"/>
              </w:rPr>
            </w:pPr>
          </w:p>
        </w:tc>
        <w:tc>
          <w:tcPr>
            <w:tcW w:w="425" w:type="dxa"/>
            <w:shd w:val="solid" w:color="FFFFFF" w:fill="auto"/>
          </w:tcPr>
          <w:p w:rsidR="004D6B6D" w:rsidRPr="000A3A55" w:rsidRDefault="004D6B6D" w:rsidP="004D6B6D">
            <w:pPr>
              <w:pStyle w:val="TAC"/>
              <w:rPr>
                <w:sz w:val="16"/>
                <w:szCs w:val="16"/>
              </w:rPr>
            </w:pPr>
          </w:p>
        </w:tc>
        <w:tc>
          <w:tcPr>
            <w:tcW w:w="4962" w:type="dxa"/>
            <w:shd w:val="solid" w:color="FFFFFF" w:fill="auto"/>
          </w:tcPr>
          <w:p w:rsidR="004D6B6D" w:rsidRDefault="004D6B6D" w:rsidP="004D6B6D">
            <w:pPr>
              <w:pStyle w:val="TAL"/>
              <w:rPr>
                <w:sz w:val="16"/>
                <w:szCs w:val="16"/>
              </w:rPr>
            </w:pPr>
            <w:r w:rsidRPr="000B4E46">
              <w:rPr>
                <w:sz w:val="16"/>
                <w:szCs w:val="16"/>
              </w:rPr>
              <w:t>Implementation of the following pCRs approved by SA6:</w:t>
            </w:r>
          </w:p>
          <w:p w:rsidR="004D6B6D" w:rsidRPr="000B4E46" w:rsidRDefault="004D6B6D" w:rsidP="004D6B6D">
            <w:pPr>
              <w:pStyle w:val="TAL"/>
              <w:rPr>
                <w:sz w:val="16"/>
                <w:szCs w:val="16"/>
              </w:rPr>
            </w:pPr>
            <w:r w:rsidRPr="004D6B6D">
              <w:rPr>
                <w:sz w:val="16"/>
                <w:szCs w:val="16"/>
              </w:rPr>
              <w:t>S6-223390</w:t>
            </w:r>
            <w:r>
              <w:rPr>
                <w:sz w:val="16"/>
                <w:szCs w:val="16"/>
              </w:rPr>
              <w:t xml:space="preserve">, </w:t>
            </w:r>
            <w:r w:rsidRPr="004D6B6D">
              <w:rPr>
                <w:sz w:val="16"/>
                <w:szCs w:val="16"/>
              </w:rPr>
              <w:t>S6-223633</w:t>
            </w:r>
          </w:p>
        </w:tc>
        <w:tc>
          <w:tcPr>
            <w:tcW w:w="708" w:type="dxa"/>
            <w:shd w:val="solid" w:color="FFFFFF" w:fill="auto"/>
          </w:tcPr>
          <w:p w:rsidR="004D6B6D" w:rsidRDefault="004D6B6D" w:rsidP="004D6B6D">
            <w:pPr>
              <w:pStyle w:val="TAC"/>
              <w:rPr>
                <w:sz w:val="16"/>
                <w:szCs w:val="16"/>
              </w:rPr>
            </w:pPr>
            <w:r>
              <w:rPr>
                <w:sz w:val="16"/>
                <w:szCs w:val="16"/>
              </w:rPr>
              <w:t>1.4.0</w:t>
            </w:r>
          </w:p>
        </w:tc>
      </w:tr>
      <w:tr w:rsidR="006512E9" w:rsidRPr="006B0D02" w:rsidTr="005C11E8">
        <w:tblPrEx>
          <w:tblCellMar>
            <w:top w:w="0" w:type="dxa"/>
            <w:bottom w:w="0" w:type="dxa"/>
          </w:tblCellMar>
        </w:tblPrEx>
        <w:tc>
          <w:tcPr>
            <w:tcW w:w="800" w:type="dxa"/>
            <w:shd w:val="solid" w:color="FFFFFF" w:fill="auto"/>
          </w:tcPr>
          <w:p w:rsidR="006512E9" w:rsidRDefault="006512E9" w:rsidP="006512E9">
            <w:pPr>
              <w:pStyle w:val="TAC"/>
              <w:rPr>
                <w:sz w:val="16"/>
                <w:szCs w:val="16"/>
              </w:rPr>
            </w:pPr>
            <w:r>
              <w:rPr>
                <w:sz w:val="16"/>
                <w:szCs w:val="16"/>
              </w:rPr>
              <w:t>2022-12</w:t>
            </w:r>
          </w:p>
        </w:tc>
        <w:tc>
          <w:tcPr>
            <w:tcW w:w="800" w:type="dxa"/>
            <w:shd w:val="solid" w:color="FFFFFF" w:fill="auto"/>
          </w:tcPr>
          <w:p w:rsidR="006512E9" w:rsidRDefault="006512E9" w:rsidP="006512E9">
            <w:pPr>
              <w:pStyle w:val="TAC"/>
              <w:rPr>
                <w:sz w:val="16"/>
                <w:szCs w:val="16"/>
              </w:rPr>
            </w:pPr>
            <w:r>
              <w:rPr>
                <w:sz w:val="16"/>
                <w:szCs w:val="16"/>
              </w:rPr>
              <w:t>SA#98</w:t>
            </w:r>
            <w:r w:rsidR="00070A91">
              <w:rPr>
                <w:sz w:val="16"/>
                <w:szCs w:val="16"/>
              </w:rPr>
              <w:t>-e</w:t>
            </w:r>
          </w:p>
        </w:tc>
        <w:tc>
          <w:tcPr>
            <w:tcW w:w="952" w:type="dxa"/>
            <w:shd w:val="solid" w:color="FFFFFF" w:fill="auto"/>
          </w:tcPr>
          <w:p w:rsidR="006512E9" w:rsidRPr="00166F0F" w:rsidRDefault="00E0497F" w:rsidP="006512E9">
            <w:pPr>
              <w:pStyle w:val="TAC"/>
              <w:rPr>
                <w:sz w:val="16"/>
                <w:szCs w:val="16"/>
              </w:rPr>
            </w:pPr>
            <w:r w:rsidRPr="00E0497F">
              <w:rPr>
                <w:sz w:val="16"/>
                <w:szCs w:val="16"/>
              </w:rPr>
              <w:t>SP-221222</w:t>
            </w:r>
          </w:p>
        </w:tc>
        <w:tc>
          <w:tcPr>
            <w:tcW w:w="567" w:type="dxa"/>
            <w:shd w:val="solid" w:color="FFFFFF" w:fill="auto"/>
          </w:tcPr>
          <w:p w:rsidR="006512E9" w:rsidRPr="000A3A55" w:rsidRDefault="006512E9" w:rsidP="006512E9">
            <w:pPr>
              <w:pStyle w:val="TAL"/>
              <w:rPr>
                <w:sz w:val="16"/>
                <w:szCs w:val="16"/>
              </w:rPr>
            </w:pPr>
          </w:p>
        </w:tc>
        <w:tc>
          <w:tcPr>
            <w:tcW w:w="425" w:type="dxa"/>
            <w:shd w:val="solid" w:color="FFFFFF" w:fill="auto"/>
          </w:tcPr>
          <w:p w:rsidR="006512E9" w:rsidRPr="000A3A55" w:rsidRDefault="006512E9" w:rsidP="006512E9">
            <w:pPr>
              <w:pStyle w:val="TAR"/>
              <w:rPr>
                <w:sz w:val="16"/>
                <w:szCs w:val="16"/>
              </w:rPr>
            </w:pPr>
          </w:p>
        </w:tc>
        <w:tc>
          <w:tcPr>
            <w:tcW w:w="425" w:type="dxa"/>
            <w:shd w:val="solid" w:color="FFFFFF" w:fill="auto"/>
          </w:tcPr>
          <w:p w:rsidR="006512E9" w:rsidRPr="000A3A55" w:rsidRDefault="006512E9" w:rsidP="006512E9">
            <w:pPr>
              <w:pStyle w:val="TAC"/>
              <w:rPr>
                <w:sz w:val="16"/>
                <w:szCs w:val="16"/>
              </w:rPr>
            </w:pPr>
          </w:p>
        </w:tc>
        <w:tc>
          <w:tcPr>
            <w:tcW w:w="4962" w:type="dxa"/>
            <w:shd w:val="solid" w:color="FFFFFF" w:fill="auto"/>
          </w:tcPr>
          <w:p w:rsidR="006512E9" w:rsidRPr="000B4E46" w:rsidRDefault="006512E9" w:rsidP="006512E9">
            <w:pPr>
              <w:pStyle w:val="TAL"/>
              <w:rPr>
                <w:sz w:val="16"/>
                <w:szCs w:val="16"/>
              </w:rPr>
            </w:pPr>
            <w:r w:rsidRPr="006512E9">
              <w:rPr>
                <w:sz w:val="16"/>
                <w:szCs w:val="16"/>
              </w:rPr>
              <w:t>Submitted for Approval at SA#</w:t>
            </w:r>
            <w:r>
              <w:rPr>
                <w:sz w:val="16"/>
                <w:szCs w:val="16"/>
              </w:rPr>
              <w:t>98</w:t>
            </w:r>
            <w:r w:rsidR="00070A91">
              <w:rPr>
                <w:sz w:val="16"/>
                <w:szCs w:val="16"/>
              </w:rPr>
              <w:t>-e</w:t>
            </w:r>
          </w:p>
        </w:tc>
        <w:tc>
          <w:tcPr>
            <w:tcW w:w="708" w:type="dxa"/>
            <w:shd w:val="solid" w:color="FFFFFF" w:fill="auto"/>
          </w:tcPr>
          <w:p w:rsidR="006512E9" w:rsidRDefault="006512E9" w:rsidP="006512E9">
            <w:pPr>
              <w:pStyle w:val="TAC"/>
              <w:rPr>
                <w:sz w:val="16"/>
                <w:szCs w:val="16"/>
              </w:rPr>
            </w:pPr>
            <w:r>
              <w:rPr>
                <w:sz w:val="16"/>
                <w:szCs w:val="16"/>
              </w:rPr>
              <w:t>2.0.0</w:t>
            </w:r>
          </w:p>
        </w:tc>
      </w:tr>
      <w:tr w:rsidR="00224795" w:rsidRPr="006B0D02" w:rsidTr="005C11E8">
        <w:tblPrEx>
          <w:tblCellMar>
            <w:top w:w="0" w:type="dxa"/>
            <w:bottom w:w="0" w:type="dxa"/>
          </w:tblCellMar>
        </w:tblPrEx>
        <w:tc>
          <w:tcPr>
            <w:tcW w:w="800" w:type="dxa"/>
            <w:shd w:val="solid" w:color="FFFFFF" w:fill="auto"/>
          </w:tcPr>
          <w:p w:rsidR="00224795" w:rsidRDefault="00224795" w:rsidP="00224795">
            <w:pPr>
              <w:pStyle w:val="TAC"/>
              <w:rPr>
                <w:sz w:val="16"/>
                <w:szCs w:val="16"/>
              </w:rPr>
            </w:pPr>
            <w:r>
              <w:rPr>
                <w:sz w:val="16"/>
                <w:szCs w:val="16"/>
              </w:rPr>
              <w:t>2022-12</w:t>
            </w:r>
          </w:p>
        </w:tc>
        <w:tc>
          <w:tcPr>
            <w:tcW w:w="800" w:type="dxa"/>
            <w:shd w:val="solid" w:color="FFFFFF" w:fill="auto"/>
          </w:tcPr>
          <w:p w:rsidR="00224795" w:rsidRDefault="00224795" w:rsidP="00224795">
            <w:pPr>
              <w:pStyle w:val="TAC"/>
              <w:rPr>
                <w:sz w:val="16"/>
                <w:szCs w:val="16"/>
              </w:rPr>
            </w:pPr>
            <w:r>
              <w:rPr>
                <w:sz w:val="16"/>
                <w:szCs w:val="16"/>
              </w:rPr>
              <w:t>SA#98-e</w:t>
            </w:r>
          </w:p>
        </w:tc>
        <w:tc>
          <w:tcPr>
            <w:tcW w:w="952" w:type="dxa"/>
            <w:shd w:val="solid" w:color="FFFFFF" w:fill="auto"/>
          </w:tcPr>
          <w:p w:rsidR="00224795" w:rsidRPr="00E0497F" w:rsidRDefault="00224795" w:rsidP="00224795">
            <w:pPr>
              <w:pStyle w:val="TAC"/>
              <w:rPr>
                <w:sz w:val="16"/>
                <w:szCs w:val="16"/>
              </w:rPr>
            </w:pPr>
            <w:r w:rsidRPr="00E0497F">
              <w:rPr>
                <w:sz w:val="16"/>
                <w:szCs w:val="16"/>
              </w:rPr>
              <w:t>SP-221222</w:t>
            </w:r>
          </w:p>
        </w:tc>
        <w:tc>
          <w:tcPr>
            <w:tcW w:w="567" w:type="dxa"/>
            <w:shd w:val="solid" w:color="FFFFFF" w:fill="auto"/>
          </w:tcPr>
          <w:p w:rsidR="00224795" w:rsidRPr="000A3A55" w:rsidRDefault="00224795" w:rsidP="00224795">
            <w:pPr>
              <w:pStyle w:val="TAL"/>
              <w:rPr>
                <w:sz w:val="16"/>
                <w:szCs w:val="16"/>
              </w:rPr>
            </w:pPr>
          </w:p>
        </w:tc>
        <w:tc>
          <w:tcPr>
            <w:tcW w:w="425" w:type="dxa"/>
            <w:shd w:val="solid" w:color="FFFFFF" w:fill="auto"/>
          </w:tcPr>
          <w:p w:rsidR="00224795" w:rsidRPr="000A3A55" w:rsidRDefault="00224795" w:rsidP="00224795">
            <w:pPr>
              <w:pStyle w:val="TAR"/>
              <w:rPr>
                <w:sz w:val="16"/>
                <w:szCs w:val="16"/>
              </w:rPr>
            </w:pPr>
          </w:p>
        </w:tc>
        <w:tc>
          <w:tcPr>
            <w:tcW w:w="425" w:type="dxa"/>
            <w:shd w:val="solid" w:color="FFFFFF" w:fill="auto"/>
          </w:tcPr>
          <w:p w:rsidR="00224795" w:rsidRPr="000A3A55" w:rsidRDefault="00224795" w:rsidP="00224795">
            <w:pPr>
              <w:pStyle w:val="TAC"/>
              <w:rPr>
                <w:sz w:val="16"/>
                <w:szCs w:val="16"/>
              </w:rPr>
            </w:pPr>
          </w:p>
        </w:tc>
        <w:tc>
          <w:tcPr>
            <w:tcW w:w="4962" w:type="dxa"/>
            <w:shd w:val="solid" w:color="FFFFFF" w:fill="auto"/>
          </w:tcPr>
          <w:p w:rsidR="00224795" w:rsidRPr="006512E9" w:rsidRDefault="00224795" w:rsidP="00224795">
            <w:pPr>
              <w:pStyle w:val="TAL"/>
              <w:rPr>
                <w:sz w:val="16"/>
                <w:szCs w:val="16"/>
              </w:rPr>
            </w:pPr>
            <w:r w:rsidRPr="00224795">
              <w:rPr>
                <w:sz w:val="16"/>
                <w:szCs w:val="16"/>
              </w:rPr>
              <w:t>MCC Editorial update for publication after TSG SA approval (SA#98</w:t>
            </w:r>
            <w:r>
              <w:rPr>
                <w:sz w:val="16"/>
                <w:szCs w:val="16"/>
              </w:rPr>
              <w:noBreakHyphen/>
            </w:r>
            <w:r w:rsidRPr="00224795">
              <w:rPr>
                <w:sz w:val="16"/>
                <w:szCs w:val="16"/>
              </w:rPr>
              <w:t>e)</w:t>
            </w:r>
          </w:p>
        </w:tc>
        <w:tc>
          <w:tcPr>
            <w:tcW w:w="708" w:type="dxa"/>
            <w:shd w:val="solid" w:color="FFFFFF" w:fill="auto"/>
          </w:tcPr>
          <w:p w:rsidR="00224795" w:rsidRDefault="00224795" w:rsidP="00224795">
            <w:pPr>
              <w:pStyle w:val="TAC"/>
              <w:rPr>
                <w:sz w:val="16"/>
                <w:szCs w:val="16"/>
              </w:rPr>
            </w:pPr>
            <w:r>
              <w:rPr>
                <w:sz w:val="16"/>
                <w:szCs w:val="16"/>
              </w:rPr>
              <w:t>18.0.0</w:t>
            </w:r>
          </w:p>
        </w:tc>
      </w:tr>
      <w:tr w:rsidR="00E412B8" w:rsidRPr="006B0D02" w:rsidTr="005C11E8">
        <w:tblPrEx>
          <w:tblCellMar>
            <w:top w:w="0" w:type="dxa"/>
            <w:bottom w:w="0" w:type="dxa"/>
          </w:tblCellMar>
        </w:tblPrEx>
        <w:tc>
          <w:tcPr>
            <w:tcW w:w="800" w:type="dxa"/>
            <w:shd w:val="solid" w:color="FFFFFF" w:fill="auto"/>
          </w:tcPr>
          <w:p w:rsidR="00E412B8" w:rsidRDefault="00E412B8" w:rsidP="00E412B8">
            <w:pPr>
              <w:pStyle w:val="TAC"/>
              <w:rPr>
                <w:sz w:val="16"/>
                <w:szCs w:val="16"/>
              </w:rPr>
            </w:pPr>
            <w:r>
              <w:rPr>
                <w:sz w:val="16"/>
                <w:szCs w:val="16"/>
              </w:rPr>
              <w:t>2023-03</w:t>
            </w:r>
          </w:p>
        </w:tc>
        <w:tc>
          <w:tcPr>
            <w:tcW w:w="800" w:type="dxa"/>
            <w:shd w:val="solid" w:color="FFFFFF" w:fill="auto"/>
          </w:tcPr>
          <w:p w:rsidR="00E412B8" w:rsidRDefault="00E412B8" w:rsidP="00E412B8">
            <w:pPr>
              <w:pStyle w:val="TAC"/>
              <w:rPr>
                <w:sz w:val="16"/>
                <w:szCs w:val="16"/>
              </w:rPr>
            </w:pPr>
            <w:r>
              <w:rPr>
                <w:sz w:val="16"/>
                <w:szCs w:val="16"/>
              </w:rPr>
              <w:t>SA#99</w:t>
            </w:r>
          </w:p>
        </w:tc>
        <w:tc>
          <w:tcPr>
            <w:tcW w:w="952" w:type="dxa"/>
            <w:shd w:val="solid" w:color="FFFFFF" w:fill="auto"/>
          </w:tcPr>
          <w:p w:rsidR="00E412B8" w:rsidRPr="00E0497F" w:rsidRDefault="00E412B8" w:rsidP="00E412B8">
            <w:pPr>
              <w:pStyle w:val="TAC"/>
              <w:rPr>
                <w:sz w:val="16"/>
                <w:szCs w:val="16"/>
              </w:rPr>
            </w:pPr>
            <w:r w:rsidRPr="00E0497F">
              <w:rPr>
                <w:sz w:val="16"/>
                <w:szCs w:val="16"/>
              </w:rPr>
              <w:t>SP-2</w:t>
            </w:r>
            <w:r>
              <w:rPr>
                <w:sz w:val="16"/>
                <w:szCs w:val="16"/>
              </w:rPr>
              <w:t>30299</w:t>
            </w:r>
          </w:p>
        </w:tc>
        <w:tc>
          <w:tcPr>
            <w:tcW w:w="567" w:type="dxa"/>
            <w:shd w:val="solid" w:color="FFFFFF" w:fill="auto"/>
          </w:tcPr>
          <w:p w:rsidR="00E412B8" w:rsidRPr="000A3A55" w:rsidRDefault="00E412B8" w:rsidP="00E412B8">
            <w:pPr>
              <w:pStyle w:val="TAL"/>
              <w:rPr>
                <w:sz w:val="16"/>
                <w:szCs w:val="16"/>
              </w:rPr>
            </w:pPr>
            <w:r>
              <w:rPr>
                <w:sz w:val="16"/>
                <w:szCs w:val="16"/>
              </w:rPr>
              <w:t>0001</w:t>
            </w:r>
          </w:p>
        </w:tc>
        <w:tc>
          <w:tcPr>
            <w:tcW w:w="425" w:type="dxa"/>
            <w:shd w:val="solid" w:color="FFFFFF" w:fill="auto"/>
          </w:tcPr>
          <w:p w:rsidR="00E412B8" w:rsidRPr="000A3A55" w:rsidRDefault="00E412B8" w:rsidP="00E412B8">
            <w:pPr>
              <w:pStyle w:val="TAR"/>
              <w:rPr>
                <w:sz w:val="16"/>
                <w:szCs w:val="16"/>
              </w:rPr>
            </w:pPr>
            <w:r>
              <w:rPr>
                <w:sz w:val="16"/>
                <w:szCs w:val="16"/>
              </w:rPr>
              <w:t>1</w:t>
            </w:r>
          </w:p>
        </w:tc>
        <w:tc>
          <w:tcPr>
            <w:tcW w:w="425" w:type="dxa"/>
            <w:shd w:val="solid" w:color="FFFFFF" w:fill="auto"/>
          </w:tcPr>
          <w:p w:rsidR="00E412B8" w:rsidRPr="000A3A55" w:rsidRDefault="00E412B8" w:rsidP="00E412B8">
            <w:pPr>
              <w:pStyle w:val="TAC"/>
              <w:rPr>
                <w:sz w:val="16"/>
                <w:szCs w:val="16"/>
              </w:rPr>
            </w:pPr>
            <w:r>
              <w:rPr>
                <w:sz w:val="16"/>
                <w:szCs w:val="16"/>
              </w:rPr>
              <w:t>2</w:t>
            </w:r>
          </w:p>
        </w:tc>
        <w:tc>
          <w:tcPr>
            <w:tcW w:w="4962" w:type="dxa"/>
            <w:shd w:val="solid" w:color="FFFFFF" w:fill="auto"/>
          </w:tcPr>
          <w:p w:rsidR="00E412B8" w:rsidRPr="00224795" w:rsidRDefault="00E412B8" w:rsidP="00E412B8">
            <w:pPr>
              <w:pStyle w:val="TAL"/>
              <w:rPr>
                <w:sz w:val="16"/>
                <w:szCs w:val="16"/>
              </w:rPr>
            </w:pPr>
            <w:r w:rsidRPr="00E412B8">
              <w:rPr>
                <w:sz w:val="16"/>
                <w:szCs w:val="16"/>
              </w:rPr>
              <w:t>FS_eV2XAPP2 solution #4 naming correction</w:t>
            </w:r>
          </w:p>
        </w:tc>
        <w:tc>
          <w:tcPr>
            <w:tcW w:w="708" w:type="dxa"/>
            <w:shd w:val="solid" w:color="FFFFFF" w:fill="auto"/>
          </w:tcPr>
          <w:p w:rsidR="00E412B8" w:rsidRDefault="00E412B8" w:rsidP="00E412B8">
            <w:pPr>
              <w:pStyle w:val="TAC"/>
              <w:rPr>
                <w:sz w:val="16"/>
                <w:szCs w:val="16"/>
              </w:rPr>
            </w:pPr>
            <w:r>
              <w:rPr>
                <w:sz w:val="16"/>
                <w:szCs w:val="16"/>
              </w:rPr>
              <w:t>18.1.0</w:t>
            </w:r>
          </w:p>
        </w:tc>
      </w:tr>
      <w:bookmarkEnd w:id="186"/>
    </w:tbl>
    <w:p w:rsidR="00E8629F" w:rsidRPr="00235394" w:rsidRDefault="00E8629F"/>
    <w:bookmarkEnd w:id="190"/>
    <w:bookmarkEnd w:id="191"/>
    <w:bookmarkEnd w:id="192"/>
    <w:p w:rsidR="00E8629F" w:rsidRPr="00235394" w:rsidRDefault="00E8629F"/>
    <w:sectPr w:rsidR="00E8629F" w:rsidRPr="00235394">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47F" w:rsidRDefault="00B4247F">
      <w:r>
        <w:separator/>
      </w:r>
    </w:p>
  </w:endnote>
  <w:endnote w:type="continuationSeparator" w:id="0">
    <w:p w:rsidR="00B4247F" w:rsidRDefault="00B4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E4" w:rsidRDefault="000A25E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47F" w:rsidRDefault="00B4247F">
      <w:r>
        <w:separator/>
      </w:r>
    </w:p>
  </w:footnote>
  <w:footnote w:type="continuationSeparator" w:id="0">
    <w:p w:rsidR="00B4247F" w:rsidRDefault="00B42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E4" w:rsidRDefault="000A25E4">
    <w:pPr>
      <w:pStyle w:val="Header"/>
      <w:framePr w:wrap="auto" w:vAnchor="text" w:hAnchor="margin" w:xAlign="right" w:y="1"/>
      <w:widowControl/>
    </w:pPr>
    <w:r>
      <w:fldChar w:fldCharType="begin"/>
    </w:r>
    <w:r>
      <w:instrText xml:space="preserve"> STYLEREF ZA </w:instrText>
    </w:r>
    <w:r>
      <w:fldChar w:fldCharType="separate"/>
    </w:r>
    <w:r w:rsidR="005C11E8">
      <w:rPr>
        <w:noProof/>
      </w:rPr>
      <w:t>3GPP TR 23.700-64 V18.1.0 (2023-03)</w:t>
    </w:r>
    <w:r>
      <w:fldChar w:fldCharType="end"/>
    </w:r>
  </w:p>
  <w:p w:rsidR="000A25E4" w:rsidRDefault="000A25E4">
    <w:pPr>
      <w:pStyle w:val="Header"/>
      <w:framePr w:wrap="auto" w:vAnchor="text" w:hAnchor="margin" w:xAlign="center" w:y="1"/>
      <w:widowControl/>
    </w:pPr>
    <w:r>
      <w:fldChar w:fldCharType="begin"/>
    </w:r>
    <w:r>
      <w:instrText xml:space="preserve"> PAGE </w:instrText>
    </w:r>
    <w:r>
      <w:fldChar w:fldCharType="separate"/>
    </w:r>
    <w:r w:rsidR="00E256A4">
      <w:rPr>
        <w:noProof/>
      </w:rPr>
      <w:t>20</w:t>
    </w:r>
    <w:r>
      <w:fldChar w:fldCharType="end"/>
    </w:r>
  </w:p>
  <w:p w:rsidR="000A25E4" w:rsidRDefault="000A25E4">
    <w:pPr>
      <w:pStyle w:val="Header"/>
      <w:framePr w:wrap="auto" w:vAnchor="text" w:hAnchor="margin" w:y="1"/>
      <w:widowControl/>
    </w:pPr>
    <w:r>
      <w:fldChar w:fldCharType="begin"/>
    </w:r>
    <w:r>
      <w:instrText xml:space="preserve"> STYLEREF ZGSM </w:instrText>
    </w:r>
    <w:r>
      <w:fldChar w:fldCharType="separate"/>
    </w:r>
    <w:r w:rsidR="005C11E8">
      <w:rPr>
        <w:noProof/>
      </w:rPr>
      <w:t>Release 18</w:t>
    </w:r>
    <w:r>
      <w:fldChar w:fldCharType="end"/>
    </w:r>
  </w:p>
  <w:p w:rsidR="000A25E4" w:rsidRDefault="000A25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50C9C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D4880D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A903896"/>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5FD65B4"/>
    <w:multiLevelType w:val="hybridMultilevel"/>
    <w:tmpl w:val="CDDE5AEA"/>
    <w:lvl w:ilvl="0" w:tplc="0407000F">
      <w:start w:val="1"/>
      <w:numFmt w:val="decimal"/>
      <w:lvlText w:val="%1."/>
      <w:lvlJc w:val="left"/>
      <w:pPr>
        <w:ind w:left="1004" w:hanging="360"/>
      </w:pPr>
    </w:lvl>
    <w:lvl w:ilvl="1" w:tplc="04070019">
      <w:start w:val="1"/>
      <w:numFmt w:val="lowerLetter"/>
      <w:lvlText w:val="%2."/>
      <w:lvlJc w:val="left"/>
      <w:pPr>
        <w:ind w:left="1724" w:hanging="360"/>
      </w:pPr>
    </w:lvl>
    <w:lvl w:ilvl="2" w:tplc="0407001B">
      <w:start w:val="1"/>
      <w:numFmt w:val="lowerRoman"/>
      <w:lvlText w:val="%3."/>
      <w:lvlJc w:val="right"/>
      <w:pPr>
        <w:ind w:left="2444" w:hanging="180"/>
      </w:pPr>
    </w:lvl>
    <w:lvl w:ilvl="3" w:tplc="0407000F">
      <w:start w:val="1"/>
      <w:numFmt w:val="decimal"/>
      <w:lvlText w:val="%4."/>
      <w:lvlJc w:val="left"/>
      <w:pPr>
        <w:ind w:left="3164" w:hanging="360"/>
      </w:pPr>
    </w:lvl>
    <w:lvl w:ilvl="4" w:tplc="04070019">
      <w:start w:val="1"/>
      <w:numFmt w:val="lowerLetter"/>
      <w:lvlText w:val="%5."/>
      <w:lvlJc w:val="left"/>
      <w:pPr>
        <w:ind w:left="3884" w:hanging="360"/>
      </w:pPr>
    </w:lvl>
    <w:lvl w:ilvl="5" w:tplc="0407001B">
      <w:start w:val="1"/>
      <w:numFmt w:val="lowerRoman"/>
      <w:lvlText w:val="%6."/>
      <w:lvlJc w:val="right"/>
      <w:pPr>
        <w:ind w:left="4604" w:hanging="180"/>
      </w:pPr>
    </w:lvl>
    <w:lvl w:ilvl="6" w:tplc="0407000F">
      <w:start w:val="1"/>
      <w:numFmt w:val="decimal"/>
      <w:lvlText w:val="%7."/>
      <w:lvlJc w:val="left"/>
      <w:pPr>
        <w:ind w:left="5324" w:hanging="360"/>
      </w:pPr>
    </w:lvl>
    <w:lvl w:ilvl="7" w:tplc="04070019">
      <w:start w:val="1"/>
      <w:numFmt w:val="lowerLetter"/>
      <w:lvlText w:val="%8."/>
      <w:lvlJc w:val="left"/>
      <w:pPr>
        <w:ind w:left="6044" w:hanging="360"/>
      </w:pPr>
    </w:lvl>
    <w:lvl w:ilvl="8" w:tplc="0407001B">
      <w:start w:val="1"/>
      <w:numFmt w:val="lowerRoman"/>
      <w:lvlText w:val="%9."/>
      <w:lvlJc w:val="right"/>
      <w:pPr>
        <w:ind w:left="6764" w:hanging="180"/>
      </w:pPr>
    </w:lvl>
  </w:abstractNum>
  <w:abstractNum w:abstractNumId="6" w15:restartNumberingAfterBreak="0">
    <w:nsid w:val="11564C9D"/>
    <w:multiLevelType w:val="hybridMultilevel"/>
    <w:tmpl w:val="F3A0E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8DE163E"/>
    <w:multiLevelType w:val="hybridMultilevel"/>
    <w:tmpl w:val="CDDE5AEA"/>
    <w:lvl w:ilvl="0" w:tplc="0407000F">
      <w:start w:val="1"/>
      <w:numFmt w:val="decimal"/>
      <w:lvlText w:val="%1."/>
      <w:lvlJc w:val="left"/>
      <w:pPr>
        <w:ind w:left="1004" w:hanging="360"/>
      </w:pPr>
    </w:lvl>
    <w:lvl w:ilvl="1" w:tplc="04070019">
      <w:start w:val="1"/>
      <w:numFmt w:val="lowerLetter"/>
      <w:lvlText w:val="%2."/>
      <w:lvlJc w:val="left"/>
      <w:pPr>
        <w:ind w:left="1724" w:hanging="360"/>
      </w:pPr>
    </w:lvl>
    <w:lvl w:ilvl="2" w:tplc="0407001B">
      <w:start w:val="1"/>
      <w:numFmt w:val="lowerRoman"/>
      <w:lvlText w:val="%3."/>
      <w:lvlJc w:val="right"/>
      <w:pPr>
        <w:ind w:left="2444" w:hanging="180"/>
      </w:pPr>
    </w:lvl>
    <w:lvl w:ilvl="3" w:tplc="0407000F">
      <w:start w:val="1"/>
      <w:numFmt w:val="decimal"/>
      <w:lvlText w:val="%4."/>
      <w:lvlJc w:val="left"/>
      <w:pPr>
        <w:ind w:left="3164" w:hanging="360"/>
      </w:pPr>
    </w:lvl>
    <w:lvl w:ilvl="4" w:tplc="04070019">
      <w:start w:val="1"/>
      <w:numFmt w:val="lowerLetter"/>
      <w:lvlText w:val="%5."/>
      <w:lvlJc w:val="left"/>
      <w:pPr>
        <w:ind w:left="3884" w:hanging="360"/>
      </w:pPr>
    </w:lvl>
    <w:lvl w:ilvl="5" w:tplc="0407001B">
      <w:start w:val="1"/>
      <w:numFmt w:val="lowerRoman"/>
      <w:lvlText w:val="%6."/>
      <w:lvlJc w:val="right"/>
      <w:pPr>
        <w:ind w:left="4604" w:hanging="180"/>
      </w:pPr>
    </w:lvl>
    <w:lvl w:ilvl="6" w:tplc="0407000F">
      <w:start w:val="1"/>
      <w:numFmt w:val="decimal"/>
      <w:lvlText w:val="%7."/>
      <w:lvlJc w:val="left"/>
      <w:pPr>
        <w:ind w:left="5324" w:hanging="360"/>
      </w:pPr>
    </w:lvl>
    <w:lvl w:ilvl="7" w:tplc="04070019">
      <w:start w:val="1"/>
      <w:numFmt w:val="lowerLetter"/>
      <w:lvlText w:val="%8."/>
      <w:lvlJc w:val="left"/>
      <w:pPr>
        <w:ind w:left="6044" w:hanging="360"/>
      </w:pPr>
    </w:lvl>
    <w:lvl w:ilvl="8" w:tplc="0407001B">
      <w:start w:val="1"/>
      <w:numFmt w:val="lowerRoman"/>
      <w:lvlText w:val="%9."/>
      <w:lvlJc w:val="right"/>
      <w:pPr>
        <w:ind w:left="6764" w:hanging="180"/>
      </w:pPr>
    </w:lvl>
  </w:abstractNum>
  <w:abstractNum w:abstractNumId="8" w15:restartNumberingAfterBreak="0">
    <w:nsid w:val="35431943"/>
    <w:multiLevelType w:val="hybridMultilevel"/>
    <w:tmpl w:val="8DC67DE2"/>
    <w:lvl w:ilvl="0" w:tplc="F67ED2FE">
      <w:start w:val="1"/>
      <w:numFmt w:val="bullet"/>
      <w:lvlText w:val="-"/>
      <w:lvlJc w:val="left"/>
      <w:pPr>
        <w:ind w:left="765" w:hanging="360"/>
      </w:pPr>
      <w:rPr>
        <w:rFonts w:ascii="Times New Roman" w:eastAsia="SimSun" w:hAnsi="Times New Roman" w:cs="Times New Roman" w:hint="default"/>
      </w:rPr>
    </w:lvl>
    <w:lvl w:ilvl="1" w:tplc="04070003">
      <w:start w:val="1"/>
      <w:numFmt w:val="bullet"/>
      <w:lvlText w:val="o"/>
      <w:lvlJc w:val="left"/>
      <w:pPr>
        <w:ind w:left="1485" w:hanging="360"/>
      </w:pPr>
      <w:rPr>
        <w:rFonts w:ascii="Courier New" w:hAnsi="Courier New" w:cs="Courier New" w:hint="default"/>
      </w:rPr>
    </w:lvl>
    <w:lvl w:ilvl="2" w:tplc="04070005">
      <w:start w:val="1"/>
      <w:numFmt w:val="bullet"/>
      <w:lvlText w:val=""/>
      <w:lvlJc w:val="left"/>
      <w:pPr>
        <w:ind w:left="2205" w:hanging="360"/>
      </w:pPr>
      <w:rPr>
        <w:rFonts w:ascii="Wingdings" w:hAnsi="Wingdings" w:hint="default"/>
      </w:rPr>
    </w:lvl>
    <w:lvl w:ilvl="3" w:tplc="04070001">
      <w:start w:val="1"/>
      <w:numFmt w:val="bullet"/>
      <w:lvlText w:val=""/>
      <w:lvlJc w:val="left"/>
      <w:pPr>
        <w:ind w:left="2925" w:hanging="360"/>
      </w:pPr>
      <w:rPr>
        <w:rFonts w:ascii="Symbol" w:hAnsi="Symbol" w:hint="default"/>
      </w:rPr>
    </w:lvl>
    <w:lvl w:ilvl="4" w:tplc="04070003">
      <w:start w:val="1"/>
      <w:numFmt w:val="bullet"/>
      <w:lvlText w:val="o"/>
      <w:lvlJc w:val="left"/>
      <w:pPr>
        <w:ind w:left="3645" w:hanging="360"/>
      </w:pPr>
      <w:rPr>
        <w:rFonts w:ascii="Courier New" w:hAnsi="Courier New" w:cs="Courier New" w:hint="default"/>
      </w:rPr>
    </w:lvl>
    <w:lvl w:ilvl="5" w:tplc="04070005">
      <w:start w:val="1"/>
      <w:numFmt w:val="bullet"/>
      <w:lvlText w:val=""/>
      <w:lvlJc w:val="left"/>
      <w:pPr>
        <w:ind w:left="4365" w:hanging="360"/>
      </w:pPr>
      <w:rPr>
        <w:rFonts w:ascii="Wingdings" w:hAnsi="Wingdings" w:hint="default"/>
      </w:rPr>
    </w:lvl>
    <w:lvl w:ilvl="6" w:tplc="04070001">
      <w:start w:val="1"/>
      <w:numFmt w:val="bullet"/>
      <w:lvlText w:val=""/>
      <w:lvlJc w:val="left"/>
      <w:pPr>
        <w:ind w:left="5085" w:hanging="360"/>
      </w:pPr>
      <w:rPr>
        <w:rFonts w:ascii="Symbol" w:hAnsi="Symbol" w:hint="default"/>
      </w:rPr>
    </w:lvl>
    <w:lvl w:ilvl="7" w:tplc="04070003">
      <w:start w:val="1"/>
      <w:numFmt w:val="bullet"/>
      <w:lvlText w:val="o"/>
      <w:lvlJc w:val="left"/>
      <w:pPr>
        <w:ind w:left="5805" w:hanging="360"/>
      </w:pPr>
      <w:rPr>
        <w:rFonts w:ascii="Courier New" w:hAnsi="Courier New" w:cs="Courier New" w:hint="default"/>
      </w:rPr>
    </w:lvl>
    <w:lvl w:ilvl="8" w:tplc="04070005">
      <w:start w:val="1"/>
      <w:numFmt w:val="bullet"/>
      <w:lvlText w:val=""/>
      <w:lvlJc w:val="left"/>
      <w:pPr>
        <w:ind w:left="6525" w:hanging="360"/>
      </w:pPr>
      <w:rPr>
        <w:rFonts w:ascii="Wingdings" w:hAnsi="Wingdings" w:hint="default"/>
      </w:rPr>
    </w:lvl>
  </w:abstractNum>
  <w:abstractNum w:abstractNumId="9" w15:restartNumberingAfterBreak="0">
    <w:nsid w:val="38CF247D"/>
    <w:multiLevelType w:val="hybridMultilevel"/>
    <w:tmpl w:val="1E1A107C"/>
    <w:lvl w:ilvl="0" w:tplc="F67ED2FE">
      <w:start w:val="1"/>
      <w:numFmt w:val="bullet"/>
      <w:lvlText w:val="-"/>
      <w:lvlJc w:val="left"/>
      <w:pPr>
        <w:ind w:left="720" w:hanging="360"/>
      </w:pPr>
      <w:rPr>
        <w:rFonts w:ascii="Times New Roman" w:eastAsia="SimSu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4"/>
  </w:num>
  <w:num w:numId="4">
    <w:abstractNumId w:val="9"/>
    <w:lvlOverride w:ilvl="0"/>
    <w:lvlOverride w:ilvl="1"/>
    <w:lvlOverride w:ilvl="2"/>
    <w:lvlOverride w:ilvl="3"/>
    <w:lvlOverride w:ilvl="4"/>
    <w:lvlOverride w:ilvl="5"/>
    <w:lvlOverride w:ilvl="6"/>
    <w:lvlOverride w:ilvl="7"/>
    <w:lvlOverride w:ilvl="8"/>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lvlOverride w:ilvl="2"/>
    <w:lvlOverride w:ilvl="3"/>
    <w:lvlOverride w:ilvl="4"/>
    <w:lvlOverride w:ilvl="5"/>
    <w:lvlOverride w:ilvl="6"/>
    <w:lvlOverride w:ilvl="7"/>
    <w:lvlOverride w:ilvl="8"/>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10515"/>
    <w:rsid w:val="0002191D"/>
    <w:rsid w:val="000266A0"/>
    <w:rsid w:val="00031C1D"/>
    <w:rsid w:val="000359E8"/>
    <w:rsid w:val="00054482"/>
    <w:rsid w:val="00070A91"/>
    <w:rsid w:val="00073B46"/>
    <w:rsid w:val="00081681"/>
    <w:rsid w:val="00093E7E"/>
    <w:rsid w:val="000A25E4"/>
    <w:rsid w:val="000B4E46"/>
    <w:rsid w:val="000C4A79"/>
    <w:rsid w:val="000D6CFC"/>
    <w:rsid w:val="000F28E2"/>
    <w:rsid w:val="001155EF"/>
    <w:rsid w:val="001351DC"/>
    <w:rsid w:val="00144AA0"/>
    <w:rsid w:val="00150970"/>
    <w:rsid w:val="00153528"/>
    <w:rsid w:val="001A08AA"/>
    <w:rsid w:val="001A3120"/>
    <w:rsid w:val="001C2225"/>
    <w:rsid w:val="001C3A35"/>
    <w:rsid w:val="001D5E57"/>
    <w:rsid w:val="001D65DB"/>
    <w:rsid w:val="001E1458"/>
    <w:rsid w:val="001F390D"/>
    <w:rsid w:val="002016D2"/>
    <w:rsid w:val="00212373"/>
    <w:rsid w:val="002138EA"/>
    <w:rsid w:val="00214FBD"/>
    <w:rsid w:val="00222897"/>
    <w:rsid w:val="00222F50"/>
    <w:rsid w:val="00224795"/>
    <w:rsid w:val="00233BA4"/>
    <w:rsid w:val="00235394"/>
    <w:rsid w:val="00257C4F"/>
    <w:rsid w:val="0026179F"/>
    <w:rsid w:val="00274E1A"/>
    <w:rsid w:val="00282213"/>
    <w:rsid w:val="002A2F29"/>
    <w:rsid w:val="002A3B7C"/>
    <w:rsid w:val="002C524B"/>
    <w:rsid w:val="002D2F98"/>
    <w:rsid w:val="002F4093"/>
    <w:rsid w:val="002F6420"/>
    <w:rsid w:val="002F7115"/>
    <w:rsid w:val="00367724"/>
    <w:rsid w:val="00373A0E"/>
    <w:rsid w:val="003A1C31"/>
    <w:rsid w:val="003B08C7"/>
    <w:rsid w:val="003B6ED9"/>
    <w:rsid w:val="003D387C"/>
    <w:rsid w:val="003D7994"/>
    <w:rsid w:val="003E0ED5"/>
    <w:rsid w:val="00402615"/>
    <w:rsid w:val="00405A5A"/>
    <w:rsid w:val="00414306"/>
    <w:rsid w:val="00420F55"/>
    <w:rsid w:val="004211F7"/>
    <w:rsid w:val="00423416"/>
    <w:rsid w:val="00441BC9"/>
    <w:rsid w:val="00444225"/>
    <w:rsid w:val="004633DF"/>
    <w:rsid w:val="004715B2"/>
    <w:rsid w:val="00474646"/>
    <w:rsid w:val="00491B68"/>
    <w:rsid w:val="00495F8F"/>
    <w:rsid w:val="00496C7E"/>
    <w:rsid w:val="004A17C7"/>
    <w:rsid w:val="004A34B3"/>
    <w:rsid w:val="004B20ED"/>
    <w:rsid w:val="004C3E67"/>
    <w:rsid w:val="004D6B6D"/>
    <w:rsid w:val="004F7A3D"/>
    <w:rsid w:val="00500F6A"/>
    <w:rsid w:val="00505BFA"/>
    <w:rsid w:val="00512553"/>
    <w:rsid w:val="005310E9"/>
    <w:rsid w:val="0053406A"/>
    <w:rsid w:val="00556578"/>
    <w:rsid w:val="00572EF6"/>
    <w:rsid w:val="00591272"/>
    <w:rsid w:val="005C11E8"/>
    <w:rsid w:val="005C4F6D"/>
    <w:rsid w:val="005D3B73"/>
    <w:rsid w:val="00603EE1"/>
    <w:rsid w:val="00615D9E"/>
    <w:rsid w:val="00645857"/>
    <w:rsid w:val="00645FA9"/>
    <w:rsid w:val="006512E9"/>
    <w:rsid w:val="00656D8D"/>
    <w:rsid w:val="006856E5"/>
    <w:rsid w:val="006B0D02"/>
    <w:rsid w:val="006B7F2F"/>
    <w:rsid w:val="006F59B1"/>
    <w:rsid w:val="00701CC8"/>
    <w:rsid w:val="0070646B"/>
    <w:rsid w:val="007066FA"/>
    <w:rsid w:val="00707941"/>
    <w:rsid w:val="0070797F"/>
    <w:rsid w:val="0072177D"/>
    <w:rsid w:val="00736A12"/>
    <w:rsid w:val="00737407"/>
    <w:rsid w:val="00744A6B"/>
    <w:rsid w:val="00780793"/>
    <w:rsid w:val="007A4587"/>
    <w:rsid w:val="007B6CF3"/>
    <w:rsid w:val="007D6048"/>
    <w:rsid w:val="007F0E1E"/>
    <w:rsid w:val="007F62EA"/>
    <w:rsid w:val="00811ECD"/>
    <w:rsid w:val="008163F5"/>
    <w:rsid w:val="00836C44"/>
    <w:rsid w:val="00847DB3"/>
    <w:rsid w:val="00893454"/>
    <w:rsid w:val="00895F5D"/>
    <w:rsid w:val="008C4F72"/>
    <w:rsid w:val="008C60E9"/>
    <w:rsid w:val="008C6F60"/>
    <w:rsid w:val="008D10F5"/>
    <w:rsid w:val="008D7A12"/>
    <w:rsid w:val="008E7092"/>
    <w:rsid w:val="008F2520"/>
    <w:rsid w:val="008F489C"/>
    <w:rsid w:val="008F7D93"/>
    <w:rsid w:val="00913FEE"/>
    <w:rsid w:val="00922403"/>
    <w:rsid w:val="00931702"/>
    <w:rsid w:val="00943193"/>
    <w:rsid w:val="00952953"/>
    <w:rsid w:val="00964C40"/>
    <w:rsid w:val="00983910"/>
    <w:rsid w:val="0098713A"/>
    <w:rsid w:val="009C0727"/>
    <w:rsid w:val="009C3BA2"/>
    <w:rsid w:val="009E0DBB"/>
    <w:rsid w:val="009E394E"/>
    <w:rsid w:val="00A06787"/>
    <w:rsid w:val="00A14BFC"/>
    <w:rsid w:val="00A17573"/>
    <w:rsid w:val="00A26CA8"/>
    <w:rsid w:val="00A27623"/>
    <w:rsid w:val="00A331F2"/>
    <w:rsid w:val="00A37B79"/>
    <w:rsid w:val="00A5355D"/>
    <w:rsid w:val="00A65439"/>
    <w:rsid w:val="00A72864"/>
    <w:rsid w:val="00A74CEA"/>
    <w:rsid w:val="00A81B15"/>
    <w:rsid w:val="00A85DBC"/>
    <w:rsid w:val="00A92F7C"/>
    <w:rsid w:val="00AB3B59"/>
    <w:rsid w:val="00AB3F85"/>
    <w:rsid w:val="00B107FD"/>
    <w:rsid w:val="00B334C0"/>
    <w:rsid w:val="00B41733"/>
    <w:rsid w:val="00B4247F"/>
    <w:rsid w:val="00B461AF"/>
    <w:rsid w:val="00B47983"/>
    <w:rsid w:val="00B8446C"/>
    <w:rsid w:val="00B8792C"/>
    <w:rsid w:val="00B96469"/>
    <w:rsid w:val="00BA44E1"/>
    <w:rsid w:val="00BB0587"/>
    <w:rsid w:val="00BD2202"/>
    <w:rsid w:val="00C10E39"/>
    <w:rsid w:val="00C20205"/>
    <w:rsid w:val="00C75CEA"/>
    <w:rsid w:val="00C847C6"/>
    <w:rsid w:val="00CD2094"/>
    <w:rsid w:val="00CD5D88"/>
    <w:rsid w:val="00CE372F"/>
    <w:rsid w:val="00D24FFB"/>
    <w:rsid w:val="00D27E2A"/>
    <w:rsid w:val="00D37AA5"/>
    <w:rsid w:val="00D520E4"/>
    <w:rsid w:val="00D536BD"/>
    <w:rsid w:val="00D57DFA"/>
    <w:rsid w:val="00D81548"/>
    <w:rsid w:val="00D97C78"/>
    <w:rsid w:val="00DC2C16"/>
    <w:rsid w:val="00DC3004"/>
    <w:rsid w:val="00DD0C2C"/>
    <w:rsid w:val="00E0497F"/>
    <w:rsid w:val="00E1306A"/>
    <w:rsid w:val="00E256A4"/>
    <w:rsid w:val="00E412B8"/>
    <w:rsid w:val="00E55ABC"/>
    <w:rsid w:val="00E57B74"/>
    <w:rsid w:val="00E7412D"/>
    <w:rsid w:val="00E75CB9"/>
    <w:rsid w:val="00E85AED"/>
    <w:rsid w:val="00E8629F"/>
    <w:rsid w:val="00E94084"/>
    <w:rsid w:val="00EA3C24"/>
    <w:rsid w:val="00EA43F3"/>
    <w:rsid w:val="00F072D8"/>
    <w:rsid w:val="00F9478C"/>
    <w:rsid w:val="00FA0648"/>
    <w:rsid w:val="00FC051F"/>
    <w:rsid w:val="00FC278F"/>
    <w:rsid w:val="00FD2B94"/>
    <w:rsid w:val="00FD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6680C05-242E-4784-9AC4-0369DB5E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F28E2"/>
    <w:pPr>
      <w:overflowPunct w:val="0"/>
      <w:autoSpaceDE w:val="0"/>
      <w:autoSpaceDN w:val="0"/>
      <w:adjustRightInd w:val="0"/>
      <w:spacing w:after="180"/>
      <w:textAlignment w:val="baseline"/>
    </w:pPr>
    <w:rPr>
      <w:lang w:val="en-GB" w:eastAsia="en-GB"/>
    </w:rPr>
  </w:style>
  <w:style w:type="paragraph" w:styleId="Heading1">
    <w:name w:val="heading 1"/>
    <w:next w:val="Normal"/>
    <w:link w:val="Heading1Char"/>
    <w:qFormat/>
    <w:rsid w:val="000F28E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0F28E2"/>
    <w:pPr>
      <w:pBdr>
        <w:top w:val="none" w:sz="0" w:space="0" w:color="auto"/>
      </w:pBdr>
      <w:spacing w:before="180"/>
      <w:outlineLvl w:val="1"/>
    </w:pPr>
    <w:rPr>
      <w:sz w:val="32"/>
    </w:rPr>
  </w:style>
  <w:style w:type="paragraph" w:styleId="Heading3">
    <w:name w:val="heading 3"/>
    <w:basedOn w:val="Heading2"/>
    <w:next w:val="Normal"/>
    <w:link w:val="Heading3Char"/>
    <w:qFormat/>
    <w:rsid w:val="000F28E2"/>
    <w:pPr>
      <w:spacing w:before="120"/>
      <w:outlineLvl w:val="2"/>
    </w:pPr>
    <w:rPr>
      <w:sz w:val="28"/>
    </w:rPr>
  </w:style>
  <w:style w:type="paragraph" w:styleId="Heading4">
    <w:name w:val="heading 4"/>
    <w:basedOn w:val="Heading3"/>
    <w:next w:val="Normal"/>
    <w:link w:val="Heading4Char"/>
    <w:qFormat/>
    <w:rsid w:val="000F28E2"/>
    <w:pPr>
      <w:ind w:left="1418" w:hanging="1418"/>
      <w:outlineLvl w:val="3"/>
    </w:pPr>
    <w:rPr>
      <w:sz w:val="24"/>
    </w:rPr>
  </w:style>
  <w:style w:type="paragraph" w:styleId="Heading5">
    <w:name w:val="heading 5"/>
    <w:basedOn w:val="Heading4"/>
    <w:next w:val="Normal"/>
    <w:qFormat/>
    <w:rsid w:val="000F28E2"/>
    <w:pPr>
      <w:ind w:left="1701" w:hanging="1701"/>
      <w:outlineLvl w:val="4"/>
    </w:pPr>
    <w:rPr>
      <w:sz w:val="22"/>
    </w:rPr>
  </w:style>
  <w:style w:type="paragraph" w:styleId="Heading6">
    <w:name w:val="heading 6"/>
    <w:basedOn w:val="H6"/>
    <w:next w:val="Normal"/>
    <w:qFormat/>
    <w:rsid w:val="000F28E2"/>
    <w:pPr>
      <w:outlineLvl w:val="5"/>
    </w:pPr>
  </w:style>
  <w:style w:type="paragraph" w:styleId="Heading7">
    <w:name w:val="heading 7"/>
    <w:basedOn w:val="H6"/>
    <w:next w:val="Normal"/>
    <w:qFormat/>
    <w:rsid w:val="000F28E2"/>
    <w:pPr>
      <w:outlineLvl w:val="6"/>
    </w:pPr>
  </w:style>
  <w:style w:type="paragraph" w:styleId="Heading8">
    <w:name w:val="heading 8"/>
    <w:basedOn w:val="Heading1"/>
    <w:next w:val="Normal"/>
    <w:qFormat/>
    <w:rsid w:val="000F28E2"/>
    <w:pPr>
      <w:ind w:left="0" w:firstLine="0"/>
      <w:outlineLvl w:val="7"/>
    </w:pPr>
  </w:style>
  <w:style w:type="paragraph" w:styleId="Heading9">
    <w:name w:val="heading 9"/>
    <w:basedOn w:val="Heading8"/>
    <w:next w:val="Normal"/>
    <w:qFormat/>
    <w:rsid w:val="000F28E2"/>
    <w:pPr>
      <w:outlineLvl w:val="8"/>
    </w:pPr>
  </w:style>
  <w:style w:type="character" w:default="1" w:styleId="DefaultParagraphFont">
    <w:name w:val="Default Paragraph Font"/>
    <w:semiHidden/>
    <w:rsid w:val="000F28E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0F28E2"/>
  </w:style>
  <w:style w:type="paragraph" w:customStyle="1" w:styleId="H6">
    <w:name w:val="H6"/>
    <w:basedOn w:val="Heading5"/>
    <w:next w:val="Normal"/>
    <w:rsid w:val="000F28E2"/>
    <w:pPr>
      <w:ind w:left="1985" w:hanging="1985"/>
      <w:outlineLvl w:val="9"/>
    </w:pPr>
    <w:rPr>
      <w:sz w:val="20"/>
    </w:rPr>
  </w:style>
  <w:style w:type="paragraph" w:styleId="TOC9">
    <w:name w:val="toc 9"/>
    <w:basedOn w:val="TOC8"/>
    <w:uiPriority w:val="39"/>
    <w:rsid w:val="000F28E2"/>
    <w:pPr>
      <w:ind w:left="1418" w:hanging="1418"/>
    </w:pPr>
  </w:style>
  <w:style w:type="paragraph" w:styleId="TOC8">
    <w:name w:val="toc 8"/>
    <w:basedOn w:val="TOC1"/>
    <w:semiHidden/>
    <w:rsid w:val="000F28E2"/>
    <w:pPr>
      <w:spacing w:before="180"/>
      <w:ind w:left="2693" w:hanging="2693"/>
    </w:pPr>
    <w:rPr>
      <w:b/>
    </w:rPr>
  </w:style>
  <w:style w:type="paragraph" w:styleId="TOC1">
    <w:name w:val="toc 1"/>
    <w:uiPriority w:val="39"/>
    <w:rsid w:val="000F28E2"/>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GB"/>
    </w:rPr>
  </w:style>
  <w:style w:type="paragraph" w:customStyle="1" w:styleId="EQ">
    <w:name w:val="EQ"/>
    <w:basedOn w:val="Normal"/>
    <w:next w:val="Normal"/>
    <w:rsid w:val="000F28E2"/>
    <w:pPr>
      <w:keepLines/>
      <w:tabs>
        <w:tab w:val="center" w:pos="4536"/>
        <w:tab w:val="right" w:pos="9072"/>
      </w:tabs>
    </w:pPr>
  </w:style>
  <w:style w:type="character" w:customStyle="1" w:styleId="ZGSM">
    <w:name w:val="ZGSM"/>
    <w:rsid w:val="000F28E2"/>
  </w:style>
  <w:style w:type="paragraph" w:styleId="Header">
    <w:name w:val="header"/>
    <w:rsid w:val="000F28E2"/>
    <w:pPr>
      <w:widowControl w:val="0"/>
      <w:overflowPunct w:val="0"/>
      <w:autoSpaceDE w:val="0"/>
      <w:autoSpaceDN w:val="0"/>
      <w:adjustRightInd w:val="0"/>
      <w:textAlignment w:val="baseline"/>
    </w:pPr>
    <w:rPr>
      <w:rFonts w:ascii="Arial" w:hAnsi="Arial"/>
      <w:b/>
      <w:sz w:val="18"/>
      <w:lang w:val="en-GB" w:eastAsia="en-GB"/>
    </w:rPr>
  </w:style>
  <w:style w:type="paragraph" w:customStyle="1" w:styleId="ZD">
    <w:name w:val="ZD"/>
    <w:rsid w:val="000F28E2"/>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styleId="TOC5">
    <w:name w:val="toc 5"/>
    <w:basedOn w:val="TOC4"/>
    <w:uiPriority w:val="39"/>
    <w:rsid w:val="000F28E2"/>
    <w:pPr>
      <w:ind w:left="1701" w:hanging="1701"/>
    </w:pPr>
  </w:style>
  <w:style w:type="paragraph" w:styleId="TOC4">
    <w:name w:val="toc 4"/>
    <w:basedOn w:val="TOC3"/>
    <w:uiPriority w:val="39"/>
    <w:rsid w:val="000F28E2"/>
    <w:pPr>
      <w:ind w:left="1418" w:hanging="1418"/>
    </w:pPr>
  </w:style>
  <w:style w:type="paragraph" w:styleId="TOC3">
    <w:name w:val="toc 3"/>
    <w:basedOn w:val="TOC2"/>
    <w:uiPriority w:val="39"/>
    <w:rsid w:val="000F28E2"/>
    <w:pPr>
      <w:ind w:left="1134" w:hanging="1134"/>
    </w:pPr>
  </w:style>
  <w:style w:type="paragraph" w:styleId="TOC2">
    <w:name w:val="toc 2"/>
    <w:basedOn w:val="TOC1"/>
    <w:uiPriority w:val="39"/>
    <w:rsid w:val="000F28E2"/>
    <w:pPr>
      <w:keepNext w:val="0"/>
      <w:spacing w:before="0"/>
      <w:ind w:left="851" w:hanging="851"/>
    </w:pPr>
    <w:rPr>
      <w:sz w:val="20"/>
    </w:rPr>
  </w:style>
  <w:style w:type="paragraph" w:styleId="Index1">
    <w:name w:val="index 1"/>
    <w:basedOn w:val="Normal"/>
    <w:semiHidden/>
    <w:rsid w:val="000F28E2"/>
    <w:pPr>
      <w:keepLines/>
      <w:spacing w:after="0"/>
    </w:pPr>
  </w:style>
  <w:style w:type="paragraph" w:styleId="Index2">
    <w:name w:val="index 2"/>
    <w:basedOn w:val="Index1"/>
    <w:semiHidden/>
    <w:rsid w:val="000F28E2"/>
    <w:pPr>
      <w:ind w:left="284"/>
    </w:pPr>
  </w:style>
  <w:style w:type="paragraph" w:customStyle="1" w:styleId="TT">
    <w:name w:val="TT"/>
    <w:basedOn w:val="Heading1"/>
    <w:next w:val="Normal"/>
    <w:rsid w:val="000F28E2"/>
    <w:pPr>
      <w:outlineLvl w:val="9"/>
    </w:pPr>
  </w:style>
  <w:style w:type="paragraph" w:styleId="Footer">
    <w:name w:val="footer"/>
    <w:basedOn w:val="Header"/>
    <w:rsid w:val="000F28E2"/>
    <w:pPr>
      <w:jc w:val="center"/>
    </w:pPr>
    <w:rPr>
      <w:i/>
    </w:rPr>
  </w:style>
  <w:style w:type="character" w:styleId="FootnoteReference">
    <w:name w:val="footnote reference"/>
    <w:semiHidden/>
    <w:rsid w:val="000F28E2"/>
    <w:rPr>
      <w:b/>
      <w:position w:val="6"/>
      <w:sz w:val="16"/>
    </w:rPr>
  </w:style>
  <w:style w:type="paragraph" w:styleId="FootnoteText">
    <w:name w:val="footnote text"/>
    <w:basedOn w:val="Normal"/>
    <w:semiHidden/>
    <w:rsid w:val="000F28E2"/>
    <w:pPr>
      <w:keepLines/>
      <w:spacing w:after="0"/>
      <w:ind w:left="454" w:hanging="454"/>
    </w:pPr>
    <w:rPr>
      <w:sz w:val="16"/>
    </w:rPr>
  </w:style>
  <w:style w:type="paragraph" w:customStyle="1" w:styleId="NF">
    <w:name w:val="NF"/>
    <w:basedOn w:val="NO"/>
    <w:rsid w:val="000F28E2"/>
    <w:pPr>
      <w:keepNext/>
      <w:spacing w:after="0"/>
    </w:pPr>
    <w:rPr>
      <w:rFonts w:ascii="Arial" w:hAnsi="Arial"/>
      <w:sz w:val="18"/>
    </w:rPr>
  </w:style>
  <w:style w:type="paragraph" w:customStyle="1" w:styleId="NO">
    <w:name w:val="NO"/>
    <w:basedOn w:val="Normal"/>
    <w:link w:val="NOChar"/>
    <w:rsid w:val="000F28E2"/>
    <w:pPr>
      <w:keepLines/>
      <w:ind w:left="1135" w:hanging="851"/>
    </w:pPr>
  </w:style>
  <w:style w:type="paragraph" w:customStyle="1" w:styleId="PL">
    <w:name w:val="PL"/>
    <w:rsid w:val="000F28E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GB"/>
    </w:rPr>
  </w:style>
  <w:style w:type="paragraph" w:customStyle="1" w:styleId="TAR">
    <w:name w:val="TAR"/>
    <w:basedOn w:val="TAL"/>
    <w:rsid w:val="000F28E2"/>
    <w:pPr>
      <w:jc w:val="right"/>
    </w:pPr>
  </w:style>
  <w:style w:type="paragraph" w:customStyle="1" w:styleId="TAL">
    <w:name w:val="TAL"/>
    <w:basedOn w:val="Normal"/>
    <w:link w:val="TALChar"/>
    <w:rsid w:val="000F28E2"/>
    <w:pPr>
      <w:keepNext/>
      <w:keepLines/>
      <w:spacing w:after="0"/>
    </w:pPr>
    <w:rPr>
      <w:rFonts w:ascii="Arial" w:hAnsi="Arial"/>
      <w:sz w:val="18"/>
    </w:rPr>
  </w:style>
  <w:style w:type="paragraph" w:styleId="ListNumber2">
    <w:name w:val="List Number 2"/>
    <w:basedOn w:val="ListNumber"/>
    <w:rsid w:val="000F28E2"/>
    <w:pPr>
      <w:ind w:left="851"/>
    </w:pPr>
  </w:style>
  <w:style w:type="paragraph" w:styleId="ListNumber">
    <w:name w:val="List Number"/>
    <w:basedOn w:val="List"/>
    <w:rsid w:val="000F28E2"/>
  </w:style>
  <w:style w:type="paragraph" w:styleId="List">
    <w:name w:val="List"/>
    <w:basedOn w:val="Normal"/>
    <w:rsid w:val="000F28E2"/>
    <w:pPr>
      <w:ind w:left="568" w:hanging="284"/>
    </w:pPr>
  </w:style>
  <w:style w:type="paragraph" w:customStyle="1" w:styleId="TAH">
    <w:name w:val="TAH"/>
    <w:basedOn w:val="TAC"/>
    <w:link w:val="TAHCar"/>
    <w:rsid w:val="000F28E2"/>
    <w:rPr>
      <w:b/>
    </w:rPr>
  </w:style>
  <w:style w:type="paragraph" w:customStyle="1" w:styleId="TAC">
    <w:name w:val="TAC"/>
    <w:basedOn w:val="TAL"/>
    <w:rsid w:val="000F28E2"/>
    <w:pPr>
      <w:jc w:val="center"/>
    </w:pPr>
  </w:style>
  <w:style w:type="paragraph" w:customStyle="1" w:styleId="LD">
    <w:name w:val="LD"/>
    <w:rsid w:val="000F28E2"/>
    <w:pPr>
      <w:keepNext/>
      <w:keepLines/>
      <w:overflowPunct w:val="0"/>
      <w:autoSpaceDE w:val="0"/>
      <w:autoSpaceDN w:val="0"/>
      <w:adjustRightInd w:val="0"/>
      <w:spacing w:line="180" w:lineRule="exact"/>
      <w:textAlignment w:val="baseline"/>
    </w:pPr>
    <w:rPr>
      <w:rFonts w:ascii="Courier New" w:hAnsi="Courier New"/>
      <w:lang w:val="en-GB" w:eastAsia="en-GB"/>
    </w:rPr>
  </w:style>
  <w:style w:type="paragraph" w:customStyle="1" w:styleId="EX">
    <w:name w:val="EX"/>
    <w:basedOn w:val="Normal"/>
    <w:rsid w:val="000F28E2"/>
    <w:pPr>
      <w:keepLines/>
      <w:ind w:left="1702" w:hanging="1418"/>
    </w:pPr>
  </w:style>
  <w:style w:type="paragraph" w:customStyle="1" w:styleId="FP">
    <w:name w:val="FP"/>
    <w:basedOn w:val="Normal"/>
    <w:rsid w:val="000F28E2"/>
    <w:pPr>
      <w:spacing w:after="0"/>
    </w:pPr>
  </w:style>
  <w:style w:type="paragraph" w:customStyle="1" w:styleId="NW">
    <w:name w:val="NW"/>
    <w:basedOn w:val="NO"/>
    <w:rsid w:val="000F28E2"/>
    <w:pPr>
      <w:spacing w:after="0"/>
    </w:pPr>
  </w:style>
  <w:style w:type="paragraph" w:customStyle="1" w:styleId="EW">
    <w:name w:val="EW"/>
    <w:basedOn w:val="EX"/>
    <w:rsid w:val="000F28E2"/>
    <w:pPr>
      <w:spacing w:after="0"/>
    </w:pPr>
  </w:style>
  <w:style w:type="paragraph" w:customStyle="1" w:styleId="B1">
    <w:name w:val="B1"/>
    <w:basedOn w:val="List"/>
    <w:link w:val="B1Char"/>
    <w:qFormat/>
    <w:rsid w:val="000F28E2"/>
  </w:style>
  <w:style w:type="paragraph" w:styleId="TOC6">
    <w:name w:val="toc 6"/>
    <w:basedOn w:val="TOC5"/>
    <w:next w:val="Normal"/>
    <w:semiHidden/>
    <w:rsid w:val="000F28E2"/>
    <w:pPr>
      <w:ind w:left="1985" w:hanging="1985"/>
    </w:pPr>
  </w:style>
  <w:style w:type="paragraph" w:styleId="TOC7">
    <w:name w:val="toc 7"/>
    <w:basedOn w:val="TOC6"/>
    <w:next w:val="Normal"/>
    <w:semiHidden/>
    <w:rsid w:val="000F28E2"/>
    <w:pPr>
      <w:ind w:left="2268" w:hanging="2268"/>
    </w:pPr>
  </w:style>
  <w:style w:type="paragraph" w:styleId="ListBullet2">
    <w:name w:val="List Bullet 2"/>
    <w:basedOn w:val="ListBullet"/>
    <w:rsid w:val="000F28E2"/>
    <w:pPr>
      <w:ind w:left="851"/>
    </w:pPr>
  </w:style>
  <w:style w:type="paragraph" w:styleId="ListBullet">
    <w:name w:val="List Bullet"/>
    <w:basedOn w:val="List"/>
    <w:rsid w:val="000F28E2"/>
  </w:style>
  <w:style w:type="paragraph" w:customStyle="1" w:styleId="EditorsNote">
    <w:name w:val="Editor's Note"/>
    <w:basedOn w:val="NO"/>
    <w:link w:val="EditorsNoteChar"/>
    <w:rsid w:val="000F28E2"/>
    <w:rPr>
      <w:color w:val="FF0000"/>
    </w:rPr>
  </w:style>
  <w:style w:type="paragraph" w:customStyle="1" w:styleId="TH">
    <w:name w:val="TH"/>
    <w:basedOn w:val="Normal"/>
    <w:link w:val="THChar"/>
    <w:rsid w:val="000F28E2"/>
    <w:pPr>
      <w:keepNext/>
      <w:keepLines/>
      <w:spacing w:before="60"/>
      <w:jc w:val="center"/>
    </w:pPr>
    <w:rPr>
      <w:rFonts w:ascii="Arial" w:hAnsi="Arial"/>
      <w:b/>
    </w:rPr>
  </w:style>
  <w:style w:type="paragraph" w:customStyle="1" w:styleId="ZA">
    <w:name w:val="ZA"/>
    <w:rsid w:val="000F28E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0F28E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0F28E2"/>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0F28E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rsid w:val="000F28E2"/>
    <w:pPr>
      <w:ind w:left="851" w:hanging="851"/>
    </w:pPr>
  </w:style>
  <w:style w:type="paragraph" w:customStyle="1" w:styleId="ZH">
    <w:name w:val="ZH"/>
    <w:rsid w:val="000F28E2"/>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customStyle="1" w:styleId="TF">
    <w:name w:val="TF"/>
    <w:basedOn w:val="TH"/>
    <w:link w:val="TFChar"/>
    <w:rsid w:val="000F28E2"/>
    <w:pPr>
      <w:keepNext w:val="0"/>
      <w:spacing w:before="0" w:after="240"/>
    </w:pPr>
  </w:style>
  <w:style w:type="paragraph" w:customStyle="1" w:styleId="ZG">
    <w:name w:val="ZG"/>
    <w:rsid w:val="000F28E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styleId="ListBullet3">
    <w:name w:val="List Bullet 3"/>
    <w:basedOn w:val="ListBullet2"/>
    <w:rsid w:val="000F28E2"/>
    <w:pPr>
      <w:ind w:left="1135"/>
    </w:pPr>
  </w:style>
  <w:style w:type="paragraph" w:styleId="List2">
    <w:name w:val="List 2"/>
    <w:basedOn w:val="List"/>
    <w:rsid w:val="000F28E2"/>
    <w:pPr>
      <w:ind w:left="851"/>
    </w:pPr>
  </w:style>
  <w:style w:type="paragraph" w:styleId="List3">
    <w:name w:val="List 3"/>
    <w:basedOn w:val="List2"/>
    <w:rsid w:val="000F28E2"/>
    <w:pPr>
      <w:ind w:left="1135"/>
    </w:pPr>
  </w:style>
  <w:style w:type="paragraph" w:styleId="List4">
    <w:name w:val="List 4"/>
    <w:basedOn w:val="List3"/>
    <w:rsid w:val="000F28E2"/>
    <w:pPr>
      <w:ind w:left="1418"/>
    </w:pPr>
  </w:style>
  <w:style w:type="paragraph" w:styleId="List5">
    <w:name w:val="List 5"/>
    <w:basedOn w:val="List4"/>
    <w:rsid w:val="000F28E2"/>
    <w:pPr>
      <w:ind w:left="1702"/>
    </w:pPr>
  </w:style>
  <w:style w:type="paragraph" w:styleId="ListBullet4">
    <w:name w:val="List Bullet 4"/>
    <w:basedOn w:val="ListBullet3"/>
    <w:rsid w:val="000F28E2"/>
    <w:pPr>
      <w:ind w:left="1418"/>
    </w:pPr>
  </w:style>
  <w:style w:type="paragraph" w:styleId="ListBullet5">
    <w:name w:val="List Bullet 5"/>
    <w:basedOn w:val="ListBullet4"/>
    <w:rsid w:val="000F28E2"/>
    <w:pPr>
      <w:ind w:left="1702"/>
    </w:pPr>
  </w:style>
  <w:style w:type="paragraph" w:customStyle="1" w:styleId="B2">
    <w:name w:val="B2"/>
    <w:basedOn w:val="List2"/>
    <w:rsid w:val="000F28E2"/>
  </w:style>
  <w:style w:type="paragraph" w:customStyle="1" w:styleId="B3">
    <w:name w:val="B3"/>
    <w:basedOn w:val="List3"/>
    <w:rsid w:val="000F28E2"/>
  </w:style>
  <w:style w:type="paragraph" w:customStyle="1" w:styleId="B4">
    <w:name w:val="B4"/>
    <w:basedOn w:val="List4"/>
    <w:rsid w:val="000F28E2"/>
  </w:style>
  <w:style w:type="paragraph" w:customStyle="1" w:styleId="B5">
    <w:name w:val="B5"/>
    <w:basedOn w:val="List5"/>
    <w:rsid w:val="000F28E2"/>
  </w:style>
  <w:style w:type="paragraph" w:customStyle="1" w:styleId="ZTD">
    <w:name w:val="ZTD"/>
    <w:basedOn w:val="ZB"/>
    <w:rsid w:val="000F28E2"/>
    <w:pPr>
      <w:framePr w:hRule="auto" w:wrap="notBeside" w:y="852"/>
    </w:pPr>
    <w:rPr>
      <w:i w:val="0"/>
      <w:sz w:val="40"/>
    </w:rPr>
  </w:style>
  <w:style w:type="paragraph" w:customStyle="1" w:styleId="ZV">
    <w:name w:val="ZV"/>
    <w:basedOn w:val="ZU"/>
    <w:rsid w:val="000F28E2"/>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character" w:customStyle="1" w:styleId="Heading1Char">
    <w:name w:val="Heading 1 Char"/>
    <w:link w:val="Heading1"/>
    <w:rsid w:val="00495F8F"/>
    <w:rPr>
      <w:rFonts w:ascii="Arial" w:hAnsi="Arial"/>
      <w:sz w:val="36"/>
    </w:rPr>
  </w:style>
  <w:style w:type="character" w:customStyle="1" w:styleId="Heading2Char">
    <w:name w:val="Heading 2 Char"/>
    <w:aliases w:val="h2 Char,2nd level Char,H2 Char,UNDERRUBRIK 1-2 Char,†berschrift 2 Char,õberschrift 2 Char"/>
    <w:link w:val="Heading2"/>
    <w:rsid w:val="00495F8F"/>
    <w:rPr>
      <w:rFonts w:ascii="Arial" w:hAnsi="Arial"/>
      <w:sz w:val="32"/>
    </w:rPr>
  </w:style>
  <w:style w:type="character" w:customStyle="1" w:styleId="Heading3Char">
    <w:name w:val="Heading 3 Char"/>
    <w:link w:val="Heading3"/>
    <w:rsid w:val="00495F8F"/>
    <w:rPr>
      <w:rFonts w:ascii="Arial" w:hAnsi="Arial"/>
      <w:sz w:val="28"/>
    </w:rPr>
  </w:style>
  <w:style w:type="character" w:customStyle="1" w:styleId="EditorsNoteChar">
    <w:name w:val="Editor's Note Char"/>
    <w:aliases w:val="EN Char"/>
    <w:link w:val="EditorsNote"/>
    <w:locked/>
    <w:rsid w:val="00495F8F"/>
    <w:rPr>
      <w:color w:val="FF0000"/>
    </w:rPr>
  </w:style>
  <w:style w:type="character" w:customStyle="1" w:styleId="TALChar">
    <w:name w:val="TAL Char"/>
    <w:link w:val="TAL"/>
    <w:rsid w:val="00591272"/>
    <w:rPr>
      <w:rFonts w:ascii="Arial" w:hAnsi="Arial"/>
      <w:sz w:val="18"/>
    </w:rPr>
  </w:style>
  <w:style w:type="paragraph" w:styleId="BalloonText">
    <w:name w:val="Balloon Text"/>
    <w:basedOn w:val="Normal"/>
    <w:link w:val="BalloonTextChar"/>
    <w:rsid w:val="00D24FFB"/>
    <w:pPr>
      <w:spacing w:after="0"/>
    </w:pPr>
    <w:rPr>
      <w:rFonts w:ascii="Segoe UI" w:hAnsi="Segoe UI" w:cs="Segoe UI"/>
      <w:sz w:val="18"/>
      <w:szCs w:val="18"/>
    </w:rPr>
  </w:style>
  <w:style w:type="character" w:customStyle="1" w:styleId="BalloonTextChar">
    <w:name w:val="Balloon Text Char"/>
    <w:link w:val="BalloonText"/>
    <w:rsid w:val="00D24FFB"/>
    <w:rPr>
      <w:rFonts w:ascii="Segoe UI" w:hAnsi="Segoe UI" w:cs="Segoe UI"/>
      <w:sz w:val="18"/>
      <w:szCs w:val="18"/>
    </w:rPr>
  </w:style>
  <w:style w:type="character" w:customStyle="1" w:styleId="Heading4Char">
    <w:name w:val="Heading 4 Char"/>
    <w:link w:val="Heading4"/>
    <w:rsid w:val="00603EE1"/>
    <w:rPr>
      <w:rFonts w:ascii="Arial" w:hAnsi="Arial"/>
      <w:sz w:val="24"/>
    </w:rPr>
  </w:style>
  <w:style w:type="character" w:customStyle="1" w:styleId="THChar">
    <w:name w:val="TH Char"/>
    <w:link w:val="TH"/>
    <w:qFormat/>
    <w:locked/>
    <w:rsid w:val="00603EE1"/>
    <w:rPr>
      <w:rFonts w:ascii="Arial" w:hAnsi="Arial"/>
      <w:b/>
    </w:rPr>
  </w:style>
  <w:style w:type="character" w:customStyle="1" w:styleId="B1Char">
    <w:name w:val="B1 Char"/>
    <w:link w:val="B1"/>
    <w:qFormat/>
    <w:locked/>
    <w:rsid w:val="00603EE1"/>
  </w:style>
  <w:style w:type="character" w:customStyle="1" w:styleId="TFChar">
    <w:name w:val="TF Char"/>
    <w:link w:val="TF"/>
    <w:qFormat/>
    <w:locked/>
    <w:rsid w:val="00603EE1"/>
    <w:rPr>
      <w:rFonts w:ascii="Arial" w:hAnsi="Arial"/>
      <w:b/>
    </w:rPr>
  </w:style>
  <w:style w:type="paragraph" w:styleId="ListParagraph">
    <w:name w:val="List Paragraph"/>
    <w:basedOn w:val="Normal"/>
    <w:uiPriority w:val="34"/>
    <w:qFormat/>
    <w:rsid w:val="003E0ED5"/>
    <w:pPr>
      <w:spacing w:before="60" w:after="120"/>
      <w:ind w:left="720"/>
      <w:contextualSpacing/>
    </w:pPr>
  </w:style>
  <w:style w:type="character" w:customStyle="1" w:styleId="NOChar">
    <w:name w:val="NO Char"/>
    <w:link w:val="NO"/>
    <w:qFormat/>
    <w:locked/>
    <w:rsid w:val="000359E8"/>
  </w:style>
  <w:style w:type="character" w:customStyle="1" w:styleId="TAHCar">
    <w:name w:val="TAH Car"/>
    <w:link w:val="TAH"/>
    <w:locked/>
    <w:rsid w:val="001C2225"/>
    <w:rPr>
      <w:rFonts w:ascii="Arial" w:hAnsi="Arial"/>
      <w:b/>
      <w:sz w:val="18"/>
    </w:rPr>
  </w:style>
  <w:style w:type="paragraph" w:styleId="Bibliography">
    <w:name w:val="Bibliography"/>
    <w:basedOn w:val="Normal"/>
    <w:next w:val="Normal"/>
    <w:uiPriority w:val="37"/>
    <w:semiHidden/>
    <w:unhideWhenUsed/>
    <w:rsid w:val="000F28E2"/>
  </w:style>
  <w:style w:type="paragraph" w:styleId="BlockText">
    <w:name w:val="Block Text"/>
    <w:basedOn w:val="Normal"/>
    <w:rsid w:val="000F28E2"/>
    <w:pPr>
      <w:spacing w:after="120"/>
      <w:ind w:left="1440" w:right="1440"/>
    </w:pPr>
  </w:style>
  <w:style w:type="paragraph" w:styleId="BodyText2">
    <w:name w:val="Body Text 2"/>
    <w:basedOn w:val="Normal"/>
    <w:link w:val="BodyText2Char"/>
    <w:rsid w:val="000F28E2"/>
    <w:pPr>
      <w:spacing w:after="120" w:line="480" w:lineRule="auto"/>
    </w:pPr>
  </w:style>
  <w:style w:type="character" w:customStyle="1" w:styleId="BodyText2Char">
    <w:name w:val="Body Text 2 Char"/>
    <w:basedOn w:val="DefaultParagraphFont"/>
    <w:link w:val="BodyText2"/>
    <w:rsid w:val="000F28E2"/>
  </w:style>
  <w:style w:type="paragraph" w:styleId="BodyText3">
    <w:name w:val="Body Text 3"/>
    <w:basedOn w:val="Normal"/>
    <w:link w:val="BodyText3Char"/>
    <w:rsid w:val="000F28E2"/>
    <w:pPr>
      <w:spacing w:after="120"/>
    </w:pPr>
    <w:rPr>
      <w:sz w:val="16"/>
      <w:szCs w:val="16"/>
    </w:rPr>
  </w:style>
  <w:style w:type="character" w:customStyle="1" w:styleId="BodyText3Char">
    <w:name w:val="Body Text 3 Char"/>
    <w:link w:val="BodyText3"/>
    <w:rsid w:val="000F28E2"/>
    <w:rPr>
      <w:sz w:val="16"/>
      <w:szCs w:val="16"/>
    </w:rPr>
  </w:style>
  <w:style w:type="paragraph" w:styleId="BodyTextFirstIndent">
    <w:name w:val="Body Text First Indent"/>
    <w:basedOn w:val="BodyText"/>
    <w:link w:val="BodyTextFirstIndentChar"/>
    <w:rsid w:val="000F28E2"/>
    <w:pPr>
      <w:spacing w:after="120"/>
      <w:ind w:firstLine="210"/>
    </w:pPr>
  </w:style>
  <w:style w:type="character" w:customStyle="1" w:styleId="BodyTextChar">
    <w:name w:val="Body Text Char"/>
    <w:basedOn w:val="DefaultParagraphFont"/>
    <w:link w:val="BodyText"/>
    <w:rsid w:val="000F28E2"/>
  </w:style>
  <w:style w:type="character" w:customStyle="1" w:styleId="BodyTextFirstIndentChar">
    <w:name w:val="Body Text First Indent Char"/>
    <w:basedOn w:val="BodyTextChar"/>
    <w:link w:val="BodyTextFirstIndent"/>
    <w:rsid w:val="000F28E2"/>
  </w:style>
  <w:style w:type="paragraph" w:styleId="BodyTextIndent">
    <w:name w:val="Body Text Indent"/>
    <w:basedOn w:val="Normal"/>
    <w:link w:val="BodyTextIndentChar"/>
    <w:rsid w:val="000F28E2"/>
    <w:pPr>
      <w:spacing w:after="120"/>
      <w:ind w:left="283"/>
    </w:pPr>
  </w:style>
  <w:style w:type="character" w:customStyle="1" w:styleId="BodyTextIndentChar">
    <w:name w:val="Body Text Indent Char"/>
    <w:basedOn w:val="DefaultParagraphFont"/>
    <w:link w:val="BodyTextIndent"/>
    <w:rsid w:val="000F28E2"/>
  </w:style>
  <w:style w:type="paragraph" w:styleId="BodyTextFirstIndent2">
    <w:name w:val="Body Text First Indent 2"/>
    <w:basedOn w:val="BodyTextIndent"/>
    <w:link w:val="BodyTextFirstIndent2Char"/>
    <w:rsid w:val="000F28E2"/>
    <w:pPr>
      <w:ind w:firstLine="210"/>
    </w:pPr>
  </w:style>
  <w:style w:type="character" w:customStyle="1" w:styleId="BodyTextFirstIndent2Char">
    <w:name w:val="Body Text First Indent 2 Char"/>
    <w:basedOn w:val="BodyTextIndentChar"/>
    <w:link w:val="BodyTextFirstIndent2"/>
    <w:rsid w:val="000F28E2"/>
  </w:style>
  <w:style w:type="paragraph" w:styleId="BodyTextIndent2">
    <w:name w:val="Body Text Indent 2"/>
    <w:basedOn w:val="Normal"/>
    <w:link w:val="BodyTextIndent2Char"/>
    <w:rsid w:val="000F28E2"/>
    <w:pPr>
      <w:spacing w:after="120" w:line="480" w:lineRule="auto"/>
      <w:ind w:left="283"/>
    </w:pPr>
  </w:style>
  <w:style w:type="character" w:customStyle="1" w:styleId="BodyTextIndent2Char">
    <w:name w:val="Body Text Indent 2 Char"/>
    <w:basedOn w:val="DefaultParagraphFont"/>
    <w:link w:val="BodyTextIndent2"/>
    <w:rsid w:val="000F28E2"/>
  </w:style>
  <w:style w:type="paragraph" w:styleId="BodyTextIndent3">
    <w:name w:val="Body Text Indent 3"/>
    <w:basedOn w:val="Normal"/>
    <w:link w:val="BodyTextIndent3Char"/>
    <w:rsid w:val="000F28E2"/>
    <w:pPr>
      <w:spacing w:after="120"/>
      <w:ind w:left="283"/>
    </w:pPr>
    <w:rPr>
      <w:sz w:val="16"/>
      <w:szCs w:val="16"/>
    </w:rPr>
  </w:style>
  <w:style w:type="character" w:customStyle="1" w:styleId="BodyTextIndent3Char">
    <w:name w:val="Body Text Indent 3 Char"/>
    <w:link w:val="BodyTextIndent3"/>
    <w:rsid w:val="000F28E2"/>
    <w:rPr>
      <w:sz w:val="16"/>
      <w:szCs w:val="16"/>
    </w:rPr>
  </w:style>
  <w:style w:type="paragraph" w:styleId="Closing">
    <w:name w:val="Closing"/>
    <w:basedOn w:val="Normal"/>
    <w:link w:val="ClosingChar"/>
    <w:rsid w:val="000F28E2"/>
    <w:pPr>
      <w:ind w:left="4252"/>
    </w:pPr>
  </w:style>
  <w:style w:type="character" w:customStyle="1" w:styleId="ClosingChar">
    <w:name w:val="Closing Char"/>
    <w:basedOn w:val="DefaultParagraphFont"/>
    <w:link w:val="Closing"/>
    <w:rsid w:val="000F28E2"/>
  </w:style>
  <w:style w:type="paragraph" w:styleId="CommentSubject">
    <w:name w:val="annotation subject"/>
    <w:basedOn w:val="CommentText"/>
    <w:next w:val="CommentText"/>
    <w:link w:val="CommentSubjectChar"/>
    <w:rsid w:val="000F28E2"/>
    <w:rPr>
      <w:b/>
      <w:bCs/>
    </w:rPr>
  </w:style>
  <w:style w:type="character" w:customStyle="1" w:styleId="CommentTextChar">
    <w:name w:val="Comment Text Char"/>
    <w:basedOn w:val="DefaultParagraphFont"/>
    <w:link w:val="CommentText"/>
    <w:semiHidden/>
    <w:rsid w:val="000F28E2"/>
  </w:style>
  <w:style w:type="character" w:customStyle="1" w:styleId="CommentSubjectChar">
    <w:name w:val="Comment Subject Char"/>
    <w:link w:val="CommentSubject"/>
    <w:rsid w:val="000F28E2"/>
    <w:rPr>
      <w:b/>
      <w:bCs/>
    </w:rPr>
  </w:style>
  <w:style w:type="paragraph" w:styleId="Date">
    <w:name w:val="Date"/>
    <w:basedOn w:val="Normal"/>
    <w:next w:val="Normal"/>
    <w:link w:val="DateChar"/>
    <w:rsid w:val="000F28E2"/>
  </w:style>
  <w:style w:type="character" w:customStyle="1" w:styleId="DateChar">
    <w:name w:val="Date Char"/>
    <w:basedOn w:val="DefaultParagraphFont"/>
    <w:link w:val="Date"/>
    <w:rsid w:val="000F28E2"/>
  </w:style>
  <w:style w:type="paragraph" w:styleId="E-mailSignature">
    <w:name w:val="E-mail Signature"/>
    <w:basedOn w:val="Normal"/>
    <w:link w:val="E-mailSignatureChar"/>
    <w:rsid w:val="000F28E2"/>
  </w:style>
  <w:style w:type="character" w:customStyle="1" w:styleId="E-mailSignatureChar">
    <w:name w:val="E-mail Signature Char"/>
    <w:basedOn w:val="DefaultParagraphFont"/>
    <w:link w:val="E-mailSignature"/>
    <w:rsid w:val="000F28E2"/>
  </w:style>
  <w:style w:type="paragraph" w:styleId="EndnoteText">
    <w:name w:val="endnote text"/>
    <w:basedOn w:val="Normal"/>
    <w:link w:val="EndnoteTextChar"/>
    <w:rsid w:val="000F28E2"/>
  </w:style>
  <w:style w:type="character" w:customStyle="1" w:styleId="EndnoteTextChar">
    <w:name w:val="Endnote Text Char"/>
    <w:basedOn w:val="DefaultParagraphFont"/>
    <w:link w:val="EndnoteText"/>
    <w:rsid w:val="000F28E2"/>
  </w:style>
  <w:style w:type="paragraph" w:styleId="EnvelopeAddress">
    <w:name w:val="envelope address"/>
    <w:basedOn w:val="Normal"/>
    <w:rsid w:val="000F28E2"/>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0F28E2"/>
    <w:rPr>
      <w:rFonts w:ascii="Calibri Light" w:hAnsi="Calibri Light"/>
    </w:rPr>
  </w:style>
  <w:style w:type="paragraph" w:styleId="HTMLAddress">
    <w:name w:val="HTML Address"/>
    <w:basedOn w:val="Normal"/>
    <w:link w:val="HTMLAddressChar"/>
    <w:rsid w:val="000F28E2"/>
    <w:rPr>
      <w:i/>
      <w:iCs/>
    </w:rPr>
  </w:style>
  <w:style w:type="character" w:customStyle="1" w:styleId="HTMLAddressChar">
    <w:name w:val="HTML Address Char"/>
    <w:link w:val="HTMLAddress"/>
    <w:rsid w:val="000F28E2"/>
    <w:rPr>
      <w:i/>
      <w:iCs/>
    </w:rPr>
  </w:style>
  <w:style w:type="paragraph" w:styleId="HTMLPreformatted">
    <w:name w:val="HTML Preformatted"/>
    <w:basedOn w:val="Normal"/>
    <w:link w:val="HTMLPreformattedChar"/>
    <w:rsid w:val="000F28E2"/>
    <w:rPr>
      <w:rFonts w:ascii="Courier New" w:hAnsi="Courier New" w:cs="Courier New"/>
    </w:rPr>
  </w:style>
  <w:style w:type="character" w:customStyle="1" w:styleId="HTMLPreformattedChar">
    <w:name w:val="HTML Preformatted Char"/>
    <w:link w:val="HTMLPreformatted"/>
    <w:rsid w:val="000F28E2"/>
    <w:rPr>
      <w:rFonts w:ascii="Courier New" w:hAnsi="Courier New" w:cs="Courier New"/>
    </w:rPr>
  </w:style>
  <w:style w:type="paragraph" w:styleId="Index3">
    <w:name w:val="index 3"/>
    <w:basedOn w:val="Normal"/>
    <w:next w:val="Normal"/>
    <w:rsid w:val="000F28E2"/>
    <w:pPr>
      <w:ind w:left="600" w:hanging="200"/>
    </w:pPr>
  </w:style>
  <w:style w:type="paragraph" w:styleId="Index4">
    <w:name w:val="index 4"/>
    <w:basedOn w:val="Normal"/>
    <w:next w:val="Normal"/>
    <w:rsid w:val="000F28E2"/>
    <w:pPr>
      <w:ind w:left="800" w:hanging="200"/>
    </w:pPr>
  </w:style>
  <w:style w:type="paragraph" w:styleId="Index5">
    <w:name w:val="index 5"/>
    <w:basedOn w:val="Normal"/>
    <w:next w:val="Normal"/>
    <w:rsid w:val="000F28E2"/>
    <w:pPr>
      <w:ind w:left="1000" w:hanging="200"/>
    </w:pPr>
  </w:style>
  <w:style w:type="paragraph" w:styleId="Index6">
    <w:name w:val="index 6"/>
    <w:basedOn w:val="Normal"/>
    <w:next w:val="Normal"/>
    <w:rsid w:val="000F28E2"/>
    <w:pPr>
      <w:ind w:left="1200" w:hanging="200"/>
    </w:pPr>
  </w:style>
  <w:style w:type="paragraph" w:styleId="Index7">
    <w:name w:val="index 7"/>
    <w:basedOn w:val="Normal"/>
    <w:next w:val="Normal"/>
    <w:rsid w:val="000F28E2"/>
    <w:pPr>
      <w:ind w:left="1400" w:hanging="200"/>
    </w:pPr>
  </w:style>
  <w:style w:type="paragraph" w:styleId="Index8">
    <w:name w:val="index 8"/>
    <w:basedOn w:val="Normal"/>
    <w:next w:val="Normal"/>
    <w:rsid w:val="000F28E2"/>
    <w:pPr>
      <w:ind w:left="1600" w:hanging="200"/>
    </w:pPr>
  </w:style>
  <w:style w:type="paragraph" w:styleId="Index9">
    <w:name w:val="index 9"/>
    <w:basedOn w:val="Normal"/>
    <w:next w:val="Normal"/>
    <w:rsid w:val="000F28E2"/>
    <w:pPr>
      <w:ind w:left="1800" w:hanging="200"/>
    </w:pPr>
  </w:style>
  <w:style w:type="paragraph" w:styleId="IntenseQuote">
    <w:name w:val="Intense Quote"/>
    <w:basedOn w:val="Normal"/>
    <w:next w:val="Normal"/>
    <w:link w:val="IntenseQuoteChar"/>
    <w:uiPriority w:val="30"/>
    <w:qFormat/>
    <w:rsid w:val="000F28E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F28E2"/>
    <w:rPr>
      <w:i/>
      <w:iCs/>
      <w:color w:val="4472C4"/>
    </w:rPr>
  </w:style>
  <w:style w:type="paragraph" w:styleId="ListContinue">
    <w:name w:val="List Continue"/>
    <w:basedOn w:val="Normal"/>
    <w:rsid w:val="000F28E2"/>
    <w:pPr>
      <w:spacing w:after="120"/>
      <w:ind w:left="283"/>
      <w:contextualSpacing/>
    </w:pPr>
  </w:style>
  <w:style w:type="paragraph" w:styleId="ListContinue2">
    <w:name w:val="List Continue 2"/>
    <w:basedOn w:val="Normal"/>
    <w:rsid w:val="000F28E2"/>
    <w:pPr>
      <w:spacing w:after="120"/>
      <w:ind w:left="566"/>
      <w:contextualSpacing/>
    </w:pPr>
  </w:style>
  <w:style w:type="paragraph" w:styleId="ListContinue3">
    <w:name w:val="List Continue 3"/>
    <w:basedOn w:val="Normal"/>
    <w:rsid w:val="000F28E2"/>
    <w:pPr>
      <w:spacing w:after="120"/>
      <w:ind w:left="849"/>
      <w:contextualSpacing/>
    </w:pPr>
  </w:style>
  <w:style w:type="paragraph" w:styleId="ListContinue4">
    <w:name w:val="List Continue 4"/>
    <w:basedOn w:val="Normal"/>
    <w:rsid w:val="000F28E2"/>
    <w:pPr>
      <w:spacing w:after="120"/>
      <w:ind w:left="1132"/>
      <w:contextualSpacing/>
    </w:pPr>
  </w:style>
  <w:style w:type="paragraph" w:styleId="ListContinue5">
    <w:name w:val="List Continue 5"/>
    <w:basedOn w:val="Normal"/>
    <w:rsid w:val="000F28E2"/>
    <w:pPr>
      <w:spacing w:after="120"/>
      <w:ind w:left="1415"/>
      <w:contextualSpacing/>
    </w:pPr>
  </w:style>
  <w:style w:type="paragraph" w:styleId="ListNumber3">
    <w:name w:val="List Number 3"/>
    <w:basedOn w:val="Normal"/>
    <w:rsid w:val="000F28E2"/>
    <w:pPr>
      <w:numPr>
        <w:numId w:val="9"/>
      </w:numPr>
      <w:contextualSpacing/>
    </w:pPr>
  </w:style>
  <w:style w:type="paragraph" w:styleId="ListNumber4">
    <w:name w:val="List Number 4"/>
    <w:basedOn w:val="Normal"/>
    <w:rsid w:val="000F28E2"/>
    <w:pPr>
      <w:numPr>
        <w:numId w:val="10"/>
      </w:numPr>
      <w:contextualSpacing/>
    </w:pPr>
  </w:style>
  <w:style w:type="paragraph" w:styleId="ListNumber5">
    <w:name w:val="List Number 5"/>
    <w:basedOn w:val="Normal"/>
    <w:rsid w:val="000F28E2"/>
    <w:pPr>
      <w:numPr>
        <w:numId w:val="11"/>
      </w:numPr>
      <w:contextualSpacing/>
    </w:pPr>
  </w:style>
  <w:style w:type="paragraph" w:styleId="MacroText">
    <w:name w:val="macro"/>
    <w:link w:val="MacroTextChar"/>
    <w:rsid w:val="000F28E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GB"/>
    </w:rPr>
  </w:style>
  <w:style w:type="character" w:customStyle="1" w:styleId="MacroTextChar">
    <w:name w:val="Macro Text Char"/>
    <w:link w:val="MacroText"/>
    <w:rsid w:val="000F28E2"/>
    <w:rPr>
      <w:rFonts w:ascii="Courier New" w:hAnsi="Courier New" w:cs="Courier New"/>
    </w:rPr>
  </w:style>
  <w:style w:type="paragraph" w:styleId="MessageHeader">
    <w:name w:val="Message Header"/>
    <w:basedOn w:val="Normal"/>
    <w:link w:val="MessageHeaderChar"/>
    <w:rsid w:val="000F28E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0F28E2"/>
    <w:rPr>
      <w:rFonts w:ascii="Calibri Light" w:hAnsi="Calibri Light"/>
      <w:sz w:val="24"/>
      <w:szCs w:val="24"/>
      <w:shd w:val="pct20" w:color="auto" w:fill="auto"/>
    </w:rPr>
  </w:style>
  <w:style w:type="paragraph" w:styleId="NoSpacing">
    <w:name w:val="No Spacing"/>
    <w:uiPriority w:val="1"/>
    <w:qFormat/>
    <w:rsid w:val="000F28E2"/>
    <w:pPr>
      <w:overflowPunct w:val="0"/>
      <w:autoSpaceDE w:val="0"/>
      <w:autoSpaceDN w:val="0"/>
      <w:adjustRightInd w:val="0"/>
      <w:textAlignment w:val="baseline"/>
    </w:pPr>
    <w:rPr>
      <w:lang w:val="en-GB" w:eastAsia="en-GB"/>
    </w:rPr>
  </w:style>
  <w:style w:type="paragraph" w:styleId="NormalWeb">
    <w:name w:val="Normal (Web)"/>
    <w:basedOn w:val="Normal"/>
    <w:rsid w:val="000F28E2"/>
    <w:rPr>
      <w:sz w:val="24"/>
      <w:szCs w:val="24"/>
    </w:rPr>
  </w:style>
  <w:style w:type="paragraph" w:styleId="NormalIndent">
    <w:name w:val="Normal Indent"/>
    <w:basedOn w:val="Normal"/>
    <w:rsid w:val="000F28E2"/>
    <w:pPr>
      <w:ind w:left="720"/>
    </w:pPr>
  </w:style>
  <w:style w:type="paragraph" w:styleId="NoteHeading">
    <w:name w:val="Note Heading"/>
    <w:basedOn w:val="Normal"/>
    <w:next w:val="Normal"/>
    <w:link w:val="NoteHeadingChar"/>
    <w:rsid w:val="000F28E2"/>
  </w:style>
  <w:style w:type="character" w:customStyle="1" w:styleId="NoteHeadingChar">
    <w:name w:val="Note Heading Char"/>
    <w:basedOn w:val="DefaultParagraphFont"/>
    <w:link w:val="NoteHeading"/>
    <w:rsid w:val="000F28E2"/>
  </w:style>
  <w:style w:type="paragraph" w:styleId="Quote">
    <w:name w:val="Quote"/>
    <w:basedOn w:val="Normal"/>
    <w:next w:val="Normal"/>
    <w:link w:val="QuoteChar"/>
    <w:uiPriority w:val="29"/>
    <w:qFormat/>
    <w:rsid w:val="000F28E2"/>
    <w:pPr>
      <w:spacing w:before="200" w:after="160"/>
      <w:ind w:left="864" w:right="864"/>
      <w:jc w:val="center"/>
    </w:pPr>
    <w:rPr>
      <w:i/>
      <w:iCs/>
      <w:color w:val="404040"/>
    </w:rPr>
  </w:style>
  <w:style w:type="character" w:customStyle="1" w:styleId="QuoteChar">
    <w:name w:val="Quote Char"/>
    <w:link w:val="Quote"/>
    <w:uiPriority w:val="29"/>
    <w:rsid w:val="000F28E2"/>
    <w:rPr>
      <w:i/>
      <w:iCs/>
      <w:color w:val="404040"/>
    </w:rPr>
  </w:style>
  <w:style w:type="paragraph" w:styleId="Salutation">
    <w:name w:val="Salutation"/>
    <w:basedOn w:val="Normal"/>
    <w:next w:val="Normal"/>
    <w:link w:val="SalutationChar"/>
    <w:rsid w:val="000F28E2"/>
  </w:style>
  <w:style w:type="character" w:customStyle="1" w:styleId="SalutationChar">
    <w:name w:val="Salutation Char"/>
    <w:basedOn w:val="DefaultParagraphFont"/>
    <w:link w:val="Salutation"/>
    <w:rsid w:val="000F28E2"/>
  </w:style>
  <w:style w:type="paragraph" w:styleId="Signature">
    <w:name w:val="Signature"/>
    <w:basedOn w:val="Normal"/>
    <w:link w:val="SignatureChar"/>
    <w:rsid w:val="000F28E2"/>
    <w:pPr>
      <w:ind w:left="4252"/>
    </w:pPr>
  </w:style>
  <w:style w:type="character" w:customStyle="1" w:styleId="SignatureChar">
    <w:name w:val="Signature Char"/>
    <w:basedOn w:val="DefaultParagraphFont"/>
    <w:link w:val="Signature"/>
    <w:rsid w:val="000F28E2"/>
  </w:style>
  <w:style w:type="paragraph" w:styleId="Subtitle">
    <w:name w:val="Subtitle"/>
    <w:basedOn w:val="Normal"/>
    <w:next w:val="Normal"/>
    <w:link w:val="SubtitleChar"/>
    <w:qFormat/>
    <w:rsid w:val="000F28E2"/>
    <w:pPr>
      <w:spacing w:after="60"/>
      <w:jc w:val="center"/>
      <w:outlineLvl w:val="1"/>
    </w:pPr>
    <w:rPr>
      <w:rFonts w:ascii="Calibri Light" w:hAnsi="Calibri Light"/>
      <w:sz w:val="24"/>
      <w:szCs w:val="24"/>
    </w:rPr>
  </w:style>
  <w:style w:type="character" w:customStyle="1" w:styleId="SubtitleChar">
    <w:name w:val="Subtitle Char"/>
    <w:link w:val="Subtitle"/>
    <w:rsid w:val="000F28E2"/>
    <w:rPr>
      <w:rFonts w:ascii="Calibri Light" w:hAnsi="Calibri Light"/>
      <w:sz w:val="24"/>
      <w:szCs w:val="24"/>
    </w:rPr>
  </w:style>
  <w:style w:type="paragraph" w:styleId="TableofAuthorities">
    <w:name w:val="table of authorities"/>
    <w:basedOn w:val="Normal"/>
    <w:next w:val="Normal"/>
    <w:rsid w:val="000F28E2"/>
    <w:pPr>
      <w:ind w:left="200" w:hanging="200"/>
    </w:pPr>
  </w:style>
  <w:style w:type="paragraph" w:styleId="TableofFigures">
    <w:name w:val="table of figures"/>
    <w:basedOn w:val="Normal"/>
    <w:next w:val="Normal"/>
    <w:rsid w:val="000F28E2"/>
  </w:style>
  <w:style w:type="paragraph" w:styleId="Title">
    <w:name w:val="Title"/>
    <w:basedOn w:val="Normal"/>
    <w:next w:val="Normal"/>
    <w:link w:val="TitleChar"/>
    <w:qFormat/>
    <w:rsid w:val="000F28E2"/>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0F28E2"/>
    <w:rPr>
      <w:rFonts w:ascii="Calibri Light" w:hAnsi="Calibri Light"/>
      <w:b/>
      <w:bCs/>
      <w:kern w:val="28"/>
      <w:sz w:val="32"/>
      <w:szCs w:val="32"/>
    </w:rPr>
  </w:style>
  <w:style w:type="paragraph" w:styleId="TOAHeading">
    <w:name w:val="toa heading"/>
    <w:basedOn w:val="Normal"/>
    <w:next w:val="Normal"/>
    <w:rsid w:val="000F28E2"/>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0F28E2"/>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E412B8"/>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5953">
      <w:bodyDiv w:val="1"/>
      <w:marLeft w:val="0"/>
      <w:marRight w:val="0"/>
      <w:marTop w:val="0"/>
      <w:marBottom w:val="0"/>
      <w:divBdr>
        <w:top w:val="none" w:sz="0" w:space="0" w:color="auto"/>
        <w:left w:val="none" w:sz="0" w:space="0" w:color="auto"/>
        <w:bottom w:val="none" w:sz="0" w:space="0" w:color="auto"/>
        <w:right w:val="none" w:sz="0" w:space="0" w:color="auto"/>
      </w:divBdr>
    </w:div>
    <w:div w:id="27488956">
      <w:bodyDiv w:val="1"/>
      <w:marLeft w:val="0"/>
      <w:marRight w:val="0"/>
      <w:marTop w:val="0"/>
      <w:marBottom w:val="0"/>
      <w:divBdr>
        <w:top w:val="none" w:sz="0" w:space="0" w:color="auto"/>
        <w:left w:val="none" w:sz="0" w:space="0" w:color="auto"/>
        <w:bottom w:val="none" w:sz="0" w:space="0" w:color="auto"/>
        <w:right w:val="none" w:sz="0" w:space="0" w:color="auto"/>
      </w:divBdr>
    </w:div>
    <w:div w:id="51002571">
      <w:bodyDiv w:val="1"/>
      <w:marLeft w:val="0"/>
      <w:marRight w:val="0"/>
      <w:marTop w:val="0"/>
      <w:marBottom w:val="0"/>
      <w:divBdr>
        <w:top w:val="none" w:sz="0" w:space="0" w:color="auto"/>
        <w:left w:val="none" w:sz="0" w:space="0" w:color="auto"/>
        <w:bottom w:val="none" w:sz="0" w:space="0" w:color="auto"/>
        <w:right w:val="none" w:sz="0" w:space="0" w:color="auto"/>
      </w:divBdr>
    </w:div>
    <w:div w:id="57480297">
      <w:bodyDiv w:val="1"/>
      <w:marLeft w:val="0"/>
      <w:marRight w:val="0"/>
      <w:marTop w:val="0"/>
      <w:marBottom w:val="0"/>
      <w:divBdr>
        <w:top w:val="none" w:sz="0" w:space="0" w:color="auto"/>
        <w:left w:val="none" w:sz="0" w:space="0" w:color="auto"/>
        <w:bottom w:val="none" w:sz="0" w:space="0" w:color="auto"/>
        <w:right w:val="none" w:sz="0" w:space="0" w:color="auto"/>
      </w:divBdr>
    </w:div>
    <w:div w:id="138426562">
      <w:bodyDiv w:val="1"/>
      <w:marLeft w:val="0"/>
      <w:marRight w:val="0"/>
      <w:marTop w:val="0"/>
      <w:marBottom w:val="0"/>
      <w:divBdr>
        <w:top w:val="none" w:sz="0" w:space="0" w:color="auto"/>
        <w:left w:val="none" w:sz="0" w:space="0" w:color="auto"/>
        <w:bottom w:val="none" w:sz="0" w:space="0" w:color="auto"/>
        <w:right w:val="none" w:sz="0" w:space="0" w:color="auto"/>
      </w:divBdr>
    </w:div>
    <w:div w:id="148209126">
      <w:bodyDiv w:val="1"/>
      <w:marLeft w:val="0"/>
      <w:marRight w:val="0"/>
      <w:marTop w:val="0"/>
      <w:marBottom w:val="0"/>
      <w:divBdr>
        <w:top w:val="none" w:sz="0" w:space="0" w:color="auto"/>
        <w:left w:val="none" w:sz="0" w:space="0" w:color="auto"/>
        <w:bottom w:val="none" w:sz="0" w:space="0" w:color="auto"/>
        <w:right w:val="none" w:sz="0" w:space="0" w:color="auto"/>
      </w:divBdr>
    </w:div>
    <w:div w:id="153766608">
      <w:bodyDiv w:val="1"/>
      <w:marLeft w:val="0"/>
      <w:marRight w:val="0"/>
      <w:marTop w:val="0"/>
      <w:marBottom w:val="0"/>
      <w:divBdr>
        <w:top w:val="none" w:sz="0" w:space="0" w:color="auto"/>
        <w:left w:val="none" w:sz="0" w:space="0" w:color="auto"/>
        <w:bottom w:val="none" w:sz="0" w:space="0" w:color="auto"/>
        <w:right w:val="none" w:sz="0" w:space="0" w:color="auto"/>
      </w:divBdr>
    </w:div>
    <w:div w:id="239488632">
      <w:bodyDiv w:val="1"/>
      <w:marLeft w:val="0"/>
      <w:marRight w:val="0"/>
      <w:marTop w:val="0"/>
      <w:marBottom w:val="0"/>
      <w:divBdr>
        <w:top w:val="none" w:sz="0" w:space="0" w:color="auto"/>
        <w:left w:val="none" w:sz="0" w:space="0" w:color="auto"/>
        <w:bottom w:val="none" w:sz="0" w:space="0" w:color="auto"/>
        <w:right w:val="none" w:sz="0" w:space="0" w:color="auto"/>
      </w:divBdr>
    </w:div>
    <w:div w:id="280185936">
      <w:bodyDiv w:val="1"/>
      <w:marLeft w:val="0"/>
      <w:marRight w:val="0"/>
      <w:marTop w:val="0"/>
      <w:marBottom w:val="0"/>
      <w:divBdr>
        <w:top w:val="none" w:sz="0" w:space="0" w:color="auto"/>
        <w:left w:val="none" w:sz="0" w:space="0" w:color="auto"/>
        <w:bottom w:val="none" w:sz="0" w:space="0" w:color="auto"/>
        <w:right w:val="none" w:sz="0" w:space="0" w:color="auto"/>
      </w:divBdr>
    </w:div>
    <w:div w:id="288362180">
      <w:bodyDiv w:val="1"/>
      <w:marLeft w:val="0"/>
      <w:marRight w:val="0"/>
      <w:marTop w:val="0"/>
      <w:marBottom w:val="0"/>
      <w:divBdr>
        <w:top w:val="none" w:sz="0" w:space="0" w:color="auto"/>
        <w:left w:val="none" w:sz="0" w:space="0" w:color="auto"/>
        <w:bottom w:val="none" w:sz="0" w:space="0" w:color="auto"/>
        <w:right w:val="none" w:sz="0" w:space="0" w:color="auto"/>
      </w:divBdr>
    </w:div>
    <w:div w:id="371462561">
      <w:bodyDiv w:val="1"/>
      <w:marLeft w:val="0"/>
      <w:marRight w:val="0"/>
      <w:marTop w:val="0"/>
      <w:marBottom w:val="0"/>
      <w:divBdr>
        <w:top w:val="none" w:sz="0" w:space="0" w:color="auto"/>
        <w:left w:val="none" w:sz="0" w:space="0" w:color="auto"/>
        <w:bottom w:val="none" w:sz="0" w:space="0" w:color="auto"/>
        <w:right w:val="none" w:sz="0" w:space="0" w:color="auto"/>
      </w:divBdr>
    </w:div>
    <w:div w:id="416946296">
      <w:bodyDiv w:val="1"/>
      <w:marLeft w:val="0"/>
      <w:marRight w:val="0"/>
      <w:marTop w:val="0"/>
      <w:marBottom w:val="0"/>
      <w:divBdr>
        <w:top w:val="none" w:sz="0" w:space="0" w:color="auto"/>
        <w:left w:val="none" w:sz="0" w:space="0" w:color="auto"/>
        <w:bottom w:val="none" w:sz="0" w:space="0" w:color="auto"/>
        <w:right w:val="none" w:sz="0" w:space="0" w:color="auto"/>
      </w:divBdr>
    </w:div>
    <w:div w:id="436487759">
      <w:bodyDiv w:val="1"/>
      <w:marLeft w:val="0"/>
      <w:marRight w:val="0"/>
      <w:marTop w:val="0"/>
      <w:marBottom w:val="0"/>
      <w:divBdr>
        <w:top w:val="none" w:sz="0" w:space="0" w:color="auto"/>
        <w:left w:val="none" w:sz="0" w:space="0" w:color="auto"/>
        <w:bottom w:val="none" w:sz="0" w:space="0" w:color="auto"/>
        <w:right w:val="none" w:sz="0" w:space="0" w:color="auto"/>
      </w:divBdr>
    </w:div>
    <w:div w:id="442846453">
      <w:bodyDiv w:val="1"/>
      <w:marLeft w:val="0"/>
      <w:marRight w:val="0"/>
      <w:marTop w:val="0"/>
      <w:marBottom w:val="0"/>
      <w:divBdr>
        <w:top w:val="none" w:sz="0" w:space="0" w:color="auto"/>
        <w:left w:val="none" w:sz="0" w:space="0" w:color="auto"/>
        <w:bottom w:val="none" w:sz="0" w:space="0" w:color="auto"/>
        <w:right w:val="none" w:sz="0" w:space="0" w:color="auto"/>
      </w:divBdr>
    </w:div>
    <w:div w:id="466554588">
      <w:bodyDiv w:val="1"/>
      <w:marLeft w:val="0"/>
      <w:marRight w:val="0"/>
      <w:marTop w:val="0"/>
      <w:marBottom w:val="0"/>
      <w:divBdr>
        <w:top w:val="none" w:sz="0" w:space="0" w:color="auto"/>
        <w:left w:val="none" w:sz="0" w:space="0" w:color="auto"/>
        <w:bottom w:val="none" w:sz="0" w:space="0" w:color="auto"/>
        <w:right w:val="none" w:sz="0" w:space="0" w:color="auto"/>
      </w:divBdr>
    </w:div>
    <w:div w:id="579023329">
      <w:bodyDiv w:val="1"/>
      <w:marLeft w:val="0"/>
      <w:marRight w:val="0"/>
      <w:marTop w:val="0"/>
      <w:marBottom w:val="0"/>
      <w:divBdr>
        <w:top w:val="none" w:sz="0" w:space="0" w:color="auto"/>
        <w:left w:val="none" w:sz="0" w:space="0" w:color="auto"/>
        <w:bottom w:val="none" w:sz="0" w:space="0" w:color="auto"/>
        <w:right w:val="none" w:sz="0" w:space="0" w:color="auto"/>
      </w:divBdr>
    </w:div>
    <w:div w:id="628511305">
      <w:bodyDiv w:val="1"/>
      <w:marLeft w:val="0"/>
      <w:marRight w:val="0"/>
      <w:marTop w:val="0"/>
      <w:marBottom w:val="0"/>
      <w:divBdr>
        <w:top w:val="none" w:sz="0" w:space="0" w:color="auto"/>
        <w:left w:val="none" w:sz="0" w:space="0" w:color="auto"/>
        <w:bottom w:val="none" w:sz="0" w:space="0" w:color="auto"/>
        <w:right w:val="none" w:sz="0" w:space="0" w:color="auto"/>
      </w:divBdr>
    </w:div>
    <w:div w:id="628820002">
      <w:bodyDiv w:val="1"/>
      <w:marLeft w:val="0"/>
      <w:marRight w:val="0"/>
      <w:marTop w:val="0"/>
      <w:marBottom w:val="0"/>
      <w:divBdr>
        <w:top w:val="none" w:sz="0" w:space="0" w:color="auto"/>
        <w:left w:val="none" w:sz="0" w:space="0" w:color="auto"/>
        <w:bottom w:val="none" w:sz="0" w:space="0" w:color="auto"/>
        <w:right w:val="none" w:sz="0" w:space="0" w:color="auto"/>
      </w:divBdr>
    </w:div>
    <w:div w:id="671375835">
      <w:bodyDiv w:val="1"/>
      <w:marLeft w:val="0"/>
      <w:marRight w:val="0"/>
      <w:marTop w:val="0"/>
      <w:marBottom w:val="0"/>
      <w:divBdr>
        <w:top w:val="none" w:sz="0" w:space="0" w:color="auto"/>
        <w:left w:val="none" w:sz="0" w:space="0" w:color="auto"/>
        <w:bottom w:val="none" w:sz="0" w:space="0" w:color="auto"/>
        <w:right w:val="none" w:sz="0" w:space="0" w:color="auto"/>
      </w:divBdr>
    </w:div>
    <w:div w:id="684746700">
      <w:bodyDiv w:val="1"/>
      <w:marLeft w:val="0"/>
      <w:marRight w:val="0"/>
      <w:marTop w:val="0"/>
      <w:marBottom w:val="0"/>
      <w:divBdr>
        <w:top w:val="none" w:sz="0" w:space="0" w:color="auto"/>
        <w:left w:val="none" w:sz="0" w:space="0" w:color="auto"/>
        <w:bottom w:val="none" w:sz="0" w:space="0" w:color="auto"/>
        <w:right w:val="none" w:sz="0" w:space="0" w:color="auto"/>
      </w:divBdr>
    </w:div>
    <w:div w:id="759449595">
      <w:bodyDiv w:val="1"/>
      <w:marLeft w:val="0"/>
      <w:marRight w:val="0"/>
      <w:marTop w:val="0"/>
      <w:marBottom w:val="0"/>
      <w:divBdr>
        <w:top w:val="none" w:sz="0" w:space="0" w:color="auto"/>
        <w:left w:val="none" w:sz="0" w:space="0" w:color="auto"/>
        <w:bottom w:val="none" w:sz="0" w:space="0" w:color="auto"/>
        <w:right w:val="none" w:sz="0" w:space="0" w:color="auto"/>
      </w:divBdr>
    </w:div>
    <w:div w:id="804809609">
      <w:bodyDiv w:val="1"/>
      <w:marLeft w:val="0"/>
      <w:marRight w:val="0"/>
      <w:marTop w:val="0"/>
      <w:marBottom w:val="0"/>
      <w:divBdr>
        <w:top w:val="none" w:sz="0" w:space="0" w:color="auto"/>
        <w:left w:val="none" w:sz="0" w:space="0" w:color="auto"/>
        <w:bottom w:val="none" w:sz="0" w:space="0" w:color="auto"/>
        <w:right w:val="none" w:sz="0" w:space="0" w:color="auto"/>
      </w:divBdr>
    </w:div>
    <w:div w:id="823161601">
      <w:bodyDiv w:val="1"/>
      <w:marLeft w:val="0"/>
      <w:marRight w:val="0"/>
      <w:marTop w:val="0"/>
      <w:marBottom w:val="0"/>
      <w:divBdr>
        <w:top w:val="none" w:sz="0" w:space="0" w:color="auto"/>
        <w:left w:val="none" w:sz="0" w:space="0" w:color="auto"/>
        <w:bottom w:val="none" w:sz="0" w:space="0" w:color="auto"/>
        <w:right w:val="none" w:sz="0" w:space="0" w:color="auto"/>
      </w:divBdr>
    </w:div>
    <w:div w:id="864636685">
      <w:bodyDiv w:val="1"/>
      <w:marLeft w:val="0"/>
      <w:marRight w:val="0"/>
      <w:marTop w:val="0"/>
      <w:marBottom w:val="0"/>
      <w:divBdr>
        <w:top w:val="none" w:sz="0" w:space="0" w:color="auto"/>
        <w:left w:val="none" w:sz="0" w:space="0" w:color="auto"/>
        <w:bottom w:val="none" w:sz="0" w:space="0" w:color="auto"/>
        <w:right w:val="none" w:sz="0" w:space="0" w:color="auto"/>
      </w:divBdr>
    </w:div>
    <w:div w:id="880170998">
      <w:bodyDiv w:val="1"/>
      <w:marLeft w:val="0"/>
      <w:marRight w:val="0"/>
      <w:marTop w:val="0"/>
      <w:marBottom w:val="0"/>
      <w:divBdr>
        <w:top w:val="none" w:sz="0" w:space="0" w:color="auto"/>
        <w:left w:val="none" w:sz="0" w:space="0" w:color="auto"/>
        <w:bottom w:val="none" w:sz="0" w:space="0" w:color="auto"/>
        <w:right w:val="none" w:sz="0" w:space="0" w:color="auto"/>
      </w:divBdr>
    </w:div>
    <w:div w:id="884414854">
      <w:bodyDiv w:val="1"/>
      <w:marLeft w:val="0"/>
      <w:marRight w:val="0"/>
      <w:marTop w:val="0"/>
      <w:marBottom w:val="0"/>
      <w:divBdr>
        <w:top w:val="none" w:sz="0" w:space="0" w:color="auto"/>
        <w:left w:val="none" w:sz="0" w:space="0" w:color="auto"/>
        <w:bottom w:val="none" w:sz="0" w:space="0" w:color="auto"/>
        <w:right w:val="none" w:sz="0" w:space="0" w:color="auto"/>
      </w:divBdr>
    </w:div>
    <w:div w:id="917177317">
      <w:bodyDiv w:val="1"/>
      <w:marLeft w:val="0"/>
      <w:marRight w:val="0"/>
      <w:marTop w:val="0"/>
      <w:marBottom w:val="0"/>
      <w:divBdr>
        <w:top w:val="none" w:sz="0" w:space="0" w:color="auto"/>
        <w:left w:val="none" w:sz="0" w:space="0" w:color="auto"/>
        <w:bottom w:val="none" w:sz="0" w:space="0" w:color="auto"/>
        <w:right w:val="none" w:sz="0" w:space="0" w:color="auto"/>
      </w:divBdr>
    </w:div>
    <w:div w:id="934898437">
      <w:bodyDiv w:val="1"/>
      <w:marLeft w:val="0"/>
      <w:marRight w:val="0"/>
      <w:marTop w:val="0"/>
      <w:marBottom w:val="0"/>
      <w:divBdr>
        <w:top w:val="none" w:sz="0" w:space="0" w:color="auto"/>
        <w:left w:val="none" w:sz="0" w:space="0" w:color="auto"/>
        <w:bottom w:val="none" w:sz="0" w:space="0" w:color="auto"/>
        <w:right w:val="none" w:sz="0" w:space="0" w:color="auto"/>
      </w:divBdr>
    </w:div>
    <w:div w:id="978922232">
      <w:bodyDiv w:val="1"/>
      <w:marLeft w:val="0"/>
      <w:marRight w:val="0"/>
      <w:marTop w:val="0"/>
      <w:marBottom w:val="0"/>
      <w:divBdr>
        <w:top w:val="none" w:sz="0" w:space="0" w:color="auto"/>
        <w:left w:val="none" w:sz="0" w:space="0" w:color="auto"/>
        <w:bottom w:val="none" w:sz="0" w:space="0" w:color="auto"/>
        <w:right w:val="none" w:sz="0" w:space="0" w:color="auto"/>
      </w:divBdr>
    </w:div>
    <w:div w:id="1023171071">
      <w:bodyDiv w:val="1"/>
      <w:marLeft w:val="0"/>
      <w:marRight w:val="0"/>
      <w:marTop w:val="0"/>
      <w:marBottom w:val="0"/>
      <w:divBdr>
        <w:top w:val="none" w:sz="0" w:space="0" w:color="auto"/>
        <w:left w:val="none" w:sz="0" w:space="0" w:color="auto"/>
        <w:bottom w:val="none" w:sz="0" w:space="0" w:color="auto"/>
        <w:right w:val="none" w:sz="0" w:space="0" w:color="auto"/>
      </w:divBdr>
    </w:div>
    <w:div w:id="1066034326">
      <w:bodyDiv w:val="1"/>
      <w:marLeft w:val="0"/>
      <w:marRight w:val="0"/>
      <w:marTop w:val="0"/>
      <w:marBottom w:val="0"/>
      <w:divBdr>
        <w:top w:val="none" w:sz="0" w:space="0" w:color="auto"/>
        <w:left w:val="none" w:sz="0" w:space="0" w:color="auto"/>
        <w:bottom w:val="none" w:sz="0" w:space="0" w:color="auto"/>
        <w:right w:val="none" w:sz="0" w:space="0" w:color="auto"/>
      </w:divBdr>
    </w:div>
    <w:div w:id="1090389137">
      <w:bodyDiv w:val="1"/>
      <w:marLeft w:val="0"/>
      <w:marRight w:val="0"/>
      <w:marTop w:val="0"/>
      <w:marBottom w:val="0"/>
      <w:divBdr>
        <w:top w:val="none" w:sz="0" w:space="0" w:color="auto"/>
        <w:left w:val="none" w:sz="0" w:space="0" w:color="auto"/>
        <w:bottom w:val="none" w:sz="0" w:space="0" w:color="auto"/>
        <w:right w:val="none" w:sz="0" w:space="0" w:color="auto"/>
      </w:divBdr>
    </w:div>
    <w:div w:id="1099108129">
      <w:bodyDiv w:val="1"/>
      <w:marLeft w:val="0"/>
      <w:marRight w:val="0"/>
      <w:marTop w:val="0"/>
      <w:marBottom w:val="0"/>
      <w:divBdr>
        <w:top w:val="none" w:sz="0" w:space="0" w:color="auto"/>
        <w:left w:val="none" w:sz="0" w:space="0" w:color="auto"/>
        <w:bottom w:val="none" w:sz="0" w:space="0" w:color="auto"/>
        <w:right w:val="none" w:sz="0" w:space="0" w:color="auto"/>
      </w:divBdr>
    </w:div>
    <w:div w:id="1164785358">
      <w:bodyDiv w:val="1"/>
      <w:marLeft w:val="0"/>
      <w:marRight w:val="0"/>
      <w:marTop w:val="0"/>
      <w:marBottom w:val="0"/>
      <w:divBdr>
        <w:top w:val="none" w:sz="0" w:space="0" w:color="auto"/>
        <w:left w:val="none" w:sz="0" w:space="0" w:color="auto"/>
        <w:bottom w:val="none" w:sz="0" w:space="0" w:color="auto"/>
        <w:right w:val="none" w:sz="0" w:space="0" w:color="auto"/>
      </w:divBdr>
    </w:div>
    <w:div w:id="1229027266">
      <w:bodyDiv w:val="1"/>
      <w:marLeft w:val="0"/>
      <w:marRight w:val="0"/>
      <w:marTop w:val="0"/>
      <w:marBottom w:val="0"/>
      <w:divBdr>
        <w:top w:val="none" w:sz="0" w:space="0" w:color="auto"/>
        <w:left w:val="none" w:sz="0" w:space="0" w:color="auto"/>
        <w:bottom w:val="none" w:sz="0" w:space="0" w:color="auto"/>
        <w:right w:val="none" w:sz="0" w:space="0" w:color="auto"/>
      </w:divBdr>
    </w:div>
    <w:div w:id="1240092057">
      <w:bodyDiv w:val="1"/>
      <w:marLeft w:val="0"/>
      <w:marRight w:val="0"/>
      <w:marTop w:val="0"/>
      <w:marBottom w:val="0"/>
      <w:divBdr>
        <w:top w:val="none" w:sz="0" w:space="0" w:color="auto"/>
        <w:left w:val="none" w:sz="0" w:space="0" w:color="auto"/>
        <w:bottom w:val="none" w:sz="0" w:space="0" w:color="auto"/>
        <w:right w:val="none" w:sz="0" w:space="0" w:color="auto"/>
      </w:divBdr>
    </w:div>
    <w:div w:id="1246838592">
      <w:bodyDiv w:val="1"/>
      <w:marLeft w:val="0"/>
      <w:marRight w:val="0"/>
      <w:marTop w:val="0"/>
      <w:marBottom w:val="0"/>
      <w:divBdr>
        <w:top w:val="none" w:sz="0" w:space="0" w:color="auto"/>
        <w:left w:val="none" w:sz="0" w:space="0" w:color="auto"/>
        <w:bottom w:val="none" w:sz="0" w:space="0" w:color="auto"/>
        <w:right w:val="none" w:sz="0" w:space="0" w:color="auto"/>
      </w:divBdr>
    </w:div>
    <w:div w:id="1275791649">
      <w:bodyDiv w:val="1"/>
      <w:marLeft w:val="0"/>
      <w:marRight w:val="0"/>
      <w:marTop w:val="0"/>
      <w:marBottom w:val="0"/>
      <w:divBdr>
        <w:top w:val="none" w:sz="0" w:space="0" w:color="auto"/>
        <w:left w:val="none" w:sz="0" w:space="0" w:color="auto"/>
        <w:bottom w:val="none" w:sz="0" w:space="0" w:color="auto"/>
        <w:right w:val="none" w:sz="0" w:space="0" w:color="auto"/>
      </w:divBdr>
    </w:div>
    <w:div w:id="1286734074">
      <w:bodyDiv w:val="1"/>
      <w:marLeft w:val="0"/>
      <w:marRight w:val="0"/>
      <w:marTop w:val="0"/>
      <w:marBottom w:val="0"/>
      <w:divBdr>
        <w:top w:val="none" w:sz="0" w:space="0" w:color="auto"/>
        <w:left w:val="none" w:sz="0" w:space="0" w:color="auto"/>
        <w:bottom w:val="none" w:sz="0" w:space="0" w:color="auto"/>
        <w:right w:val="none" w:sz="0" w:space="0" w:color="auto"/>
      </w:divBdr>
    </w:div>
    <w:div w:id="1322465545">
      <w:bodyDiv w:val="1"/>
      <w:marLeft w:val="0"/>
      <w:marRight w:val="0"/>
      <w:marTop w:val="0"/>
      <w:marBottom w:val="0"/>
      <w:divBdr>
        <w:top w:val="none" w:sz="0" w:space="0" w:color="auto"/>
        <w:left w:val="none" w:sz="0" w:space="0" w:color="auto"/>
        <w:bottom w:val="none" w:sz="0" w:space="0" w:color="auto"/>
        <w:right w:val="none" w:sz="0" w:space="0" w:color="auto"/>
      </w:divBdr>
    </w:div>
    <w:div w:id="1367943844">
      <w:bodyDiv w:val="1"/>
      <w:marLeft w:val="0"/>
      <w:marRight w:val="0"/>
      <w:marTop w:val="0"/>
      <w:marBottom w:val="0"/>
      <w:divBdr>
        <w:top w:val="none" w:sz="0" w:space="0" w:color="auto"/>
        <w:left w:val="none" w:sz="0" w:space="0" w:color="auto"/>
        <w:bottom w:val="none" w:sz="0" w:space="0" w:color="auto"/>
        <w:right w:val="none" w:sz="0" w:space="0" w:color="auto"/>
      </w:divBdr>
    </w:div>
    <w:div w:id="1395465626">
      <w:bodyDiv w:val="1"/>
      <w:marLeft w:val="0"/>
      <w:marRight w:val="0"/>
      <w:marTop w:val="0"/>
      <w:marBottom w:val="0"/>
      <w:divBdr>
        <w:top w:val="none" w:sz="0" w:space="0" w:color="auto"/>
        <w:left w:val="none" w:sz="0" w:space="0" w:color="auto"/>
        <w:bottom w:val="none" w:sz="0" w:space="0" w:color="auto"/>
        <w:right w:val="none" w:sz="0" w:space="0" w:color="auto"/>
      </w:divBdr>
    </w:div>
    <w:div w:id="1403485201">
      <w:bodyDiv w:val="1"/>
      <w:marLeft w:val="0"/>
      <w:marRight w:val="0"/>
      <w:marTop w:val="0"/>
      <w:marBottom w:val="0"/>
      <w:divBdr>
        <w:top w:val="none" w:sz="0" w:space="0" w:color="auto"/>
        <w:left w:val="none" w:sz="0" w:space="0" w:color="auto"/>
        <w:bottom w:val="none" w:sz="0" w:space="0" w:color="auto"/>
        <w:right w:val="none" w:sz="0" w:space="0" w:color="auto"/>
      </w:divBdr>
    </w:div>
    <w:div w:id="1478104338">
      <w:bodyDiv w:val="1"/>
      <w:marLeft w:val="0"/>
      <w:marRight w:val="0"/>
      <w:marTop w:val="0"/>
      <w:marBottom w:val="0"/>
      <w:divBdr>
        <w:top w:val="none" w:sz="0" w:space="0" w:color="auto"/>
        <w:left w:val="none" w:sz="0" w:space="0" w:color="auto"/>
        <w:bottom w:val="none" w:sz="0" w:space="0" w:color="auto"/>
        <w:right w:val="none" w:sz="0" w:space="0" w:color="auto"/>
      </w:divBdr>
    </w:div>
    <w:div w:id="1523662023">
      <w:bodyDiv w:val="1"/>
      <w:marLeft w:val="0"/>
      <w:marRight w:val="0"/>
      <w:marTop w:val="0"/>
      <w:marBottom w:val="0"/>
      <w:divBdr>
        <w:top w:val="none" w:sz="0" w:space="0" w:color="auto"/>
        <w:left w:val="none" w:sz="0" w:space="0" w:color="auto"/>
        <w:bottom w:val="none" w:sz="0" w:space="0" w:color="auto"/>
        <w:right w:val="none" w:sz="0" w:space="0" w:color="auto"/>
      </w:divBdr>
    </w:div>
    <w:div w:id="1663316486">
      <w:bodyDiv w:val="1"/>
      <w:marLeft w:val="0"/>
      <w:marRight w:val="0"/>
      <w:marTop w:val="0"/>
      <w:marBottom w:val="0"/>
      <w:divBdr>
        <w:top w:val="none" w:sz="0" w:space="0" w:color="auto"/>
        <w:left w:val="none" w:sz="0" w:space="0" w:color="auto"/>
        <w:bottom w:val="none" w:sz="0" w:space="0" w:color="auto"/>
        <w:right w:val="none" w:sz="0" w:space="0" w:color="auto"/>
      </w:divBdr>
    </w:div>
    <w:div w:id="1667124730">
      <w:bodyDiv w:val="1"/>
      <w:marLeft w:val="0"/>
      <w:marRight w:val="0"/>
      <w:marTop w:val="0"/>
      <w:marBottom w:val="0"/>
      <w:divBdr>
        <w:top w:val="none" w:sz="0" w:space="0" w:color="auto"/>
        <w:left w:val="none" w:sz="0" w:space="0" w:color="auto"/>
        <w:bottom w:val="none" w:sz="0" w:space="0" w:color="auto"/>
        <w:right w:val="none" w:sz="0" w:space="0" w:color="auto"/>
      </w:divBdr>
    </w:div>
    <w:div w:id="1739744257">
      <w:bodyDiv w:val="1"/>
      <w:marLeft w:val="0"/>
      <w:marRight w:val="0"/>
      <w:marTop w:val="0"/>
      <w:marBottom w:val="0"/>
      <w:divBdr>
        <w:top w:val="none" w:sz="0" w:space="0" w:color="auto"/>
        <w:left w:val="none" w:sz="0" w:space="0" w:color="auto"/>
        <w:bottom w:val="none" w:sz="0" w:space="0" w:color="auto"/>
        <w:right w:val="none" w:sz="0" w:space="0" w:color="auto"/>
      </w:divBdr>
    </w:div>
    <w:div w:id="1861699850">
      <w:bodyDiv w:val="1"/>
      <w:marLeft w:val="0"/>
      <w:marRight w:val="0"/>
      <w:marTop w:val="0"/>
      <w:marBottom w:val="0"/>
      <w:divBdr>
        <w:top w:val="none" w:sz="0" w:space="0" w:color="auto"/>
        <w:left w:val="none" w:sz="0" w:space="0" w:color="auto"/>
        <w:bottom w:val="none" w:sz="0" w:space="0" w:color="auto"/>
        <w:right w:val="none" w:sz="0" w:space="0" w:color="auto"/>
      </w:divBdr>
    </w:div>
    <w:div w:id="1884828013">
      <w:bodyDiv w:val="1"/>
      <w:marLeft w:val="0"/>
      <w:marRight w:val="0"/>
      <w:marTop w:val="0"/>
      <w:marBottom w:val="0"/>
      <w:divBdr>
        <w:top w:val="none" w:sz="0" w:space="0" w:color="auto"/>
        <w:left w:val="none" w:sz="0" w:space="0" w:color="auto"/>
        <w:bottom w:val="none" w:sz="0" w:space="0" w:color="auto"/>
        <w:right w:val="none" w:sz="0" w:space="0" w:color="auto"/>
      </w:divBdr>
    </w:div>
    <w:div w:id="1911697246">
      <w:bodyDiv w:val="1"/>
      <w:marLeft w:val="0"/>
      <w:marRight w:val="0"/>
      <w:marTop w:val="0"/>
      <w:marBottom w:val="0"/>
      <w:divBdr>
        <w:top w:val="none" w:sz="0" w:space="0" w:color="auto"/>
        <w:left w:val="none" w:sz="0" w:space="0" w:color="auto"/>
        <w:bottom w:val="none" w:sz="0" w:space="0" w:color="auto"/>
        <w:right w:val="none" w:sz="0" w:space="0" w:color="auto"/>
      </w:divBdr>
    </w:div>
    <w:div w:id="1915360540">
      <w:bodyDiv w:val="1"/>
      <w:marLeft w:val="0"/>
      <w:marRight w:val="0"/>
      <w:marTop w:val="0"/>
      <w:marBottom w:val="0"/>
      <w:divBdr>
        <w:top w:val="none" w:sz="0" w:space="0" w:color="auto"/>
        <w:left w:val="none" w:sz="0" w:space="0" w:color="auto"/>
        <w:bottom w:val="none" w:sz="0" w:space="0" w:color="auto"/>
        <w:right w:val="none" w:sz="0" w:space="0" w:color="auto"/>
      </w:divBdr>
    </w:div>
    <w:div w:id="1991671344">
      <w:bodyDiv w:val="1"/>
      <w:marLeft w:val="0"/>
      <w:marRight w:val="0"/>
      <w:marTop w:val="0"/>
      <w:marBottom w:val="0"/>
      <w:divBdr>
        <w:top w:val="none" w:sz="0" w:space="0" w:color="auto"/>
        <w:left w:val="none" w:sz="0" w:space="0" w:color="auto"/>
        <w:bottom w:val="none" w:sz="0" w:space="0" w:color="auto"/>
        <w:right w:val="none" w:sz="0" w:space="0" w:color="auto"/>
      </w:divBdr>
    </w:div>
    <w:div w:id="2001736697">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12026792">
      <w:bodyDiv w:val="1"/>
      <w:marLeft w:val="0"/>
      <w:marRight w:val="0"/>
      <w:marTop w:val="0"/>
      <w:marBottom w:val="0"/>
      <w:divBdr>
        <w:top w:val="none" w:sz="0" w:space="0" w:color="auto"/>
        <w:left w:val="none" w:sz="0" w:space="0" w:color="auto"/>
        <w:bottom w:val="none" w:sz="0" w:space="0" w:color="auto"/>
        <w:right w:val="none" w:sz="0" w:space="0" w:color="auto"/>
      </w:divBdr>
    </w:div>
    <w:div w:id="2062438826">
      <w:bodyDiv w:val="1"/>
      <w:marLeft w:val="0"/>
      <w:marRight w:val="0"/>
      <w:marTop w:val="0"/>
      <w:marBottom w:val="0"/>
      <w:divBdr>
        <w:top w:val="none" w:sz="0" w:space="0" w:color="auto"/>
        <w:left w:val="none" w:sz="0" w:space="0" w:color="auto"/>
        <w:bottom w:val="none" w:sz="0" w:space="0" w:color="auto"/>
        <w:right w:val="none" w:sz="0" w:space="0" w:color="auto"/>
      </w:divBdr>
    </w:div>
    <w:div w:id="2101169659">
      <w:bodyDiv w:val="1"/>
      <w:marLeft w:val="0"/>
      <w:marRight w:val="0"/>
      <w:marTop w:val="0"/>
      <w:marBottom w:val="0"/>
      <w:divBdr>
        <w:top w:val="none" w:sz="0" w:space="0" w:color="auto"/>
        <w:left w:val="none" w:sz="0" w:space="0" w:color="auto"/>
        <w:bottom w:val="none" w:sz="0" w:space="0" w:color="auto"/>
        <w:right w:val="none" w:sz="0" w:space="0" w:color="auto"/>
      </w:divBdr>
    </w:div>
    <w:div w:id="212110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0</TotalTime>
  <Pages>2</Pages>
  <Words>7955</Words>
  <Characters>45349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3GPP TR ab.cde</vt:lpstr>
    </vt:vector>
  </TitlesOfParts>
  <Company>ETSI</Company>
  <LinksUpToDate>false</LinksUpToDate>
  <CharactersWithSpaces>53198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cp:lastModifiedBy>Andrei Laurentiu BORNEA</cp:lastModifiedBy>
  <cp:revision>2</cp:revision>
  <dcterms:created xsi:type="dcterms:W3CDTF">2024-03-13T15:41:00Z</dcterms:created>
  <dcterms:modified xsi:type="dcterms:W3CDTF">2024-03-13T15:41:00Z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(3)a5IBE0ru9Kps+Fq3UqtrR1l4CjqoKxT7SFTWq1DO6SxYVy1CwaU+/sNrb4iav/CwElbTlEqS_x000d_
61hXMnQILUhELMfpE/xDraEC+AFUG/23NUSzaE4YVXdUalzYLkuMIUQCE+JV4MuVtvKEP4nI_x000d_
YZQ6IpzSU5zTBU/7pvHxIYMeyAd4C3Z7Z/15a1mavxFTI8ANB4U/OkJnPA42bWP4bVcHDZoK_x000d_
JR1aFZS/lgW6sRkNax</vt:lpwstr>
  </property>
  <property fmtid="{D5CDD505-2E9C-101B-9397-08002B2CF9AE}" pid="3" name="_2015_ms_pID_7253431">
    <vt:lpwstr>RrnFnUNvc6VMlo7RbPTMS4cdUfvnaMa//fBzrumrx+kMKNigMsXE7s_x000d_
byuWYSUjARSHU3cp7Y5h341YcY+soLLkZnRa2ojWXm6Yk0h3Sg+NVEB1Iyu1+JyhHTocApi3_x000d_
B2QRiXCVXcUu77nh52brbn2/oOqkDyDeMvZTj2xaTBLAw4k34hJqW4ePCPhYYavsDMKIgIKw_x000d_
p28fjm81Yk3+XvHoLM0v89w8nwll/j89rIAL</vt:lpwstr>
  </property>
  <property fmtid="{D5CDD505-2E9C-101B-9397-08002B2CF9AE}" pid="4" name="_2015_ms_pID_7253432">
    <vt:lpwstr>2A==</vt:lpwstr>
  </property>
</Properties>
</file>