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F57EAB" w14:paraId="6420D5CF" w14:textId="77777777" w:rsidTr="00174E78">
        <w:trPr>
          <w:cantSplit/>
        </w:trPr>
        <w:tc>
          <w:tcPr>
            <w:tcW w:w="10423" w:type="dxa"/>
            <w:gridSpan w:val="2"/>
            <w:shd w:val="clear" w:color="auto" w:fill="auto"/>
          </w:tcPr>
          <w:p w14:paraId="3FDEDF14" w14:textId="1D86CF7D" w:rsidR="004F0988" w:rsidRPr="003429C5" w:rsidRDefault="004F0988" w:rsidP="00A27B9B">
            <w:pPr>
              <w:pStyle w:val="ZA"/>
              <w:framePr w:w="0" w:hRule="auto" w:wrap="auto" w:vAnchor="margin" w:hAnchor="text" w:yAlign="inline"/>
              <w:rPr>
                <w:lang w:val="pl-PL"/>
              </w:rPr>
            </w:pPr>
            <w:bookmarkStart w:id="0" w:name="page1"/>
            <w:r w:rsidRPr="003429C5">
              <w:rPr>
                <w:sz w:val="64"/>
                <w:lang w:val="pl-PL"/>
              </w:rPr>
              <w:t xml:space="preserve">3GPP </w:t>
            </w:r>
            <w:bookmarkStart w:id="1" w:name="specType1"/>
            <w:r w:rsidR="0063543D" w:rsidRPr="003429C5">
              <w:rPr>
                <w:sz w:val="64"/>
                <w:lang w:val="pl-PL"/>
              </w:rPr>
              <w:t>TR</w:t>
            </w:r>
            <w:bookmarkEnd w:id="1"/>
            <w:r w:rsidRPr="003429C5">
              <w:rPr>
                <w:sz w:val="64"/>
                <w:lang w:val="pl-PL"/>
              </w:rPr>
              <w:t xml:space="preserve"> </w:t>
            </w:r>
            <w:bookmarkStart w:id="2" w:name="specNumber"/>
            <w:r w:rsidR="00F57EAB" w:rsidRPr="003429C5">
              <w:rPr>
                <w:sz w:val="64"/>
                <w:lang w:val="pl-PL"/>
              </w:rPr>
              <w:t>38</w:t>
            </w:r>
            <w:r w:rsidRPr="003429C5">
              <w:rPr>
                <w:sz w:val="64"/>
                <w:lang w:val="pl-PL"/>
              </w:rPr>
              <w:t>.</w:t>
            </w:r>
            <w:bookmarkEnd w:id="2"/>
            <w:r w:rsidR="00F57EAB" w:rsidRPr="003429C5">
              <w:rPr>
                <w:sz w:val="64"/>
                <w:lang w:val="pl-PL"/>
              </w:rPr>
              <w:t xml:space="preserve">882 </w:t>
            </w:r>
            <w:bookmarkStart w:id="3" w:name="specVersion"/>
            <w:r w:rsidR="00F57EAB" w:rsidRPr="003429C5">
              <w:rPr>
                <w:lang w:val="pl-PL"/>
              </w:rPr>
              <w:t>V</w:t>
            </w:r>
            <w:r w:rsidR="00496117">
              <w:rPr>
                <w:lang w:val="pl-PL"/>
              </w:rPr>
              <w:t>1</w:t>
            </w:r>
            <w:r w:rsidR="001E1154">
              <w:rPr>
                <w:lang w:val="pl-PL"/>
              </w:rPr>
              <w:t>8</w:t>
            </w:r>
            <w:r w:rsidRPr="003429C5">
              <w:rPr>
                <w:lang w:val="pl-PL"/>
              </w:rPr>
              <w:t>.</w:t>
            </w:r>
            <w:r w:rsidR="00496117">
              <w:rPr>
                <w:lang w:val="pl-PL"/>
              </w:rPr>
              <w:t>0</w:t>
            </w:r>
            <w:r w:rsidRPr="003429C5">
              <w:rPr>
                <w:lang w:val="pl-PL"/>
              </w:rPr>
              <w:t>.</w:t>
            </w:r>
            <w:bookmarkEnd w:id="3"/>
            <w:r w:rsidR="008E0B9E">
              <w:rPr>
                <w:lang w:val="pl-PL"/>
              </w:rPr>
              <w:t>0</w:t>
            </w:r>
            <w:r w:rsidR="008E0B9E" w:rsidRPr="003429C5">
              <w:rPr>
                <w:lang w:val="pl-PL"/>
              </w:rPr>
              <w:t xml:space="preserve"> </w:t>
            </w:r>
            <w:r w:rsidRPr="003429C5">
              <w:rPr>
                <w:sz w:val="32"/>
                <w:lang w:val="pl-PL"/>
              </w:rPr>
              <w:t>(</w:t>
            </w:r>
            <w:bookmarkStart w:id="4" w:name="issueDate"/>
            <w:r w:rsidR="00F57EAB" w:rsidRPr="003429C5">
              <w:rPr>
                <w:sz w:val="32"/>
                <w:lang w:val="pl-PL"/>
              </w:rPr>
              <w:t>2022</w:t>
            </w:r>
            <w:r w:rsidRPr="003429C5">
              <w:rPr>
                <w:sz w:val="32"/>
                <w:lang w:val="pl-PL"/>
              </w:rPr>
              <w:t>-</w:t>
            </w:r>
            <w:bookmarkEnd w:id="4"/>
            <w:r w:rsidR="00F57EAB" w:rsidRPr="00F57EAB">
              <w:rPr>
                <w:sz w:val="32"/>
                <w:lang w:val="pl-PL"/>
              </w:rPr>
              <w:t>06</w:t>
            </w:r>
            <w:r w:rsidRPr="003429C5">
              <w:rPr>
                <w:sz w:val="32"/>
                <w:lang w:val="pl-PL"/>
              </w:rPr>
              <w:t>)</w:t>
            </w:r>
          </w:p>
        </w:tc>
      </w:tr>
      <w:tr w:rsidR="004F0988" w14:paraId="0FFD4F19" w14:textId="77777777" w:rsidTr="00174E78">
        <w:trPr>
          <w:cantSplit/>
          <w:trHeight w:hRule="exact" w:val="1134"/>
        </w:trPr>
        <w:tc>
          <w:tcPr>
            <w:tcW w:w="10423" w:type="dxa"/>
            <w:gridSpan w:val="2"/>
            <w:shd w:val="clear" w:color="auto" w:fill="auto"/>
          </w:tcPr>
          <w:p w14:paraId="5AB75458" w14:textId="648028C1" w:rsidR="004F0988" w:rsidRDefault="004F0988" w:rsidP="00133525">
            <w:pPr>
              <w:pStyle w:val="ZB"/>
              <w:framePr w:w="0" w:hRule="auto" w:wrap="auto" w:vAnchor="margin" w:hAnchor="text" w:yAlign="inline"/>
            </w:pPr>
            <w:r w:rsidRPr="004D3578">
              <w:t xml:space="preserve">Technical </w:t>
            </w:r>
            <w:bookmarkStart w:id="5" w:name="spectype2"/>
            <w:r w:rsidR="00D57972" w:rsidRPr="003429C5">
              <w:t>Report</w:t>
            </w:r>
            <w:bookmarkEnd w:id="5"/>
          </w:p>
          <w:p w14:paraId="462B8E42" w14:textId="7B2CA45D" w:rsidR="00BA4B8D" w:rsidRDefault="00BA4B8D" w:rsidP="00BA4B8D">
            <w:pPr>
              <w:pStyle w:val="Guidance"/>
            </w:pP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AE6164" w:rsidRDefault="004F0988" w:rsidP="00133525">
            <w:pPr>
              <w:pStyle w:val="ZT"/>
              <w:framePr w:wrap="auto" w:hAnchor="text" w:yAlign="inline"/>
            </w:pPr>
            <w:r w:rsidRPr="00AE6164">
              <w:t>3rd Generation Partnership Project;</w:t>
            </w:r>
          </w:p>
          <w:p w14:paraId="653799DC" w14:textId="614A3E14" w:rsidR="004F0988" w:rsidRPr="00911AF8" w:rsidRDefault="004F0988" w:rsidP="00133525">
            <w:pPr>
              <w:pStyle w:val="ZT"/>
              <w:framePr w:wrap="auto" w:hAnchor="text" w:yAlign="inline"/>
            </w:pPr>
            <w:r w:rsidRPr="00AE6164">
              <w:t xml:space="preserve">Technical Specification </w:t>
            </w:r>
            <w:r w:rsidRPr="00EF5092">
              <w:t xml:space="preserve">Group </w:t>
            </w:r>
            <w:bookmarkStart w:id="6" w:name="specTitle"/>
            <w:r w:rsidR="00A702AF" w:rsidRPr="00A702AF">
              <w:t>Radio Access Network</w:t>
            </w:r>
            <w:r w:rsidRPr="00EF5092">
              <w:t>;</w:t>
            </w:r>
          </w:p>
          <w:p w14:paraId="211669E9" w14:textId="08EDD831" w:rsidR="00133C58" w:rsidRPr="00AE6164" w:rsidRDefault="007D00FC" w:rsidP="00133C58">
            <w:pPr>
              <w:pStyle w:val="ZT"/>
              <w:framePr w:wrap="auto" w:hAnchor="text" w:yAlign="inline"/>
            </w:pPr>
            <w:r w:rsidRPr="007D00FC">
              <w:t>Study on requirements and use cases for network verified</w:t>
            </w:r>
            <w:r w:rsidR="00496117">
              <w:br/>
            </w:r>
            <w:r w:rsidRPr="007D00FC">
              <w:t>UE location for Non-Terrestrial-Networks (NTN) in NR</w:t>
            </w:r>
            <w:bookmarkEnd w:id="6"/>
          </w:p>
          <w:p w14:paraId="04CAC1E0" w14:textId="59317EE7" w:rsidR="004F0988" w:rsidRPr="00AE6164" w:rsidRDefault="004F0988" w:rsidP="00133C58">
            <w:pPr>
              <w:pStyle w:val="ZT"/>
              <w:framePr w:wrap="auto" w:hAnchor="text" w:yAlign="inline"/>
              <w:rPr>
                <w:i/>
                <w:sz w:val="28"/>
              </w:rPr>
            </w:pPr>
            <w:r w:rsidRPr="00AE6164">
              <w:t>(</w:t>
            </w:r>
            <w:r w:rsidRPr="00AE6164">
              <w:rPr>
                <w:rStyle w:val="ZGSM"/>
              </w:rPr>
              <w:t xml:space="preserve">Release </w:t>
            </w:r>
            <w:bookmarkStart w:id="7" w:name="specRelease"/>
            <w:r w:rsidR="000270B9" w:rsidRPr="003429C5">
              <w:rPr>
                <w:rStyle w:val="ZGSM"/>
              </w:rPr>
              <w:t>18</w:t>
            </w:r>
            <w:bookmarkEnd w:id="7"/>
            <w:r w:rsidRPr="00AE6164">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2pt" o:ole="">
                  <v:imagedata r:id="rId9" o:title=""/>
                </v:shape>
                <o:OLEObject Type="Embed" ProgID="Word.Picture.8" ShapeID="_x0000_i1025" DrawAspect="Content" ObjectID="_1717830258"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7.5pt;height:74.5pt" o:ole="">
                  <v:imagedata r:id="rId11" o:title=""/>
                </v:shape>
                <o:OLEObject Type="Embed" ProgID="Word.Picture.8" ShapeID="_x0000_i1026" DrawAspect="Content" ObjectID="_1717830259"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5F05D2C1"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1"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D841CAD" w:rsidR="00E16509" w:rsidRPr="00133525" w:rsidRDefault="00E16509" w:rsidP="00133525">
            <w:pPr>
              <w:pStyle w:val="FP"/>
              <w:jc w:val="center"/>
              <w:rPr>
                <w:noProof/>
                <w:sz w:val="18"/>
              </w:rPr>
            </w:pPr>
            <w:r w:rsidRPr="00133525">
              <w:rPr>
                <w:noProof/>
                <w:sz w:val="18"/>
              </w:rPr>
              <w:t xml:space="preserve">© </w:t>
            </w:r>
            <w:bookmarkStart w:id="14" w:name="copyrightDate"/>
            <w:r w:rsidRPr="003429C5">
              <w:rPr>
                <w:noProof/>
                <w:sz w:val="18"/>
              </w:rPr>
              <w:t>2</w:t>
            </w:r>
            <w:r w:rsidR="008E2D68" w:rsidRPr="003429C5">
              <w:rPr>
                <w:noProof/>
                <w:sz w:val="18"/>
              </w:rPr>
              <w:t>02</w:t>
            </w:r>
            <w:r w:rsidR="000270B9" w:rsidRPr="003429C5">
              <w:rPr>
                <w:noProof/>
                <w:sz w:val="18"/>
              </w:rPr>
              <w:t>2</w:t>
            </w:r>
            <w:bookmarkEnd w:id="14"/>
            <w:r w:rsidRPr="00F57EAB">
              <w:rPr>
                <w:noProof/>
                <w:sz w:val="18"/>
              </w:rPr>
              <w:t>,</w:t>
            </w:r>
            <w:r w:rsidRPr="00133525">
              <w:rPr>
                <w:noProof/>
                <w:sz w:val="18"/>
              </w:rPr>
              <w:t xml:space="preserve"> 3GPP Organizational Partners (ARIB, ATIS, CCSA, ETSI, TSDSI, TTA, TTC).</w:t>
            </w:r>
            <w:bookmarkStart w:id="15" w:name="copyrightaddon"/>
            <w:bookmarkEnd w:id="15"/>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26DA3D2F" w14:textId="77777777" w:rsidR="00E16509" w:rsidRDefault="00E16509" w:rsidP="00133525"/>
        </w:tc>
      </w:tr>
      <w:bookmarkEnd w:id="11"/>
    </w:tbl>
    <w:p w14:paraId="04D347A8" w14:textId="77777777" w:rsidR="00080512" w:rsidRPr="004D3578" w:rsidRDefault="00080512">
      <w:pPr>
        <w:pStyle w:val="TT"/>
      </w:pPr>
      <w:r w:rsidRPr="004D3578">
        <w:br w:type="page"/>
      </w:r>
      <w:bookmarkStart w:id="16" w:name="tableOfContents"/>
      <w:bookmarkEnd w:id="16"/>
      <w:r w:rsidRPr="004D3578">
        <w:lastRenderedPageBreak/>
        <w:t>Contents</w:t>
      </w:r>
    </w:p>
    <w:p w14:paraId="137D9814" w14:textId="3EDC8811" w:rsidR="00567BA5" w:rsidRDefault="009C17E7">
      <w:pPr>
        <w:pStyle w:val="TOC1"/>
        <w:rPr>
          <w:rFonts w:asciiTheme="minorHAnsi" w:eastAsiaTheme="minorEastAsia" w:hAnsiTheme="minorHAnsi" w:cstheme="minorBidi"/>
          <w:noProof/>
          <w:szCs w:val="22"/>
          <w:lang w:eastAsia="en-GB"/>
        </w:rPr>
      </w:pPr>
      <w:r w:rsidRPr="004D3578">
        <w:fldChar w:fldCharType="begin"/>
      </w:r>
      <w:r w:rsidRPr="004D3578">
        <w:instrText xml:space="preserve"> TOC \o "1-9" </w:instrText>
      </w:r>
      <w:r w:rsidRPr="004D3578">
        <w:fldChar w:fldCharType="separate"/>
      </w:r>
      <w:r w:rsidR="00567BA5">
        <w:rPr>
          <w:noProof/>
        </w:rPr>
        <w:t>Foreword</w:t>
      </w:r>
      <w:r w:rsidR="00567BA5">
        <w:rPr>
          <w:noProof/>
        </w:rPr>
        <w:tab/>
      </w:r>
      <w:r w:rsidR="00567BA5">
        <w:rPr>
          <w:noProof/>
        </w:rPr>
        <w:fldChar w:fldCharType="begin"/>
      </w:r>
      <w:r w:rsidR="00567BA5">
        <w:rPr>
          <w:noProof/>
        </w:rPr>
        <w:instrText xml:space="preserve"> PAGEREF _Toc105678662 \h </w:instrText>
      </w:r>
      <w:r w:rsidR="00567BA5">
        <w:rPr>
          <w:noProof/>
        </w:rPr>
      </w:r>
      <w:r w:rsidR="00567BA5">
        <w:rPr>
          <w:noProof/>
        </w:rPr>
        <w:fldChar w:fldCharType="separate"/>
      </w:r>
      <w:r w:rsidR="00567BA5">
        <w:rPr>
          <w:noProof/>
        </w:rPr>
        <w:t>4</w:t>
      </w:r>
      <w:r w:rsidR="00567BA5">
        <w:rPr>
          <w:noProof/>
        </w:rPr>
        <w:fldChar w:fldCharType="end"/>
      </w:r>
    </w:p>
    <w:p w14:paraId="543FF9EA" w14:textId="06432AD2" w:rsidR="00567BA5" w:rsidRDefault="00567BA5">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r>
      <w:r>
        <w:rPr>
          <w:noProof/>
        </w:rPr>
        <w:instrText xml:space="preserve"> PAGEREF _Toc105678663 \h </w:instrText>
      </w:r>
      <w:r>
        <w:rPr>
          <w:noProof/>
        </w:rPr>
      </w:r>
      <w:r>
        <w:rPr>
          <w:noProof/>
        </w:rPr>
        <w:fldChar w:fldCharType="separate"/>
      </w:r>
      <w:r>
        <w:rPr>
          <w:noProof/>
        </w:rPr>
        <w:t>6</w:t>
      </w:r>
      <w:r>
        <w:rPr>
          <w:noProof/>
        </w:rPr>
        <w:fldChar w:fldCharType="end"/>
      </w:r>
    </w:p>
    <w:p w14:paraId="35636282" w14:textId="367336C7" w:rsidR="00567BA5" w:rsidRDefault="00567BA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_Toc105678664 \h </w:instrText>
      </w:r>
      <w:r>
        <w:rPr>
          <w:noProof/>
        </w:rPr>
      </w:r>
      <w:r>
        <w:rPr>
          <w:noProof/>
        </w:rPr>
        <w:fldChar w:fldCharType="separate"/>
      </w:r>
      <w:r>
        <w:rPr>
          <w:noProof/>
        </w:rPr>
        <w:t>6</w:t>
      </w:r>
      <w:r>
        <w:rPr>
          <w:noProof/>
        </w:rPr>
        <w:fldChar w:fldCharType="end"/>
      </w:r>
    </w:p>
    <w:p w14:paraId="40C6E4F3" w14:textId="51C26997" w:rsidR="00567BA5" w:rsidRDefault="00567BA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r>
      <w:r>
        <w:rPr>
          <w:noProof/>
        </w:rPr>
        <w:instrText xml:space="preserve"> PAGEREF _Toc105678665 \h </w:instrText>
      </w:r>
      <w:r>
        <w:rPr>
          <w:noProof/>
        </w:rPr>
      </w:r>
      <w:r>
        <w:rPr>
          <w:noProof/>
        </w:rPr>
        <w:fldChar w:fldCharType="separate"/>
      </w:r>
      <w:r>
        <w:rPr>
          <w:noProof/>
        </w:rPr>
        <w:t>7</w:t>
      </w:r>
      <w:r>
        <w:rPr>
          <w:noProof/>
        </w:rPr>
        <w:fldChar w:fldCharType="end"/>
      </w:r>
    </w:p>
    <w:p w14:paraId="294A224F" w14:textId="27705AC0" w:rsidR="00567BA5" w:rsidRDefault="00567BA5">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r>
      <w:r>
        <w:rPr>
          <w:noProof/>
        </w:rPr>
        <w:instrText xml:space="preserve"> PAGEREF _Toc105678666 \h </w:instrText>
      </w:r>
      <w:r>
        <w:rPr>
          <w:noProof/>
        </w:rPr>
      </w:r>
      <w:r>
        <w:rPr>
          <w:noProof/>
        </w:rPr>
        <w:fldChar w:fldCharType="separate"/>
      </w:r>
      <w:r>
        <w:rPr>
          <w:noProof/>
        </w:rPr>
        <w:t>7</w:t>
      </w:r>
      <w:r>
        <w:rPr>
          <w:noProof/>
        </w:rPr>
        <w:fldChar w:fldCharType="end"/>
      </w:r>
    </w:p>
    <w:p w14:paraId="1C12F6FC" w14:textId="24E36FED" w:rsidR="00567BA5" w:rsidRDefault="00567BA5">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r>
      <w:r>
        <w:rPr>
          <w:noProof/>
        </w:rPr>
        <w:instrText xml:space="preserve"> PAGEREF _Toc105678667 \h </w:instrText>
      </w:r>
      <w:r>
        <w:rPr>
          <w:noProof/>
        </w:rPr>
      </w:r>
      <w:r>
        <w:rPr>
          <w:noProof/>
        </w:rPr>
        <w:fldChar w:fldCharType="separate"/>
      </w:r>
      <w:r>
        <w:rPr>
          <w:noProof/>
        </w:rPr>
        <w:t>7</w:t>
      </w:r>
      <w:r>
        <w:rPr>
          <w:noProof/>
        </w:rPr>
        <w:fldChar w:fldCharType="end"/>
      </w:r>
    </w:p>
    <w:p w14:paraId="1E99E390" w14:textId="6F57D6C1" w:rsidR="00567BA5" w:rsidRDefault="00567BA5">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_Toc105678668 \h </w:instrText>
      </w:r>
      <w:r>
        <w:rPr>
          <w:noProof/>
        </w:rPr>
      </w:r>
      <w:r>
        <w:rPr>
          <w:noProof/>
        </w:rPr>
        <w:fldChar w:fldCharType="separate"/>
      </w:r>
      <w:r>
        <w:rPr>
          <w:noProof/>
        </w:rPr>
        <w:t>7</w:t>
      </w:r>
      <w:r>
        <w:rPr>
          <w:noProof/>
        </w:rPr>
        <w:fldChar w:fldCharType="end"/>
      </w:r>
    </w:p>
    <w:p w14:paraId="10BBBFC4" w14:textId="6A64498B" w:rsidR="00567BA5" w:rsidRDefault="00567BA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Use cases</w:t>
      </w:r>
      <w:r>
        <w:rPr>
          <w:noProof/>
        </w:rPr>
        <w:tab/>
      </w:r>
      <w:r>
        <w:rPr>
          <w:noProof/>
        </w:rPr>
        <w:fldChar w:fldCharType="begin"/>
      </w:r>
      <w:r>
        <w:rPr>
          <w:noProof/>
        </w:rPr>
        <w:instrText xml:space="preserve"> PAGEREF _Toc105678669 \h </w:instrText>
      </w:r>
      <w:r>
        <w:rPr>
          <w:noProof/>
        </w:rPr>
      </w:r>
      <w:r>
        <w:rPr>
          <w:noProof/>
        </w:rPr>
        <w:fldChar w:fldCharType="separate"/>
      </w:r>
      <w:r>
        <w:rPr>
          <w:noProof/>
        </w:rPr>
        <w:t>7</w:t>
      </w:r>
      <w:r>
        <w:rPr>
          <w:noProof/>
        </w:rPr>
        <w:fldChar w:fldCharType="end"/>
      </w:r>
    </w:p>
    <w:p w14:paraId="0DB87B60" w14:textId="44A9137A" w:rsidR="00567BA5" w:rsidRDefault="00567BA5">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Background from Rel-17 Discussions</w:t>
      </w:r>
      <w:r>
        <w:rPr>
          <w:noProof/>
        </w:rPr>
        <w:tab/>
      </w:r>
      <w:r>
        <w:rPr>
          <w:noProof/>
        </w:rPr>
        <w:fldChar w:fldCharType="begin"/>
      </w:r>
      <w:r>
        <w:rPr>
          <w:noProof/>
        </w:rPr>
        <w:instrText xml:space="preserve"> PAGEREF _Toc105678670 \h </w:instrText>
      </w:r>
      <w:r>
        <w:rPr>
          <w:noProof/>
        </w:rPr>
      </w:r>
      <w:r>
        <w:rPr>
          <w:noProof/>
        </w:rPr>
        <w:fldChar w:fldCharType="separate"/>
      </w:r>
      <w:r>
        <w:rPr>
          <w:noProof/>
        </w:rPr>
        <w:t>7</w:t>
      </w:r>
      <w:r>
        <w:rPr>
          <w:noProof/>
        </w:rPr>
        <w:fldChar w:fldCharType="end"/>
      </w:r>
    </w:p>
    <w:p w14:paraId="7961DC0D" w14:textId="1FE66854" w:rsidR="00567BA5" w:rsidRDefault="00567BA5">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NTN vs. Terrestrial Regulatory Requirements</w:t>
      </w:r>
      <w:r>
        <w:rPr>
          <w:noProof/>
        </w:rPr>
        <w:tab/>
      </w:r>
      <w:r>
        <w:rPr>
          <w:noProof/>
        </w:rPr>
        <w:fldChar w:fldCharType="begin"/>
      </w:r>
      <w:r>
        <w:rPr>
          <w:noProof/>
        </w:rPr>
        <w:instrText xml:space="preserve"> PAGEREF _Toc105678671 \h </w:instrText>
      </w:r>
      <w:r>
        <w:rPr>
          <w:noProof/>
        </w:rPr>
      </w:r>
      <w:r>
        <w:rPr>
          <w:noProof/>
        </w:rPr>
        <w:fldChar w:fldCharType="separate"/>
      </w:r>
      <w:r>
        <w:rPr>
          <w:noProof/>
        </w:rPr>
        <w:t>8</w:t>
      </w:r>
      <w:r>
        <w:rPr>
          <w:noProof/>
        </w:rPr>
        <w:fldChar w:fldCharType="end"/>
      </w:r>
    </w:p>
    <w:p w14:paraId="3A43D82F" w14:textId="257D7462" w:rsidR="00567BA5" w:rsidRDefault="00567BA5">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Regulatory support of services in NTN</w:t>
      </w:r>
      <w:r>
        <w:rPr>
          <w:noProof/>
        </w:rPr>
        <w:tab/>
      </w:r>
      <w:r>
        <w:rPr>
          <w:noProof/>
        </w:rPr>
        <w:fldChar w:fldCharType="begin"/>
      </w:r>
      <w:r>
        <w:rPr>
          <w:noProof/>
        </w:rPr>
        <w:instrText xml:space="preserve"> PAGEREF _Toc105678672 \h </w:instrText>
      </w:r>
      <w:r>
        <w:rPr>
          <w:noProof/>
        </w:rPr>
      </w:r>
      <w:r>
        <w:rPr>
          <w:noProof/>
        </w:rPr>
        <w:fldChar w:fldCharType="separate"/>
      </w:r>
      <w:r>
        <w:rPr>
          <w:noProof/>
        </w:rPr>
        <w:t>8</w:t>
      </w:r>
      <w:r>
        <w:rPr>
          <w:noProof/>
        </w:rPr>
        <w:fldChar w:fldCharType="end"/>
      </w:r>
    </w:p>
    <w:p w14:paraId="57C9477C" w14:textId="453B99BD" w:rsidR="00567BA5" w:rsidRDefault="00567BA5">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LCS and NTN</w:t>
      </w:r>
      <w:r>
        <w:rPr>
          <w:noProof/>
        </w:rPr>
        <w:tab/>
      </w:r>
      <w:r>
        <w:rPr>
          <w:noProof/>
        </w:rPr>
        <w:fldChar w:fldCharType="begin"/>
      </w:r>
      <w:r>
        <w:rPr>
          <w:noProof/>
        </w:rPr>
        <w:instrText xml:space="preserve"> PAGEREF _Toc105678673 \h </w:instrText>
      </w:r>
      <w:r>
        <w:rPr>
          <w:noProof/>
        </w:rPr>
      </w:r>
      <w:r>
        <w:rPr>
          <w:noProof/>
        </w:rPr>
        <w:fldChar w:fldCharType="separate"/>
      </w:r>
      <w:r>
        <w:rPr>
          <w:noProof/>
        </w:rPr>
        <w:t>9</w:t>
      </w:r>
      <w:r>
        <w:rPr>
          <w:noProof/>
        </w:rPr>
        <w:fldChar w:fldCharType="end"/>
      </w:r>
    </w:p>
    <w:p w14:paraId="5FC833AA" w14:textId="4D853819" w:rsidR="00567BA5" w:rsidRDefault="00567BA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Recommendations</w:t>
      </w:r>
      <w:r>
        <w:rPr>
          <w:noProof/>
        </w:rPr>
        <w:tab/>
      </w:r>
      <w:r>
        <w:rPr>
          <w:noProof/>
        </w:rPr>
        <w:fldChar w:fldCharType="begin"/>
      </w:r>
      <w:r>
        <w:rPr>
          <w:noProof/>
        </w:rPr>
        <w:instrText xml:space="preserve"> PAGEREF _Toc105678674 \h </w:instrText>
      </w:r>
      <w:r>
        <w:rPr>
          <w:noProof/>
        </w:rPr>
      </w:r>
      <w:r>
        <w:rPr>
          <w:noProof/>
        </w:rPr>
        <w:fldChar w:fldCharType="separate"/>
      </w:r>
      <w:r>
        <w:rPr>
          <w:noProof/>
        </w:rPr>
        <w:t>10</w:t>
      </w:r>
      <w:r>
        <w:rPr>
          <w:noProof/>
        </w:rPr>
        <w:fldChar w:fldCharType="end"/>
      </w:r>
    </w:p>
    <w:p w14:paraId="1E72F5E0" w14:textId="4B9B61CE" w:rsidR="00567BA5" w:rsidRDefault="00567BA5">
      <w:pPr>
        <w:pStyle w:val="TOC8"/>
        <w:rPr>
          <w:rFonts w:asciiTheme="minorHAnsi" w:eastAsiaTheme="minorEastAsia" w:hAnsiTheme="minorHAnsi" w:cstheme="minorBidi"/>
          <w:b w:val="0"/>
          <w:noProof/>
          <w:szCs w:val="22"/>
          <w:lang w:eastAsia="en-GB"/>
        </w:rPr>
      </w:pPr>
      <w:r>
        <w:rPr>
          <w:noProof/>
        </w:rPr>
        <w:t>Annex A (informative): Requirements for UE location verification</w:t>
      </w:r>
      <w:r>
        <w:rPr>
          <w:noProof/>
        </w:rPr>
        <w:tab/>
      </w:r>
      <w:r>
        <w:rPr>
          <w:noProof/>
        </w:rPr>
        <w:fldChar w:fldCharType="begin"/>
      </w:r>
      <w:r>
        <w:rPr>
          <w:noProof/>
        </w:rPr>
        <w:instrText xml:space="preserve"> PAGEREF _Toc105678675 \h </w:instrText>
      </w:r>
      <w:r>
        <w:rPr>
          <w:noProof/>
        </w:rPr>
      </w:r>
      <w:r>
        <w:rPr>
          <w:noProof/>
        </w:rPr>
        <w:fldChar w:fldCharType="separate"/>
      </w:r>
      <w:r>
        <w:rPr>
          <w:noProof/>
        </w:rPr>
        <w:t>11</w:t>
      </w:r>
      <w:r>
        <w:rPr>
          <w:noProof/>
        </w:rPr>
        <w:fldChar w:fldCharType="end"/>
      </w:r>
    </w:p>
    <w:p w14:paraId="3B4F422E" w14:textId="162EABCC" w:rsidR="00567BA5" w:rsidRDefault="00567BA5">
      <w:pPr>
        <w:pStyle w:val="TOC2"/>
        <w:rPr>
          <w:rFonts w:asciiTheme="minorHAnsi" w:eastAsiaTheme="minorEastAsia" w:hAnsiTheme="minorHAnsi" w:cstheme="minorBidi"/>
          <w:noProof/>
          <w:sz w:val="22"/>
          <w:szCs w:val="22"/>
          <w:lang w:eastAsia="en-GB"/>
        </w:rPr>
      </w:pPr>
      <w:r>
        <w:rPr>
          <w:noProof/>
        </w:rPr>
        <w:t>A.1</w:t>
      </w:r>
      <w:r>
        <w:rPr>
          <w:rFonts w:asciiTheme="minorHAnsi" w:eastAsiaTheme="minorEastAsia" w:hAnsiTheme="minorHAnsi" w:cstheme="minorBidi"/>
          <w:noProof/>
          <w:sz w:val="22"/>
          <w:szCs w:val="22"/>
          <w:lang w:eastAsia="en-GB"/>
        </w:rPr>
        <w:tab/>
      </w:r>
      <w:r>
        <w:rPr>
          <w:noProof/>
        </w:rPr>
        <w:t>Emergency calls</w:t>
      </w:r>
      <w:r>
        <w:rPr>
          <w:noProof/>
        </w:rPr>
        <w:tab/>
      </w:r>
      <w:r>
        <w:rPr>
          <w:noProof/>
        </w:rPr>
        <w:fldChar w:fldCharType="begin"/>
      </w:r>
      <w:r>
        <w:rPr>
          <w:noProof/>
        </w:rPr>
        <w:instrText xml:space="preserve"> PAGEREF _Toc105678676 \h </w:instrText>
      </w:r>
      <w:r>
        <w:rPr>
          <w:noProof/>
        </w:rPr>
      </w:r>
      <w:r>
        <w:rPr>
          <w:noProof/>
        </w:rPr>
        <w:fldChar w:fldCharType="separate"/>
      </w:r>
      <w:r>
        <w:rPr>
          <w:noProof/>
        </w:rPr>
        <w:t>11</w:t>
      </w:r>
      <w:r>
        <w:rPr>
          <w:noProof/>
        </w:rPr>
        <w:fldChar w:fldCharType="end"/>
      </w:r>
    </w:p>
    <w:p w14:paraId="6AAAB434" w14:textId="15D0F0CA" w:rsidR="00567BA5" w:rsidRDefault="00567BA5">
      <w:pPr>
        <w:pStyle w:val="TOC2"/>
        <w:rPr>
          <w:rFonts w:asciiTheme="minorHAnsi" w:eastAsiaTheme="minorEastAsia" w:hAnsiTheme="minorHAnsi" w:cstheme="minorBidi"/>
          <w:noProof/>
          <w:sz w:val="22"/>
          <w:szCs w:val="22"/>
          <w:lang w:eastAsia="en-GB"/>
        </w:rPr>
      </w:pPr>
      <w:r>
        <w:rPr>
          <w:noProof/>
        </w:rPr>
        <w:t>A.2</w:t>
      </w:r>
      <w:r>
        <w:rPr>
          <w:rFonts w:asciiTheme="minorHAnsi" w:eastAsiaTheme="minorEastAsia" w:hAnsiTheme="minorHAnsi" w:cstheme="minorBidi"/>
          <w:noProof/>
          <w:sz w:val="22"/>
          <w:szCs w:val="22"/>
          <w:lang w:eastAsia="en-GB"/>
        </w:rPr>
        <w:tab/>
      </w:r>
      <w:r>
        <w:rPr>
          <w:noProof/>
        </w:rPr>
        <w:t>Lawful intercept (LI)</w:t>
      </w:r>
      <w:r>
        <w:rPr>
          <w:noProof/>
        </w:rPr>
        <w:tab/>
      </w:r>
      <w:r>
        <w:rPr>
          <w:noProof/>
        </w:rPr>
        <w:fldChar w:fldCharType="begin"/>
      </w:r>
      <w:r>
        <w:rPr>
          <w:noProof/>
        </w:rPr>
        <w:instrText xml:space="preserve"> PAGEREF _Toc105678677 \h </w:instrText>
      </w:r>
      <w:r>
        <w:rPr>
          <w:noProof/>
        </w:rPr>
      </w:r>
      <w:r>
        <w:rPr>
          <w:noProof/>
        </w:rPr>
        <w:fldChar w:fldCharType="separate"/>
      </w:r>
      <w:r>
        <w:rPr>
          <w:noProof/>
        </w:rPr>
        <w:t>11</w:t>
      </w:r>
      <w:r>
        <w:rPr>
          <w:noProof/>
        </w:rPr>
        <w:fldChar w:fldCharType="end"/>
      </w:r>
    </w:p>
    <w:p w14:paraId="31D01266" w14:textId="5CFDF52F" w:rsidR="00567BA5" w:rsidRDefault="00567BA5">
      <w:pPr>
        <w:pStyle w:val="TOC2"/>
        <w:rPr>
          <w:rFonts w:asciiTheme="minorHAnsi" w:eastAsiaTheme="minorEastAsia" w:hAnsiTheme="minorHAnsi" w:cstheme="minorBidi"/>
          <w:noProof/>
          <w:sz w:val="22"/>
          <w:szCs w:val="22"/>
          <w:lang w:eastAsia="en-GB"/>
        </w:rPr>
      </w:pPr>
      <w:r>
        <w:rPr>
          <w:noProof/>
        </w:rPr>
        <w:t>A.3</w:t>
      </w:r>
      <w:r>
        <w:rPr>
          <w:rFonts w:asciiTheme="minorHAnsi" w:eastAsiaTheme="minorEastAsia" w:hAnsiTheme="minorHAnsi" w:cstheme="minorBidi"/>
          <w:noProof/>
          <w:sz w:val="22"/>
          <w:szCs w:val="22"/>
          <w:lang w:eastAsia="en-GB"/>
        </w:rPr>
        <w:tab/>
      </w:r>
      <w:r>
        <w:rPr>
          <w:noProof/>
        </w:rPr>
        <w:t>Public warning Service (PWS)</w:t>
      </w:r>
      <w:r>
        <w:rPr>
          <w:noProof/>
        </w:rPr>
        <w:tab/>
      </w:r>
      <w:r>
        <w:rPr>
          <w:noProof/>
        </w:rPr>
        <w:fldChar w:fldCharType="begin"/>
      </w:r>
      <w:r>
        <w:rPr>
          <w:noProof/>
        </w:rPr>
        <w:instrText xml:space="preserve"> PAGEREF _Toc105678678 \h </w:instrText>
      </w:r>
      <w:r>
        <w:rPr>
          <w:noProof/>
        </w:rPr>
      </w:r>
      <w:r>
        <w:rPr>
          <w:noProof/>
        </w:rPr>
        <w:fldChar w:fldCharType="separate"/>
      </w:r>
      <w:r>
        <w:rPr>
          <w:noProof/>
        </w:rPr>
        <w:t>12</w:t>
      </w:r>
      <w:r>
        <w:rPr>
          <w:noProof/>
        </w:rPr>
        <w:fldChar w:fldCharType="end"/>
      </w:r>
    </w:p>
    <w:p w14:paraId="165E8EED" w14:textId="3C760473" w:rsidR="00567BA5" w:rsidRDefault="00567BA5">
      <w:pPr>
        <w:pStyle w:val="TOC2"/>
        <w:rPr>
          <w:rFonts w:asciiTheme="minorHAnsi" w:eastAsiaTheme="minorEastAsia" w:hAnsiTheme="minorHAnsi" w:cstheme="minorBidi"/>
          <w:noProof/>
          <w:sz w:val="22"/>
          <w:szCs w:val="22"/>
          <w:lang w:eastAsia="en-GB"/>
        </w:rPr>
      </w:pPr>
      <w:r>
        <w:rPr>
          <w:noProof/>
        </w:rPr>
        <w:t>A.4</w:t>
      </w:r>
      <w:r>
        <w:rPr>
          <w:rFonts w:asciiTheme="minorHAnsi" w:eastAsiaTheme="minorEastAsia" w:hAnsiTheme="minorHAnsi" w:cstheme="minorBidi"/>
          <w:noProof/>
          <w:sz w:val="22"/>
          <w:szCs w:val="22"/>
          <w:lang w:eastAsia="en-GB"/>
        </w:rPr>
        <w:tab/>
      </w:r>
      <w:r>
        <w:rPr>
          <w:noProof/>
        </w:rPr>
        <w:t>Charging and Tariff notifications</w:t>
      </w:r>
      <w:r>
        <w:rPr>
          <w:noProof/>
        </w:rPr>
        <w:tab/>
      </w:r>
      <w:r>
        <w:rPr>
          <w:noProof/>
        </w:rPr>
        <w:fldChar w:fldCharType="begin"/>
      </w:r>
      <w:r>
        <w:rPr>
          <w:noProof/>
        </w:rPr>
        <w:instrText xml:space="preserve"> PAGEREF _Toc105678679 \h </w:instrText>
      </w:r>
      <w:r>
        <w:rPr>
          <w:noProof/>
        </w:rPr>
      </w:r>
      <w:r>
        <w:rPr>
          <w:noProof/>
        </w:rPr>
        <w:fldChar w:fldCharType="separate"/>
      </w:r>
      <w:r>
        <w:rPr>
          <w:noProof/>
        </w:rPr>
        <w:t>12</w:t>
      </w:r>
      <w:r>
        <w:rPr>
          <w:noProof/>
        </w:rPr>
        <w:fldChar w:fldCharType="end"/>
      </w:r>
    </w:p>
    <w:p w14:paraId="449DD298" w14:textId="198A4F19" w:rsidR="00567BA5" w:rsidRDefault="00567BA5">
      <w:pPr>
        <w:pStyle w:val="TOC2"/>
        <w:rPr>
          <w:rFonts w:asciiTheme="minorHAnsi" w:eastAsiaTheme="minorEastAsia" w:hAnsiTheme="minorHAnsi" w:cstheme="minorBidi"/>
          <w:noProof/>
          <w:sz w:val="22"/>
          <w:szCs w:val="22"/>
          <w:lang w:eastAsia="en-GB"/>
        </w:rPr>
      </w:pPr>
      <w:r>
        <w:rPr>
          <w:noProof/>
        </w:rPr>
        <w:t>A.5</w:t>
      </w:r>
      <w:r>
        <w:rPr>
          <w:rFonts w:asciiTheme="minorHAnsi" w:eastAsiaTheme="minorEastAsia" w:hAnsiTheme="minorHAnsi" w:cstheme="minorBidi"/>
          <w:noProof/>
          <w:sz w:val="22"/>
          <w:szCs w:val="22"/>
          <w:lang w:eastAsia="en-GB"/>
        </w:rPr>
        <w:tab/>
      </w:r>
      <w:r>
        <w:rPr>
          <w:noProof/>
        </w:rPr>
        <w:t>All regulated services</w:t>
      </w:r>
      <w:r>
        <w:rPr>
          <w:noProof/>
        </w:rPr>
        <w:tab/>
      </w:r>
      <w:r>
        <w:rPr>
          <w:noProof/>
        </w:rPr>
        <w:fldChar w:fldCharType="begin"/>
      </w:r>
      <w:r>
        <w:rPr>
          <w:noProof/>
        </w:rPr>
        <w:instrText xml:space="preserve"> PAGEREF _Toc105678680 \h </w:instrText>
      </w:r>
      <w:r>
        <w:rPr>
          <w:noProof/>
        </w:rPr>
      </w:r>
      <w:r>
        <w:rPr>
          <w:noProof/>
        </w:rPr>
        <w:fldChar w:fldCharType="separate"/>
      </w:r>
      <w:r>
        <w:rPr>
          <w:noProof/>
        </w:rPr>
        <w:t>13</w:t>
      </w:r>
      <w:r>
        <w:rPr>
          <w:noProof/>
        </w:rPr>
        <w:fldChar w:fldCharType="end"/>
      </w:r>
    </w:p>
    <w:p w14:paraId="75A4E968" w14:textId="59953C61" w:rsidR="00567BA5" w:rsidRDefault="00567BA5">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r>
      <w:r>
        <w:rPr>
          <w:noProof/>
        </w:rPr>
        <w:instrText xml:space="preserve"> PAGEREF _Toc105678681 \h </w:instrText>
      </w:r>
      <w:r>
        <w:rPr>
          <w:noProof/>
        </w:rPr>
      </w:r>
      <w:r>
        <w:rPr>
          <w:noProof/>
        </w:rPr>
        <w:fldChar w:fldCharType="separate"/>
      </w:r>
      <w:r>
        <w:rPr>
          <w:noProof/>
        </w:rPr>
        <w:t>13</w:t>
      </w:r>
      <w:r>
        <w:rPr>
          <w:noProof/>
        </w:rPr>
        <w:fldChar w:fldCharType="end"/>
      </w:r>
    </w:p>
    <w:p w14:paraId="0B9E3498" w14:textId="529B32F7" w:rsidR="00080512" w:rsidRPr="004D3578" w:rsidRDefault="009C17E7" w:rsidP="009C17E7">
      <w:r w:rsidRPr="004D3578">
        <w:rPr>
          <w:noProof/>
          <w:sz w:val="22"/>
        </w:rPr>
        <w:fldChar w:fldCharType="end"/>
      </w:r>
    </w:p>
    <w:p w14:paraId="747690AD" w14:textId="2818D520" w:rsidR="0074026F" w:rsidRPr="007B600E" w:rsidRDefault="00080512" w:rsidP="00A423C3">
      <w:r w:rsidRPr="004D3578">
        <w:br w:type="page"/>
      </w:r>
    </w:p>
    <w:p w14:paraId="03993004" w14:textId="77777777" w:rsidR="00080512" w:rsidRDefault="00080512">
      <w:pPr>
        <w:pStyle w:val="Heading1"/>
      </w:pPr>
      <w:bookmarkStart w:id="17" w:name="foreword"/>
      <w:bookmarkStart w:id="18" w:name="_Toc105678662"/>
      <w:bookmarkEnd w:id="17"/>
      <w:r w:rsidRPr="004D3578">
        <w:lastRenderedPageBreak/>
        <w:t>Foreword</w:t>
      </w:r>
      <w:bookmarkEnd w:id="18"/>
    </w:p>
    <w:p w14:paraId="2511FBFA" w14:textId="2143F496" w:rsidR="00080512" w:rsidRPr="004D3578" w:rsidRDefault="00080512">
      <w:r w:rsidRPr="004D3578">
        <w:t xml:space="preserve">This </w:t>
      </w:r>
      <w:r w:rsidRPr="00F57EAB">
        <w:t xml:space="preserve">Technical </w:t>
      </w:r>
      <w:bookmarkStart w:id="19" w:name="spectype3"/>
      <w:r w:rsidR="00602AEA" w:rsidRPr="003429C5">
        <w:t>Report</w:t>
      </w:r>
      <w:bookmarkEnd w:id="19"/>
      <w:r w:rsidRPr="00F57EAB">
        <w:t xml:space="preserve"> has been produced by the</w:t>
      </w:r>
      <w:r w:rsidRPr="004D3578">
        <w:t xml:space="preserv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6A7CE5D7" w14:textId="69D5AD20" w:rsidR="00080512" w:rsidRPr="004D3578" w:rsidRDefault="00080512" w:rsidP="00496117">
      <w:bookmarkStart w:id="20" w:name="introduction"/>
      <w:bookmarkEnd w:id="20"/>
    </w:p>
    <w:p w14:paraId="548A512E" w14:textId="77777777" w:rsidR="00080512" w:rsidRPr="004D3578" w:rsidRDefault="00080512">
      <w:pPr>
        <w:pStyle w:val="Heading1"/>
      </w:pPr>
      <w:r w:rsidRPr="004D3578">
        <w:br w:type="page"/>
      </w:r>
      <w:bookmarkStart w:id="21" w:name="scope"/>
      <w:bookmarkStart w:id="22" w:name="_Toc105678663"/>
      <w:bookmarkEnd w:id="21"/>
      <w:r w:rsidRPr="004D3578">
        <w:lastRenderedPageBreak/>
        <w:t>1</w:t>
      </w:r>
      <w:r w:rsidRPr="004D3578">
        <w:tab/>
        <w:t>Scope</w:t>
      </w:r>
      <w:bookmarkEnd w:id="22"/>
    </w:p>
    <w:p w14:paraId="6151E588" w14:textId="507DC4B8" w:rsidR="001C3F58" w:rsidRPr="00134B7D" w:rsidRDefault="00080512" w:rsidP="001C3F58">
      <w:pPr>
        <w:rPr>
          <w:bCs/>
        </w:rPr>
      </w:pPr>
      <w:r w:rsidRPr="004D3578">
        <w:t xml:space="preserve">The present document </w:t>
      </w:r>
      <w:r w:rsidR="001C3F58">
        <w:t xml:space="preserve">analyses the </w:t>
      </w:r>
      <w:r w:rsidR="001C3F58" w:rsidRPr="00134B7D">
        <w:rPr>
          <w:bCs/>
        </w:rPr>
        <w:t>regulatory requirement</w:t>
      </w:r>
      <w:r w:rsidR="001C3F58">
        <w:rPr>
          <w:bCs/>
        </w:rPr>
        <w:t>s</w:t>
      </w:r>
      <w:r w:rsidR="001C3F58" w:rsidRPr="00134B7D">
        <w:rPr>
          <w:bCs/>
        </w:rPr>
        <w:t xml:space="preserve"> </w:t>
      </w:r>
      <w:r w:rsidR="001C3F58">
        <w:rPr>
          <w:bCs/>
        </w:rPr>
        <w:t xml:space="preserve">(e.g. accuracy, privacy, reliability, latency) in terms of UE location service for a set of use cases/services (i.e. emergency call, lawful intercept, public warning, charging/billing). It identifies the possible need for </w:t>
      </w:r>
      <w:r w:rsidR="001C3F58" w:rsidRPr="00134B7D">
        <w:rPr>
          <w:bCs/>
        </w:rPr>
        <w:t>network-verified UE location</w:t>
      </w:r>
      <w:r w:rsidR="001C3F58">
        <w:rPr>
          <w:bCs/>
        </w:rPr>
        <w:t xml:space="preserve"> </w:t>
      </w:r>
      <w:r w:rsidR="001C3F58" w:rsidRPr="003E372D">
        <w:rPr>
          <w:bCs/>
        </w:rPr>
        <w:t>specification support in Rel-18</w:t>
      </w:r>
      <w:r w:rsidR="001C3F58">
        <w:rPr>
          <w:bCs/>
        </w:rPr>
        <w:t>.</w:t>
      </w:r>
    </w:p>
    <w:p w14:paraId="794720D9" w14:textId="77777777" w:rsidR="00080512" w:rsidRPr="004D3578" w:rsidRDefault="00080512">
      <w:pPr>
        <w:pStyle w:val="Heading1"/>
      </w:pPr>
      <w:bookmarkStart w:id="23" w:name="references"/>
      <w:bookmarkStart w:id="24" w:name="_Toc105678664"/>
      <w:bookmarkEnd w:id="23"/>
      <w:r w:rsidRPr="004D3578">
        <w:t>2</w:t>
      </w:r>
      <w:r w:rsidRPr="004D3578">
        <w:tab/>
        <w:t>References</w:t>
      </w:r>
      <w:bookmarkEnd w:id="24"/>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120BDDB" w14:textId="37F69FE2" w:rsidR="009C65BA" w:rsidRDefault="009C65BA" w:rsidP="009C65BA">
      <w:pPr>
        <w:pStyle w:val="EX"/>
      </w:pPr>
      <w:r w:rsidRPr="004D3578">
        <w:t>[1]</w:t>
      </w:r>
      <w:r w:rsidRPr="004D3578">
        <w:tab/>
        <w:t>3GPP TR 21.905: "Vocabulary for 3GPP Specifications".</w:t>
      </w:r>
    </w:p>
    <w:p w14:paraId="62F26546" w14:textId="5E4F724C" w:rsidR="009C65BA" w:rsidRPr="009C65BA" w:rsidRDefault="009C65BA" w:rsidP="009C65BA">
      <w:pPr>
        <w:pStyle w:val="EX"/>
      </w:pPr>
      <w:r>
        <w:t>[2]</w:t>
      </w:r>
      <w:r>
        <w:tab/>
      </w:r>
      <w:r w:rsidRPr="009C65BA">
        <w:t>3GPP TR 23.737</w:t>
      </w:r>
      <w:r w:rsidR="00A423C3">
        <w:t>:</w:t>
      </w:r>
      <w:r w:rsidRPr="009C65BA">
        <w:t xml:space="preserve"> </w:t>
      </w:r>
      <w:r w:rsidR="00496117">
        <w:t>"</w:t>
      </w:r>
      <w:r w:rsidRPr="009C65BA">
        <w:t>Study on architecture aspects for using satellite access in 5G (Release 17)</w:t>
      </w:r>
      <w:r w:rsidR="00496117">
        <w:t>".</w:t>
      </w:r>
    </w:p>
    <w:p w14:paraId="08240799" w14:textId="0D3E7ED1" w:rsidR="009C65BA" w:rsidRPr="009C65BA" w:rsidRDefault="009C65BA" w:rsidP="009C65BA">
      <w:pPr>
        <w:pStyle w:val="EX"/>
      </w:pPr>
      <w:r>
        <w:t>[3]</w:t>
      </w:r>
      <w:r>
        <w:tab/>
      </w:r>
      <w:r w:rsidRPr="009C65BA">
        <w:t>3GPP TR 22.926</w:t>
      </w:r>
      <w:r w:rsidR="00A423C3">
        <w:t>:</w:t>
      </w:r>
      <w:r w:rsidRPr="009C65BA">
        <w:t xml:space="preserve"> </w:t>
      </w:r>
      <w:r w:rsidR="00A423C3">
        <w:t>"</w:t>
      </w:r>
      <w:r w:rsidRPr="009C65BA">
        <w:t>Guidelines for Extraterritorial 5G Systems; Stage 1</w:t>
      </w:r>
      <w:r w:rsidR="00A423C3">
        <w:t>"</w:t>
      </w:r>
      <w:r w:rsidR="00496117">
        <w:t>.</w:t>
      </w:r>
    </w:p>
    <w:p w14:paraId="694431E6" w14:textId="64E00F36" w:rsidR="009C65BA" w:rsidRPr="009C65BA" w:rsidDel="00887EAC" w:rsidRDefault="009C65BA" w:rsidP="009C65BA">
      <w:pPr>
        <w:pStyle w:val="EX"/>
      </w:pPr>
      <w:r w:rsidRPr="009C65BA" w:rsidDel="00887EAC">
        <w:t>[</w:t>
      </w:r>
      <w:r>
        <w:t>4]</w:t>
      </w:r>
      <w:r>
        <w:tab/>
      </w:r>
      <w:r w:rsidRPr="009C65BA" w:rsidDel="00887EAC">
        <w:t>3GPP S3i200056</w:t>
      </w:r>
      <w:r w:rsidR="00A423C3">
        <w:t>:</w:t>
      </w:r>
      <w:r w:rsidRPr="009C65BA" w:rsidDel="00887EAC">
        <w:t xml:space="preserve"> </w:t>
      </w:r>
      <w:r w:rsidR="00496117">
        <w:t>"</w:t>
      </w:r>
      <w:r w:rsidRPr="009C65BA" w:rsidDel="00887EAC">
        <w:t xml:space="preserve">Response LS on the </w:t>
      </w:r>
      <w:r w:rsidR="00496117">
        <w:t>"</w:t>
      </w:r>
      <w:r w:rsidRPr="009C65BA" w:rsidDel="00887EAC">
        <w:t>LS OUT on Location of UEs an</w:t>
      </w:r>
      <w:r>
        <w:t>d associated key issues</w:t>
      </w:r>
      <w:r w:rsidR="00496117">
        <w:t>""</w:t>
      </w:r>
      <w:r w:rsidRPr="009C65BA" w:rsidDel="00887EAC">
        <w:t>(Contact: Rogers)</w:t>
      </w:r>
      <w:r w:rsidR="00496117">
        <w:t>.</w:t>
      </w:r>
    </w:p>
    <w:p w14:paraId="783B4308" w14:textId="42310E53" w:rsidR="009C65BA" w:rsidRPr="009C65BA" w:rsidRDefault="009C65BA" w:rsidP="009C65BA">
      <w:pPr>
        <w:pStyle w:val="EX"/>
      </w:pPr>
      <w:r w:rsidRPr="009C65BA">
        <w:t>[</w:t>
      </w:r>
      <w:r>
        <w:t>5]</w:t>
      </w:r>
      <w:r>
        <w:tab/>
      </w:r>
      <w:r w:rsidRPr="009C65BA">
        <w:t>3GPP TR 22.872</w:t>
      </w:r>
      <w:r w:rsidR="00A423C3">
        <w:t>:</w:t>
      </w:r>
      <w:r w:rsidRPr="009C65BA">
        <w:t xml:space="preserve"> Study on positioning use cases; Stage 1 (Release 16)</w:t>
      </w:r>
      <w:r w:rsidR="00496117">
        <w:t>.</w:t>
      </w:r>
    </w:p>
    <w:p w14:paraId="14877B20" w14:textId="063A3187" w:rsidR="009C65BA" w:rsidRPr="009C65BA" w:rsidRDefault="009C65BA" w:rsidP="009C65BA">
      <w:pPr>
        <w:pStyle w:val="EX"/>
      </w:pPr>
      <w:r w:rsidRPr="009C65BA">
        <w:t>[</w:t>
      </w:r>
      <w:r>
        <w:t>6]</w:t>
      </w:r>
      <w:r>
        <w:tab/>
      </w:r>
      <w:r w:rsidRPr="009C65BA">
        <w:t>Standardisation Request for E112 (as regards hand-held mobile phones in support of Directive 2014/53/EU)</w:t>
      </w:r>
      <w:r w:rsidR="00496117">
        <w:t>.</w:t>
      </w:r>
    </w:p>
    <w:p w14:paraId="2C8B3FC9" w14:textId="6F6D37DC" w:rsidR="009C65BA" w:rsidRPr="009C65BA" w:rsidRDefault="009C65BA" w:rsidP="009C65BA">
      <w:pPr>
        <w:pStyle w:val="EX"/>
      </w:pPr>
      <w:bookmarkStart w:id="25" w:name="_Ref53733618"/>
      <w:r w:rsidRPr="009C65BA">
        <w:t>[</w:t>
      </w:r>
      <w:r>
        <w:t>7]</w:t>
      </w:r>
      <w:r>
        <w:tab/>
      </w:r>
      <w:r w:rsidR="00496117">
        <w:t>"</w:t>
      </w:r>
      <w:r w:rsidRPr="009C65BA">
        <w:t>Indoor Location Accuracy Benchmarks</w:t>
      </w:r>
      <w:r w:rsidR="00496117">
        <w:t>"</w:t>
      </w:r>
      <w:r w:rsidRPr="009C65BA">
        <w:t xml:space="preserve">, retrieved from </w:t>
      </w:r>
      <w:hyperlink r:id="rId13" w:history="1">
        <w:r w:rsidRPr="009C65BA">
          <w:t>https://www.fcc.gov/public-safety-and-homeland-security/policy-and-licensing-division/911-services/general/location-accuracy-indoor-benchmarks on 20.10.2020</w:t>
        </w:r>
      </w:hyperlink>
      <w:r w:rsidRPr="009C65BA">
        <w:t>.</w:t>
      </w:r>
      <w:bookmarkEnd w:id="25"/>
    </w:p>
    <w:p w14:paraId="751ACE98" w14:textId="7F9D1307" w:rsidR="009C65BA" w:rsidRPr="009C65BA" w:rsidRDefault="009C65BA" w:rsidP="009C65BA">
      <w:pPr>
        <w:pStyle w:val="EX"/>
      </w:pPr>
      <w:r w:rsidRPr="009C65BA">
        <w:t>[</w:t>
      </w:r>
      <w:r>
        <w:t>8]</w:t>
      </w:r>
      <w:r>
        <w:tab/>
      </w:r>
      <w:r w:rsidRPr="009C65BA">
        <w:t xml:space="preserve">3GPP S3i210282 </w:t>
      </w:r>
      <w:r w:rsidR="00496117">
        <w:t>"</w:t>
      </w:r>
      <w:r w:rsidRPr="009C65BA">
        <w:t>Reply LS on UE location aspects in NTN</w:t>
      </w:r>
      <w:r w:rsidR="00496117">
        <w:t>"</w:t>
      </w:r>
      <w:r w:rsidRPr="009C65BA">
        <w:t xml:space="preserve"> (contact = Tencastle)</w:t>
      </w:r>
    </w:p>
    <w:p w14:paraId="20748F7D" w14:textId="563CAEA1" w:rsidR="009C65BA" w:rsidRPr="009C65BA" w:rsidRDefault="009C65BA" w:rsidP="009C65BA">
      <w:pPr>
        <w:pStyle w:val="EX"/>
      </w:pPr>
      <w:r w:rsidRPr="009C65BA">
        <w:t>[</w:t>
      </w:r>
      <w:r>
        <w:t>9]</w:t>
      </w:r>
      <w:r>
        <w:tab/>
      </w:r>
      <w:r w:rsidRPr="009C65BA">
        <w:t>R2-2101150 Summary of [Post112-e][115][NTN] the Email Discussion on LCS for NTN, Fraunhofer IIS, Fraunhofer HHI</w:t>
      </w:r>
      <w:r w:rsidR="00496117">
        <w:t>.</w:t>
      </w:r>
    </w:p>
    <w:p w14:paraId="32B16209" w14:textId="7BE7A7BD" w:rsidR="009C65BA" w:rsidRPr="009C65BA" w:rsidRDefault="009C65BA" w:rsidP="009C65BA">
      <w:pPr>
        <w:pStyle w:val="EX"/>
      </w:pPr>
      <w:r w:rsidRPr="009C65BA">
        <w:t>[</w:t>
      </w:r>
      <w:r>
        <w:t>10]</w:t>
      </w:r>
      <w:r>
        <w:tab/>
      </w:r>
      <w:r w:rsidRPr="009C65BA">
        <w:t xml:space="preserve">ETSI TS 103 625: </w:t>
      </w:r>
      <w:r w:rsidR="00496117">
        <w:t>"</w:t>
      </w:r>
      <w:r w:rsidRPr="009C65BA">
        <w:t>Transporting Handset Location to PSAPs for Emergency Calls - Advanced Mobile Location</w:t>
      </w:r>
      <w:r w:rsidR="00496117">
        <w:t>"</w:t>
      </w:r>
      <w:r w:rsidRPr="009C65BA">
        <w:t>.</w:t>
      </w:r>
    </w:p>
    <w:p w14:paraId="5A0AD2E0" w14:textId="407A48EF" w:rsidR="009C65BA" w:rsidRPr="009C65BA" w:rsidRDefault="009C65BA" w:rsidP="009C65BA">
      <w:pPr>
        <w:pStyle w:val="EX"/>
      </w:pPr>
      <w:r w:rsidRPr="009C65BA">
        <w:t>[</w:t>
      </w:r>
      <w:r>
        <w:t>11]</w:t>
      </w:r>
      <w:r>
        <w:tab/>
      </w:r>
      <w:r w:rsidRPr="009C65BA">
        <w:t>Directive (EU) 2018/1972 of the European Parliament and of the Council of 11 December 2018 establishing the European Electronic Communications Code (Recast) (See Official Journal of the European Union, Volume 61, 17th December 2018), https://eur-lex.europa.eu/legal-content/EN/TXT/?qid=1568104145936&amp;uri=CELEX:32018L1972</w:t>
      </w:r>
      <w:r w:rsidR="00496117">
        <w:t>.</w:t>
      </w:r>
    </w:p>
    <w:p w14:paraId="6C48D2E2" w14:textId="0355FAC0" w:rsidR="009C65BA" w:rsidRPr="009C65BA" w:rsidRDefault="009C65BA" w:rsidP="009C65BA">
      <w:pPr>
        <w:pStyle w:val="EX"/>
      </w:pPr>
      <w:r w:rsidRPr="009C65BA">
        <w:t>[</w:t>
      </w:r>
      <w:hyperlink r:id="rId14" w:tgtFrame="_blank" w:tooltip="Open EU website" w:history="1">
        <w:r>
          <w:t>12]</w:t>
        </w:r>
        <w:r>
          <w:tab/>
        </w:r>
        <w:r w:rsidRPr="009C65BA">
          <w:t>Official Journal C 329, 04/11/1996</w:t>
        </w:r>
      </w:hyperlink>
      <w:r w:rsidRPr="009C65BA">
        <w:t> p. 0001 - 0006 Council Resolution of 17 January 1995 on the lawful interception of telecommunications.</w:t>
      </w:r>
    </w:p>
    <w:p w14:paraId="40CF1D71" w14:textId="01885980" w:rsidR="009C65BA" w:rsidRPr="009C65BA" w:rsidRDefault="009C65BA" w:rsidP="009C65BA">
      <w:pPr>
        <w:pStyle w:val="EX"/>
      </w:pPr>
      <w:r w:rsidRPr="009C65BA">
        <w:t>[</w:t>
      </w:r>
      <w:hyperlink r:id="rId15" w:tgtFrame="_blank" w:tooltip="Open EU website" w:history="1">
        <w:r>
          <w:t>13]</w:t>
        </w:r>
        <w:r>
          <w:tab/>
        </w:r>
        <w:r w:rsidRPr="009C65BA">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hyperlink>
      <w:r w:rsidRPr="009C65BA">
        <w:t xml:space="preserve"> .</w:t>
      </w:r>
    </w:p>
    <w:p w14:paraId="5A64F040" w14:textId="702CD37F" w:rsidR="009C65BA" w:rsidRPr="004D3578" w:rsidRDefault="009C65BA" w:rsidP="009C65BA">
      <w:pPr>
        <w:pStyle w:val="EX"/>
      </w:pPr>
      <w:r w:rsidRPr="009C65BA">
        <w:t>[</w:t>
      </w:r>
      <w:r>
        <w:t>14]</w:t>
      </w:r>
      <w:r>
        <w:tab/>
      </w:r>
      <w:r w:rsidRPr="009C65BA">
        <w:t xml:space="preserve">3GPP </w:t>
      </w:r>
      <w:r w:rsidR="00496117">
        <w:t>"</w:t>
      </w:r>
      <w:r w:rsidRPr="009C65BA">
        <w:t>SID on Study on expanded and improved NR positioning</w:t>
      </w:r>
      <w:r w:rsidR="00496117">
        <w:t>"</w:t>
      </w:r>
      <w:r w:rsidRPr="009C65BA">
        <w:t>, RP-213588</w:t>
      </w:r>
    </w:p>
    <w:p w14:paraId="29094E8A" w14:textId="7328D9EB" w:rsidR="00EC4A25" w:rsidRDefault="00496117" w:rsidP="00EC4A25">
      <w:pPr>
        <w:pStyle w:val="EX"/>
      </w:pPr>
      <w:r>
        <w:t>[15]</w:t>
      </w:r>
      <w:r>
        <w:tab/>
        <w:t>3GPP TS 38.300 "NR; NR and NG-RAN Overall description; Stage-2"</w:t>
      </w:r>
      <w:r w:rsidR="00261550">
        <w:t>.</w:t>
      </w:r>
    </w:p>
    <w:p w14:paraId="013CF247" w14:textId="4D45E25B" w:rsidR="00261550" w:rsidRPr="004D3578" w:rsidRDefault="00261550" w:rsidP="00EC4A25">
      <w:pPr>
        <w:pStyle w:val="EX"/>
      </w:pPr>
      <w:r>
        <w:lastRenderedPageBreak/>
        <w:t>[16]</w:t>
      </w:r>
      <w:r>
        <w:tab/>
      </w:r>
      <w:r w:rsidRPr="00261550">
        <w:t>3GPP TS 22.261</w:t>
      </w:r>
      <w:r>
        <w:t xml:space="preserve"> "</w:t>
      </w:r>
      <w:r w:rsidRPr="00261550">
        <w:t>Service requirements for the 5G system</w:t>
      </w:r>
      <w:r>
        <w:t>".</w:t>
      </w:r>
    </w:p>
    <w:p w14:paraId="24ACB616" w14:textId="77777777" w:rsidR="00080512" w:rsidRPr="004D3578" w:rsidRDefault="00080512" w:rsidP="00C70192">
      <w:pPr>
        <w:pStyle w:val="Heading1"/>
      </w:pPr>
      <w:bookmarkStart w:id="26" w:name="definitions"/>
      <w:bookmarkStart w:id="27" w:name="_Toc105678665"/>
      <w:bookmarkEnd w:id="26"/>
      <w:r w:rsidRPr="004D3578">
        <w:t>3</w:t>
      </w:r>
      <w:r w:rsidRPr="004D3578">
        <w:tab/>
        <w:t>Definitions</w:t>
      </w:r>
      <w:r w:rsidR="00602AEA">
        <w:t xml:space="preserve"> of terms, symbols and abbreviations</w:t>
      </w:r>
      <w:bookmarkEnd w:id="27"/>
    </w:p>
    <w:p w14:paraId="6CBABCF9" w14:textId="77777777" w:rsidR="00080512" w:rsidRPr="004D3578" w:rsidRDefault="00080512">
      <w:pPr>
        <w:pStyle w:val="Heading2"/>
      </w:pPr>
      <w:bookmarkStart w:id="28" w:name="_Toc105678666"/>
      <w:r w:rsidRPr="004D3578">
        <w:t>3.1</w:t>
      </w:r>
      <w:r w:rsidRPr="004D3578">
        <w:tab/>
      </w:r>
      <w:r w:rsidR="002B6339">
        <w:t>Terms</w:t>
      </w:r>
      <w:bookmarkEnd w:id="28"/>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9" w:name="_Toc105678667"/>
      <w:r w:rsidRPr="004D3578">
        <w:t>3.2</w:t>
      </w:r>
      <w:r w:rsidRPr="004D3578">
        <w:tab/>
        <w:t>Symbols</w:t>
      </w:r>
      <w:bookmarkEnd w:id="29"/>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30" w:name="_Toc105678668"/>
      <w:r w:rsidRPr="004D3578">
        <w:t>3.3</w:t>
      </w:r>
      <w:r w:rsidRPr="004D3578">
        <w:tab/>
        <w:t>Abbreviations</w:t>
      </w:r>
      <w:bookmarkEnd w:id="30"/>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13E50176" w14:textId="7A31C079" w:rsidR="00CA742F" w:rsidRDefault="00CA742F">
      <w:pPr>
        <w:pStyle w:val="EW"/>
      </w:pPr>
      <w:r>
        <w:t>EMS</w:t>
      </w:r>
      <w:r>
        <w:tab/>
        <w:t>Emergency Services</w:t>
      </w:r>
    </w:p>
    <w:p w14:paraId="0F0E7ACE" w14:textId="46170859" w:rsidR="00CA742F" w:rsidRDefault="00CA742F">
      <w:pPr>
        <w:pStyle w:val="EW"/>
      </w:pPr>
      <w:r>
        <w:t>GNSS</w:t>
      </w:r>
      <w:r>
        <w:tab/>
        <w:t>Global Navigation Satellite Systems</w:t>
      </w:r>
    </w:p>
    <w:p w14:paraId="184558B1" w14:textId="75831B8D" w:rsidR="00CA742F" w:rsidRDefault="00CA742F">
      <w:pPr>
        <w:pStyle w:val="EW"/>
      </w:pPr>
      <w:r>
        <w:t>GSO</w:t>
      </w:r>
      <w:r>
        <w:tab/>
        <w:t>Geo Synchronous Orbit</w:t>
      </w:r>
    </w:p>
    <w:p w14:paraId="00CA66A0" w14:textId="6B944A3F" w:rsidR="00CA742F" w:rsidRPr="00CA742F" w:rsidRDefault="00CA742F">
      <w:pPr>
        <w:pStyle w:val="EW"/>
        <w:rPr>
          <w:lang w:val="en-US"/>
        </w:rPr>
      </w:pPr>
      <w:r w:rsidRPr="00CA742F">
        <w:rPr>
          <w:lang w:val="en-US"/>
        </w:rPr>
        <w:t>HAPS</w:t>
      </w:r>
      <w:r w:rsidRPr="00CA742F">
        <w:rPr>
          <w:lang w:val="en-US"/>
        </w:rPr>
        <w:tab/>
        <w:t>H</w:t>
      </w:r>
      <w:r>
        <w:rPr>
          <w:lang w:val="en-US"/>
        </w:rPr>
        <w:t>igh Altitude Platform System</w:t>
      </w:r>
    </w:p>
    <w:p w14:paraId="69779C45" w14:textId="6D63FE3D" w:rsidR="00CA742F" w:rsidRPr="00CA742F" w:rsidRDefault="00CA742F">
      <w:pPr>
        <w:pStyle w:val="EW"/>
      </w:pPr>
      <w:r w:rsidRPr="00CA742F">
        <w:t>LI</w:t>
      </w:r>
      <w:r w:rsidRPr="00CA742F">
        <w:tab/>
        <w:t>Lawful Intercept</w:t>
      </w:r>
    </w:p>
    <w:p w14:paraId="6B7E7801" w14:textId="73EADF14" w:rsidR="00776783" w:rsidRDefault="00776783" w:rsidP="00CA742F">
      <w:pPr>
        <w:pStyle w:val="EW"/>
      </w:pPr>
      <w:r>
        <w:t>NAS</w:t>
      </w:r>
      <w:r>
        <w:tab/>
        <w:t>Non Access Stratum</w:t>
      </w:r>
    </w:p>
    <w:p w14:paraId="348A912D" w14:textId="187BC273" w:rsidR="00CA742F" w:rsidRDefault="00CA742F" w:rsidP="00CA742F">
      <w:pPr>
        <w:pStyle w:val="EW"/>
      </w:pPr>
      <w:r>
        <w:t>NGSO</w:t>
      </w:r>
      <w:r>
        <w:tab/>
        <w:t>Non Geo Synchronous Orbit</w:t>
      </w:r>
    </w:p>
    <w:p w14:paraId="10CB336A" w14:textId="3AB36159" w:rsidR="00776783" w:rsidRDefault="00776783">
      <w:pPr>
        <w:pStyle w:val="EW"/>
      </w:pPr>
      <w:r>
        <w:t>NNSF</w:t>
      </w:r>
      <w:r>
        <w:tab/>
        <w:t>NAS Node Selection Function</w:t>
      </w:r>
    </w:p>
    <w:p w14:paraId="40C8DACA" w14:textId="3A3C6D64" w:rsidR="00CA742F" w:rsidRPr="00CA742F" w:rsidRDefault="00CA742F">
      <w:pPr>
        <w:pStyle w:val="EW"/>
      </w:pPr>
      <w:r w:rsidRPr="00CA742F">
        <w:t>NTN</w:t>
      </w:r>
      <w:r w:rsidRPr="00CA742F">
        <w:tab/>
        <w:t>Non-Terrestrial Network</w:t>
      </w:r>
    </w:p>
    <w:p w14:paraId="36A0CC56" w14:textId="3BF9C060" w:rsidR="00CA742F" w:rsidRDefault="00CA742F">
      <w:pPr>
        <w:pStyle w:val="EW"/>
      </w:pPr>
      <w:r>
        <w:t>PLMN</w:t>
      </w:r>
      <w:r>
        <w:tab/>
        <w:t>Public Land Mobile Network</w:t>
      </w:r>
    </w:p>
    <w:p w14:paraId="1EA365ED" w14:textId="5FF2AD5E" w:rsidR="00080512" w:rsidRDefault="00CA742F">
      <w:pPr>
        <w:pStyle w:val="EW"/>
      </w:pPr>
      <w:r>
        <w:t>PWS</w:t>
      </w:r>
      <w:r>
        <w:tab/>
        <w:t>Public War</w:t>
      </w:r>
      <w:r w:rsidR="00D67933">
        <w:t>n</w:t>
      </w:r>
      <w:r>
        <w:t>ing System</w:t>
      </w:r>
    </w:p>
    <w:p w14:paraId="4B017BA4" w14:textId="06733B2E" w:rsidR="00CA742F" w:rsidRDefault="00CA742F">
      <w:pPr>
        <w:pStyle w:val="EW"/>
      </w:pPr>
      <w:r>
        <w:t>RAT</w:t>
      </w:r>
      <w:r>
        <w:tab/>
        <w:t>Radio Access Technology</w:t>
      </w:r>
    </w:p>
    <w:p w14:paraId="0E3B6A1D" w14:textId="01D60D99" w:rsidR="00CA742F" w:rsidRDefault="00CA742F">
      <w:pPr>
        <w:pStyle w:val="EW"/>
      </w:pPr>
      <w:r>
        <w:t>SMS</w:t>
      </w:r>
      <w:r>
        <w:tab/>
        <w:t>Short Message Service</w:t>
      </w:r>
    </w:p>
    <w:p w14:paraId="6E358CC4" w14:textId="6A062059" w:rsidR="00CA742F" w:rsidRDefault="00CA742F">
      <w:pPr>
        <w:pStyle w:val="EW"/>
      </w:pPr>
      <w:r>
        <w:t>TN</w:t>
      </w:r>
      <w:r>
        <w:tab/>
        <w:t>Terrestrial network</w:t>
      </w:r>
    </w:p>
    <w:p w14:paraId="3F0F57F9" w14:textId="001F045B" w:rsidR="00CA742F" w:rsidRDefault="00CA742F">
      <w:pPr>
        <w:pStyle w:val="EW"/>
      </w:pPr>
      <w:r>
        <w:t>UE</w:t>
      </w:r>
      <w:r>
        <w:tab/>
        <w:t>User Equipment</w:t>
      </w:r>
    </w:p>
    <w:p w14:paraId="6CDD88F4" w14:textId="040F922B" w:rsidR="009C65BA" w:rsidRDefault="009C65BA">
      <w:pPr>
        <w:pStyle w:val="EW"/>
      </w:pPr>
    </w:p>
    <w:p w14:paraId="45583345" w14:textId="77777777" w:rsidR="009C65BA" w:rsidRPr="004D3578" w:rsidRDefault="009C65BA" w:rsidP="009C65BA">
      <w:pPr>
        <w:pStyle w:val="Heading1"/>
      </w:pPr>
      <w:bookmarkStart w:id="31" w:name="_Toc105678669"/>
      <w:r w:rsidRPr="004D3578">
        <w:t>4</w:t>
      </w:r>
      <w:r w:rsidRPr="004D3578">
        <w:tab/>
      </w:r>
      <w:r>
        <w:t>Use cases</w:t>
      </w:r>
      <w:bookmarkEnd w:id="31"/>
    </w:p>
    <w:p w14:paraId="6BFE7AF4" w14:textId="10396F89" w:rsidR="00290167" w:rsidRDefault="00290167" w:rsidP="002C67FD">
      <w:pPr>
        <w:pStyle w:val="Heading2"/>
      </w:pPr>
      <w:bookmarkStart w:id="32" w:name="_Toc105678670"/>
      <w:r>
        <w:t>4</w:t>
      </w:r>
      <w:r w:rsidR="002C67FD">
        <w:t>.1</w:t>
      </w:r>
      <w:r w:rsidR="002C67FD">
        <w:tab/>
      </w:r>
      <w:r>
        <w:t>Background from Rel-17 Discussions</w:t>
      </w:r>
      <w:bookmarkEnd w:id="32"/>
    </w:p>
    <w:p w14:paraId="1CBFDE93" w14:textId="436FA381" w:rsidR="00290167" w:rsidRDefault="00290167" w:rsidP="00290167">
      <w:r>
        <w:t>When a UE attaches to the mobile network, the RAN selects the appropriate core network for the UE taking into account, among other things (</w:t>
      </w:r>
      <w:r w:rsidR="00DF3BA8">
        <w:t>TS</w:t>
      </w:r>
      <w:r>
        <w:t xml:space="preserve"> 38.300 [</w:t>
      </w:r>
      <w:r w:rsidR="00261550">
        <w:t>15</w:t>
      </w:r>
      <w:r>
        <w:t>]):</w:t>
      </w:r>
    </w:p>
    <w:p w14:paraId="07CA71AA" w14:textId="4DD4A4D5" w:rsidR="00290167" w:rsidRDefault="00496117" w:rsidP="00496117">
      <w:pPr>
        <w:pStyle w:val="B1"/>
      </w:pPr>
      <w:r>
        <w:t>-</w:t>
      </w:r>
      <w:r>
        <w:tab/>
      </w:r>
      <w:r w:rsidR="00290167">
        <w:t>UE identifiers;</w:t>
      </w:r>
    </w:p>
    <w:p w14:paraId="7C774C70" w14:textId="24883787" w:rsidR="00290167" w:rsidRDefault="00496117" w:rsidP="00496117">
      <w:pPr>
        <w:pStyle w:val="B1"/>
      </w:pPr>
      <w:r>
        <w:t>-</w:t>
      </w:r>
      <w:r>
        <w:tab/>
      </w:r>
      <w:r w:rsidR="00290167">
        <w:t>UE</w:t>
      </w:r>
      <w:r w:rsidR="00DF3BA8">
        <w:t>'</w:t>
      </w:r>
      <w:r w:rsidR="00290167">
        <w:t>s selected PLMN;</w:t>
      </w:r>
    </w:p>
    <w:p w14:paraId="07BC620C" w14:textId="32E68FD4" w:rsidR="00290167" w:rsidRDefault="00496117" w:rsidP="00496117">
      <w:pPr>
        <w:pStyle w:val="B1"/>
      </w:pPr>
      <w:r>
        <w:t>-</w:t>
      </w:r>
      <w:r>
        <w:tab/>
      </w:r>
      <w:r w:rsidR="00290167">
        <w:t>UE location information (including the serving cell as known to the serving RAN node).</w:t>
      </w:r>
    </w:p>
    <w:p w14:paraId="610A157D" w14:textId="77777777" w:rsidR="00290167" w:rsidRDefault="00290167" w:rsidP="00290167">
      <w:r>
        <w:t xml:space="preserve">With NTN it is possible to deploy very large cells over large portions of a continent (possibly covering different countries), with the different core networks for the various countries connected to the same NTN RAN (MOCN network sharing scenario). In such a scenario, it may not always be possible to correctly determine the appropriate core </w:t>
      </w:r>
      <w:r>
        <w:lastRenderedPageBreak/>
        <w:t>network for a connecting UE, especially close to country borders, because the serving cell information may not be granular enough.</w:t>
      </w:r>
    </w:p>
    <w:p w14:paraId="5AE73FEA" w14:textId="62BBF038" w:rsidR="00290167" w:rsidRDefault="00290167" w:rsidP="00290167">
      <w:r>
        <w:t xml:space="preserve">Furthermore, a malicious UE might </w:t>
      </w:r>
      <w:r w:rsidR="00261550">
        <w:t>"</w:t>
      </w:r>
      <w:r>
        <w:t>fake</w:t>
      </w:r>
      <w:r w:rsidR="00261550">
        <w:t>"</w:t>
      </w:r>
      <w:r>
        <w:t xml:space="preserve"> its selected PLMN in order to attempt connecting to a different core network.</w:t>
      </w:r>
      <w:r w:rsidRPr="00A420C8">
        <w:t xml:space="preserve"> </w:t>
      </w:r>
      <w:r>
        <w:t>Upon such</w:t>
      </w:r>
      <w:r w:rsidRPr="00A420C8">
        <w:t xml:space="preserve"> </w:t>
      </w:r>
      <w:r>
        <w:t xml:space="preserve">an </w:t>
      </w:r>
      <w:r w:rsidRPr="00A420C8">
        <w:t xml:space="preserve">attempt the AMF </w:t>
      </w:r>
      <w:r>
        <w:t>will</w:t>
      </w:r>
      <w:r w:rsidRPr="00A420C8">
        <w:t xml:space="preserve"> </w:t>
      </w:r>
      <w:r>
        <w:t xml:space="preserve">disconnect the UE and </w:t>
      </w:r>
      <w:r w:rsidRPr="00A420C8">
        <w:t xml:space="preserve">inform the RAN node via an appropriate NGAP cause value, </w:t>
      </w:r>
      <w:r>
        <w:t>so the RAN can</w:t>
      </w:r>
      <w:r w:rsidRPr="00A420C8">
        <w:t xml:space="preserve"> take appropriate action on subsequent attempts by the same UE</w:t>
      </w:r>
      <w:r>
        <w:t>.</w:t>
      </w:r>
    </w:p>
    <w:p w14:paraId="748BD63C" w14:textId="77777777" w:rsidR="00290167" w:rsidRDefault="00290167" w:rsidP="00290167">
      <w:r>
        <w:t>The UE may send GNSS measurements to the RAN over RRC, but this has at least the following drawbacks:</w:t>
      </w:r>
    </w:p>
    <w:p w14:paraId="33A6C105" w14:textId="099BD10E" w:rsidR="00290167" w:rsidRDefault="00261550" w:rsidP="00261550">
      <w:pPr>
        <w:pStyle w:val="B1"/>
      </w:pPr>
      <w:r>
        <w:t>-</w:t>
      </w:r>
      <w:r>
        <w:tab/>
      </w:r>
      <w:r w:rsidR="00290167">
        <w:t>In principle, just as a malicious UE could fake its selected PLMN, it could also fake its GNSS measurements;</w:t>
      </w:r>
    </w:p>
    <w:p w14:paraId="1F47B529" w14:textId="64AAFC81" w:rsidR="00290167" w:rsidRDefault="00261550" w:rsidP="00261550">
      <w:pPr>
        <w:pStyle w:val="B1"/>
      </w:pPr>
      <w:r>
        <w:t>-</w:t>
      </w:r>
      <w:r>
        <w:tab/>
      </w:r>
      <w:r w:rsidR="00290167">
        <w:t>Sending GNSS measurements over RRC before AS security is set up raises security and privacy issues.</w:t>
      </w:r>
    </w:p>
    <w:p w14:paraId="1CFD9F4B" w14:textId="5B0A1054" w:rsidR="00290167" w:rsidRDefault="00290167" w:rsidP="00290167">
      <w:r>
        <w:t xml:space="preserve">Because of the above, </w:t>
      </w:r>
      <w:r w:rsidR="007F5C5D">
        <w:t xml:space="preserve">relying only on </w:t>
      </w:r>
      <w:r>
        <w:t>signa</w:t>
      </w:r>
      <w:r w:rsidR="001E78AA">
        <w:t>l</w:t>
      </w:r>
      <w:r>
        <w:t>ling GNSS measurements over RRC is not considered a viable solution to this issue.</w:t>
      </w:r>
    </w:p>
    <w:p w14:paraId="132F0BA1" w14:textId="2A0404FB" w:rsidR="00747699" w:rsidRPr="001E78AA" w:rsidRDefault="00747699" w:rsidP="001E78AA">
      <w:r w:rsidRPr="001E78AA">
        <w:t>As recommended in SA3 LS to RAN2 (R2-2204458) the location information is sent after NAS security is established. Even after NAS security establishment, user consent for obtaining UE location information may also be required depending on regional regulation and policy.</w:t>
      </w:r>
    </w:p>
    <w:p w14:paraId="48D4B8F7" w14:textId="4A7DECF1" w:rsidR="00290167" w:rsidRDefault="00290167" w:rsidP="00290167">
      <w:r>
        <w:t>The RAN can also request radio measurements (intra-RAT neighbo</w:t>
      </w:r>
      <w:r w:rsidR="001E78AA">
        <w:t>u</w:t>
      </w:r>
      <w:r>
        <w:t>rs, inter-RAT neighbo</w:t>
      </w:r>
      <w:r w:rsidR="001E78AA">
        <w:t>u</w:t>
      </w:r>
      <w:r>
        <w:t>rs, WLAN, etc.) from the UE; these may be used to drive NNSF and to learn from the environment.</w:t>
      </w:r>
    </w:p>
    <w:p w14:paraId="23C8C8D4" w14:textId="77777777" w:rsidR="00290167" w:rsidRDefault="00290167" w:rsidP="00290167">
      <w:r>
        <w:t>Some further observations:</w:t>
      </w:r>
    </w:p>
    <w:p w14:paraId="68CD3279" w14:textId="1CE51F3F" w:rsidR="00290167" w:rsidRDefault="00261550" w:rsidP="00261550">
      <w:pPr>
        <w:pStyle w:val="B1"/>
      </w:pPr>
      <w:r>
        <w:t>a)</w:t>
      </w:r>
      <w:r>
        <w:tab/>
      </w:r>
      <w:r w:rsidR="00290167">
        <w:t>At least some of the information the UE supplies to the network will have to be considered as trusted, to avoid extreme conclusions (</w:t>
      </w:r>
      <w:r w:rsidR="00194255">
        <w:t xml:space="preserve">at least </w:t>
      </w:r>
      <w:r w:rsidR="00290167">
        <w:t xml:space="preserve">RRC measurements cannot be faked); </w:t>
      </w:r>
    </w:p>
    <w:p w14:paraId="23163469" w14:textId="46C83329" w:rsidR="00290167" w:rsidRDefault="00261550" w:rsidP="00261550">
      <w:pPr>
        <w:pStyle w:val="B1"/>
      </w:pPr>
      <w:r>
        <w:t>b)</w:t>
      </w:r>
      <w:r>
        <w:tab/>
      </w:r>
      <w:r w:rsidR="00290167">
        <w:t>Core networks connecting to the same shared RAN will always require some degree of common coordination / configuration: this is typically the case for network sharing (especially MOCN). For NTN, this may include e.g. specific timer settings/behavio</w:t>
      </w:r>
      <w:r w:rsidR="001E78AA">
        <w:t>u</w:t>
      </w:r>
      <w:r w:rsidR="00290167">
        <w:t>r for UE connection attempts;</w:t>
      </w:r>
    </w:p>
    <w:p w14:paraId="25E55B91" w14:textId="21B38C50" w:rsidR="00290167" w:rsidRDefault="00261550" w:rsidP="00261550">
      <w:pPr>
        <w:pStyle w:val="B1"/>
      </w:pPr>
      <w:r>
        <w:t>c)</w:t>
      </w:r>
      <w:r>
        <w:tab/>
      </w:r>
      <w:r w:rsidR="00290167">
        <w:t>Due to mere traffic load considerations, it may not be desirable to cover whole portions of a continent, including multiple countries, with a single cell. Therefore, in real deployments the served cell information may typically be more granular than in the extreme case envisaged so far.</w:t>
      </w:r>
    </w:p>
    <w:p w14:paraId="6AF67EB9" w14:textId="77777777" w:rsidR="00290167" w:rsidRPr="001A459F" w:rsidRDefault="00290167" w:rsidP="00290167">
      <w:r>
        <w:t>The above has been deemed sufficient to mitigate the issue in Rel-17.</w:t>
      </w:r>
    </w:p>
    <w:p w14:paraId="686D051C" w14:textId="056411FC" w:rsidR="00CE0839" w:rsidRDefault="0069366B" w:rsidP="002C67FD">
      <w:pPr>
        <w:pStyle w:val="Heading2"/>
      </w:pPr>
      <w:bookmarkStart w:id="33" w:name="_Toc105678671"/>
      <w:r>
        <w:t>4</w:t>
      </w:r>
      <w:r w:rsidR="002C67FD">
        <w:t>.2</w:t>
      </w:r>
      <w:r w:rsidR="002C67FD">
        <w:tab/>
      </w:r>
      <w:r w:rsidR="00CE0839">
        <w:t>NTN vs. Terrestrial Regulatory Requirements</w:t>
      </w:r>
      <w:bookmarkEnd w:id="33"/>
    </w:p>
    <w:p w14:paraId="3969E2A2" w14:textId="38F50D31" w:rsidR="00CE0839" w:rsidRDefault="00CE0839" w:rsidP="00CE0839">
      <w:r w:rsidRPr="00672329">
        <w:t>A 5G system with satellite access shall be able to determine a UE's location in order to provide service (e.g. route traffic, support emergency calls) in accordance with the governing national or regional regulatory requirements applicable to that UE.</w:t>
      </w:r>
      <w:r>
        <w:t xml:space="preserve"> (Sec. 6.3.2.3 of </w:t>
      </w:r>
      <w:r w:rsidR="00DF3BA8">
        <w:t>TS</w:t>
      </w:r>
      <w:r>
        <w:t xml:space="preserve"> 22.261 [</w:t>
      </w:r>
      <w:r w:rsidR="00261550">
        <w:t>16</w:t>
      </w:r>
      <w:r>
        <w:t>])</w:t>
      </w:r>
      <w:r w:rsidR="00261550">
        <w:t>.</w:t>
      </w:r>
    </w:p>
    <w:p w14:paraId="2E282410" w14:textId="7331D3D9" w:rsidR="00CE0839" w:rsidRDefault="00CE0839" w:rsidP="00CE0839">
      <w:r>
        <w:t xml:space="preserve">Because of this, even when providing services over entire continents with NTN, there is no </w:t>
      </w:r>
      <w:r w:rsidR="00DF3BA8">
        <w:t>"</w:t>
      </w:r>
      <w:r>
        <w:t>globally harmonized</w:t>
      </w:r>
      <w:r w:rsidR="00DF3BA8">
        <w:t>"</w:t>
      </w:r>
      <w:r>
        <w:t xml:space="preserve"> set of requirements that overrules local ones. This is also valid for UE location information. In this respect, there is no difference between NTN and terrestrial networks.</w:t>
      </w:r>
    </w:p>
    <w:p w14:paraId="54FC5107" w14:textId="10223327" w:rsidR="00CE0839" w:rsidRDefault="00CE0839" w:rsidP="00CE0839">
      <w:r>
        <w:t xml:space="preserve">Because of the above, for NTN the same required granularity for UE location information </w:t>
      </w:r>
      <w:r w:rsidR="005C34C7" w:rsidRPr="005C34C7">
        <w:t>estimated via GNSS</w:t>
      </w:r>
      <w:r w:rsidR="005C34C7">
        <w:t xml:space="preserve"> </w:t>
      </w:r>
      <w:r>
        <w:t>should be considered as for terrestrial networks.</w:t>
      </w:r>
    </w:p>
    <w:p w14:paraId="2C92E9BA" w14:textId="59BB0CA2" w:rsidR="00290167" w:rsidRDefault="00290167" w:rsidP="002C67FD">
      <w:pPr>
        <w:pStyle w:val="Heading2"/>
      </w:pPr>
      <w:bookmarkStart w:id="34" w:name="_Toc105678672"/>
      <w:r>
        <w:t>4.</w:t>
      </w:r>
      <w:r w:rsidR="0069366B">
        <w:t>3</w:t>
      </w:r>
      <w:r w:rsidR="002C67FD">
        <w:tab/>
      </w:r>
      <w:r w:rsidR="008616E9">
        <w:t xml:space="preserve">Regulatory </w:t>
      </w:r>
      <w:r w:rsidR="00613239">
        <w:t>s</w:t>
      </w:r>
      <w:r>
        <w:t>upport of services</w:t>
      </w:r>
      <w:r w:rsidR="00CE0839">
        <w:t xml:space="preserve"> in NTN</w:t>
      </w:r>
      <w:bookmarkEnd w:id="34"/>
    </w:p>
    <w:p w14:paraId="0121BFEC" w14:textId="397EF60D" w:rsidR="009C65BA" w:rsidRPr="009C65BA" w:rsidRDefault="00901FED" w:rsidP="009C65BA">
      <w:pPr>
        <w:jc w:val="both"/>
        <w:rPr>
          <w:color w:val="000000" w:themeColor="text1"/>
          <w:lang w:eastAsia="fr-FR"/>
        </w:rPr>
      </w:pPr>
      <w:r>
        <w:rPr>
          <w:color w:val="000000" w:themeColor="text1"/>
          <w:lang w:eastAsia="fr-FR"/>
        </w:rPr>
        <w:t>Network</w:t>
      </w:r>
      <w:r w:rsidRPr="00901FED">
        <w:rPr>
          <w:color w:val="000000" w:themeColor="text1"/>
          <w:lang w:eastAsia="fr-FR"/>
        </w:rPr>
        <w:t xml:space="preserve"> operators of </w:t>
      </w:r>
      <w:r w:rsidR="009C65BA" w:rsidRPr="00901FED">
        <w:rPr>
          <w:color w:val="000000" w:themeColor="text1"/>
          <w:lang w:eastAsia="fr-FR"/>
        </w:rPr>
        <w:t>3GPP defined non-terrestrial network</w:t>
      </w:r>
      <w:r w:rsidRPr="00901FED">
        <w:rPr>
          <w:color w:val="000000" w:themeColor="text1"/>
          <w:lang w:eastAsia="fr-FR"/>
        </w:rPr>
        <w:t>,</w:t>
      </w:r>
      <w:r w:rsidR="009C65BA" w:rsidRPr="00901FED">
        <w:rPr>
          <w:color w:val="000000" w:themeColor="text1"/>
          <w:lang w:eastAsia="fr-FR"/>
        </w:rPr>
        <w:t xml:space="preserve"> </w:t>
      </w:r>
      <w:r w:rsidRPr="00901FED">
        <w:rPr>
          <w:color w:val="000000" w:themeColor="text1"/>
          <w:lang w:eastAsia="fr-FR"/>
        </w:rPr>
        <w:t xml:space="preserve">have to know reliably </w:t>
      </w:r>
      <w:r w:rsidRPr="00400D04">
        <w:rPr>
          <w:color w:val="000000" w:themeColor="text1"/>
          <w:lang w:eastAsia="fr-FR"/>
        </w:rPr>
        <w:t xml:space="preserve">the location information </w:t>
      </w:r>
      <w:r w:rsidRPr="00901FED">
        <w:rPr>
          <w:color w:val="000000" w:themeColor="text1"/>
          <w:lang w:eastAsia="fr-FR"/>
        </w:rPr>
        <w:t xml:space="preserve">of a UE attached to the network in order </w:t>
      </w:r>
      <w:r w:rsidR="008616E9">
        <w:rPr>
          <w:color w:val="000000" w:themeColor="text1"/>
          <w:lang w:eastAsia="fr-FR"/>
        </w:rPr>
        <w:t xml:space="preserve">to select the appropriate core network. Once the appropriate core network has been selected for a UE, it is possible </w:t>
      </w:r>
      <w:r w:rsidR="009C65BA" w:rsidRPr="00901FED">
        <w:rPr>
          <w:color w:val="000000" w:themeColor="text1"/>
          <w:lang w:eastAsia="fr-FR"/>
        </w:rPr>
        <w:t xml:space="preserve">to support some services subject to </w:t>
      </w:r>
      <w:r w:rsidR="009C65BA" w:rsidRPr="009C65BA">
        <w:rPr>
          <w:color w:val="000000" w:themeColor="text1"/>
          <w:lang w:eastAsia="fr-FR"/>
        </w:rPr>
        <w:t>national regulations or other operational constraints.</w:t>
      </w:r>
    </w:p>
    <w:p w14:paraId="06CC81B3" w14:textId="63462C24" w:rsidR="009C65BA" w:rsidRPr="009C65BA" w:rsidRDefault="009C65BA" w:rsidP="009C65BA">
      <w:pPr>
        <w:jc w:val="both"/>
        <w:rPr>
          <w:color w:val="000000" w:themeColor="text1"/>
          <w:lang w:eastAsia="fr-FR"/>
        </w:rPr>
      </w:pPr>
      <w:r w:rsidRPr="009C65BA">
        <w:rPr>
          <w:color w:val="000000" w:themeColor="text1"/>
          <w:lang w:eastAsia="fr-FR"/>
        </w:rPr>
        <w:t>In TR 23.737 [2], the list of such services has been identified in key issue #10:</w:t>
      </w:r>
    </w:p>
    <w:p w14:paraId="6E987602" w14:textId="24B7CB67" w:rsidR="009C65BA" w:rsidRPr="009C65BA" w:rsidRDefault="00261550" w:rsidP="00261550">
      <w:pPr>
        <w:pStyle w:val="B1"/>
        <w:rPr>
          <w:lang w:eastAsia="fr-FR"/>
        </w:rPr>
      </w:pPr>
      <w:r>
        <w:rPr>
          <w:lang w:eastAsia="fr-FR"/>
        </w:rPr>
        <w:t>-</w:t>
      </w:r>
      <w:r>
        <w:rPr>
          <w:lang w:eastAsia="fr-FR"/>
        </w:rPr>
        <w:tab/>
      </w:r>
      <w:r w:rsidR="009C65BA" w:rsidRPr="009C65BA">
        <w:rPr>
          <w:lang w:eastAsia="fr-FR"/>
        </w:rPr>
        <w:t>Public Warning System (PWS)</w:t>
      </w:r>
    </w:p>
    <w:p w14:paraId="69F42917" w14:textId="116D5B09" w:rsidR="009C65BA" w:rsidRPr="009C65BA" w:rsidRDefault="00261550" w:rsidP="00261550">
      <w:pPr>
        <w:pStyle w:val="B1"/>
        <w:rPr>
          <w:lang w:eastAsia="fr-FR"/>
        </w:rPr>
      </w:pPr>
      <w:r>
        <w:rPr>
          <w:lang w:eastAsia="fr-FR"/>
        </w:rPr>
        <w:t>-</w:t>
      </w:r>
      <w:r>
        <w:rPr>
          <w:lang w:eastAsia="fr-FR"/>
        </w:rPr>
        <w:tab/>
      </w:r>
      <w:r w:rsidR="009C65BA" w:rsidRPr="009C65BA">
        <w:rPr>
          <w:lang w:eastAsia="fr-FR"/>
        </w:rPr>
        <w:t>Lawful interception (LI)</w:t>
      </w:r>
    </w:p>
    <w:p w14:paraId="56D9516A" w14:textId="6139C3E9" w:rsidR="009C65BA" w:rsidRPr="009C65BA" w:rsidRDefault="00261550" w:rsidP="00261550">
      <w:pPr>
        <w:pStyle w:val="B1"/>
        <w:rPr>
          <w:lang w:eastAsia="fr-FR"/>
        </w:rPr>
      </w:pPr>
      <w:r>
        <w:rPr>
          <w:lang w:eastAsia="fr-FR"/>
        </w:rPr>
        <w:t>-</w:t>
      </w:r>
      <w:r>
        <w:rPr>
          <w:lang w:eastAsia="fr-FR"/>
        </w:rPr>
        <w:tab/>
      </w:r>
      <w:r w:rsidR="009C65BA" w:rsidRPr="009C65BA">
        <w:rPr>
          <w:lang w:eastAsia="fr-FR"/>
        </w:rPr>
        <w:t>Emergency services (EMS)</w:t>
      </w:r>
    </w:p>
    <w:p w14:paraId="6A152539" w14:textId="68FE8796" w:rsidR="009C65BA" w:rsidRPr="009C65BA" w:rsidRDefault="00261550" w:rsidP="00261550">
      <w:pPr>
        <w:pStyle w:val="B1"/>
        <w:rPr>
          <w:lang w:eastAsia="fr-FR"/>
        </w:rPr>
      </w:pPr>
      <w:r>
        <w:rPr>
          <w:lang w:eastAsia="fr-FR"/>
        </w:rPr>
        <w:lastRenderedPageBreak/>
        <w:t>-</w:t>
      </w:r>
      <w:r>
        <w:rPr>
          <w:lang w:eastAsia="fr-FR"/>
        </w:rPr>
        <w:tab/>
      </w:r>
      <w:r w:rsidR="009C65BA" w:rsidRPr="009C65BA">
        <w:rPr>
          <w:lang w:eastAsia="fr-FR"/>
        </w:rPr>
        <w:t>Charging and Tariff notifications</w:t>
      </w:r>
    </w:p>
    <w:p w14:paraId="253EF8C5" w14:textId="50573929" w:rsidR="009C65BA" w:rsidRPr="009C65BA" w:rsidRDefault="009C65BA" w:rsidP="009C65BA">
      <w:pPr>
        <w:jc w:val="both"/>
        <w:rPr>
          <w:color w:val="000000" w:themeColor="text1"/>
          <w:lang w:eastAsia="fr-FR"/>
        </w:rPr>
      </w:pPr>
      <w:r w:rsidRPr="009C65BA">
        <w:rPr>
          <w:color w:val="000000" w:themeColor="text1"/>
          <w:lang w:eastAsia="fr-FR"/>
        </w:rPr>
        <w:t>In TR 22.</w:t>
      </w:r>
      <w:r w:rsidRPr="009C65BA" w:rsidDel="00A72809">
        <w:rPr>
          <w:color w:val="000000" w:themeColor="text1"/>
          <w:lang w:eastAsia="fr-FR"/>
        </w:rPr>
        <w:t xml:space="preserve"> </w:t>
      </w:r>
      <w:r w:rsidRPr="009C65BA">
        <w:rPr>
          <w:color w:val="000000" w:themeColor="text1"/>
          <w:lang w:eastAsia="fr-FR"/>
        </w:rPr>
        <w:t xml:space="preserve">926 [3], it has been identified that </w:t>
      </w:r>
      <w:r w:rsidR="00261550">
        <w:rPr>
          <w:color w:val="000000" w:themeColor="text1"/>
          <w:lang w:eastAsia="fr-FR"/>
        </w:rPr>
        <w:t>"</w:t>
      </w:r>
      <w:r w:rsidRPr="009C65BA">
        <w:rPr>
          <w:i/>
          <w:color w:val="000000" w:themeColor="text1"/>
          <w:lang w:eastAsia="fr-FR"/>
        </w:rPr>
        <w:t>To support regulated services and features (e.g. Public Warning System, Charging and Billing, Emergency calls, Lawful Intercept, Data Retention Policy in cross-border scenarios and international regions, Network access), 3GPP networks should have the capability to locate each UE in a reliable manner and determine the policy that applies to their operation depending on their location and/or context.</w:t>
      </w:r>
      <w:r w:rsidR="00261550">
        <w:rPr>
          <w:color w:val="000000" w:themeColor="text1"/>
          <w:lang w:eastAsia="fr-FR"/>
        </w:rPr>
        <w:t>"</w:t>
      </w:r>
    </w:p>
    <w:p w14:paraId="7BDA572F" w14:textId="3A2E40E3" w:rsidR="009C65BA" w:rsidRPr="009C65BA" w:rsidDel="00887EAC" w:rsidRDefault="009C65BA" w:rsidP="009C65BA">
      <w:r w:rsidRPr="009C65BA">
        <w:t>Furthermore, in [4</w:t>
      </w:r>
      <w:r w:rsidRPr="009C65BA" w:rsidDel="00887EAC">
        <w:t xml:space="preserve">], it is pointed out that </w:t>
      </w:r>
      <w:r w:rsidR="00261550">
        <w:t>"</w:t>
      </w:r>
      <w:r w:rsidRPr="009C65BA" w:rsidDel="00887EAC">
        <w:rPr>
          <w:i/>
        </w:rPr>
        <w:t>any solution addressing extraterritorial (e.g. international maritime zone and aeronautical) use cases should provide means to notify the HPLMN on roaming in and out of those areas, including the cases when the serving PLMN has not changed.</w:t>
      </w:r>
      <w:r w:rsidR="00261550">
        <w:t>"</w:t>
      </w:r>
    </w:p>
    <w:p w14:paraId="1B490D44" w14:textId="1BE146A5" w:rsidR="00990C58" w:rsidRPr="00400D04" w:rsidRDefault="00990C58" w:rsidP="00990C58">
      <w:pPr>
        <w:jc w:val="both"/>
      </w:pPr>
      <w:r w:rsidRPr="00400D04">
        <w:t xml:space="preserve">Relying only on the GNSS based location information reported by the UE is not considered reliable by </w:t>
      </w:r>
      <w:r w:rsidR="00A0468C">
        <w:t>SA3</w:t>
      </w:r>
      <w:r w:rsidR="004744A3">
        <w:t>-LI</w:t>
      </w:r>
      <w:r w:rsidRPr="00400D04">
        <w:t xml:space="preserve"> </w:t>
      </w:r>
      <w:r w:rsidR="00FA1460">
        <w:t>[4]</w:t>
      </w:r>
      <w:r w:rsidRPr="00400D04">
        <w:t>.</w:t>
      </w:r>
    </w:p>
    <w:p w14:paraId="1CACC2AE" w14:textId="06BF6763" w:rsidR="00D43FCA" w:rsidRDefault="00990C58" w:rsidP="009C65BA">
      <w:r>
        <w:t>T</w:t>
      </w:r>
      <w:r w:rsidR="009C65BA" w:rsidRPr="009C65BA">
        <w:t xml:space="preserve">he UE reported location information  (for example determined with its GNSS receiver), could be erroneous due </w:t>
      </w:r>
      <w:r w:rsidR="004A3DB2">
        <w:t xml:space="preserve">to </w:t>
      </w:r>
      <w:r w:rsidR="009C65BA" w:rsidRPr="009C65BA">
        <w:t>intentional (e.g. maliciously tampering by user or by 3rd party) or unintentional (e.g. interference)</w:t>
      </w:r>
      <w:r w:rsidR="004A33E1">
        <w:t xml:space="preserve"> causes</w:t>
      </w:r>
      <w:r w:rsidR="009C65BA" w:rsidRPr="009C65BA">
        <w:t xml:space="preserve">, </w:t>
      </w:r>
      <w:r w:rsidR="004A3DB2">
        <w:t xml:space="preserve">hence </w:t>
      </w:r>
      <w:r w:rsidR="009C65BA" w:rsidRPr="009C65BA">
        <w:t xml:space="preserve">it cannot be </w:t>
      </w:r>
      <w:r w:rsidR="004A3DB2">
        <w:t xml:space="preserve">considered </w:t>
      </w:r>
      <w:r w:rsidR="009C65BA" w:rsidRPr="009C65BA">
        <w:t xml:space="preserve">trusted by network operators. </w:t>
      </w:r>
    </w:p>
    <w:p w14:paraId="12E70863" w14:textId="0E43DDC4" w:rsidR="00B727F4" w:rsidRDefault="00990C58" w:rsidP="00990C58">
      <w:r>
        <w:t xml:space="preserve">Already 3GPP has defined a network based </w:t>
      </w:r>
      <w:r w:rsidR="00A14201">
        <w:t>functionality</w:t>
      </w:r>
      <w:r>
        <w:t xml:space="preserve"> to </w:t>
      </w:r>
      <w:r w:rsidR="00266495">
        <w:t>verify</w:t>
      </w:r>
      <w:r>
        <w:t xml:space="preserve"> the reported UE location with the identifier of the serving cell. However, radio cells in n</w:t>
      </w:r>
      <w:r w:rsidR="00B727F4">
        <w:t>on-</w:t>
      </w:r>
      <w:r w:rsidR="00D43FCA">
        <w:t xml:space="preserve">terrestrial networks, </w:t>
      </w:r>
      <w:r w:rsidR="004A3DB2">
        <w:t>may be</w:t>
      </w:r>
      <w:r>
        <w:t xml:space="preserve"> </w:t>
      </w:r>
      <w:r w:rsidR="00B727F4">
        <w:t>larger tha</w:t>
      </w:r>
      <w:r>
        <w:t>n</w:t>
      </w:r>
      <w:r w:rsidR="00B727F4">
        <w:t xml:space="preserve"> the ones of terrestrial networks</w:t>
      </w:r>
      <w:r>
        <w:t xml:space="preserve"> and may </w:t>
      </w:r>
      <w:r w:rsidRPr="00400D04">
        <w:t>cover borders between two or more countries</w:t>
      </w:r>
      <w:r>
        <w:t xml:space="preserve">. Therefore, such Cell Id information </w:t>
      </w:r>
      <w:r w:rsidR="004A3DB2">
        <w:t xml:space="preserve">may </w:t>
      </w:r>
      <w:r>
        <w:t xml:space="preserve">not </w:t>
      </w:r>
      <w:r w:rsidR="004A3DB2">
        <w:t>be sufficient</w:t>
      </w:r>
      <w:r>
        <w:t xml:space="preserve"> to discriminate the country in which the UE is located.</w:t>
      </w:r>
    </w:p>
    <w:p w14:paraId="3F530E60" w14:textId="66EA0E35" w:rsidR="00B03281" w:rsidRPr="00613239" w:rsidRDefault="00B03281" w:rsidP="00B03281">
      <w:pPr>
        <w:jc w:val="both"/>
      </w:pPr>
      <w:r w:rsidRPr="00613239">
        <w:t xml:space="preserve">It is expected that solutions combining both UE reported GNSS information and network based </w:t>
      </w:r>
      <w:r w:rsidR="002045B6" w:rsidRPr="00613239">
        <w:t>information</w:t>
      </w:r>
      <w:r w:rsidR="00747699" w:rsidRPr="00613239">
        <w:t xml:space="preserve"> for verification of UE location </w:t>
      </w:r>
      <w:r w:rsidRPr="00613239">
        <w:t>can improve the reliability of core network selection in non-terrestrial network</w:t>
      </w:r>
      <w:r w:rsidR="00A14201" w:rsidRPr="00613239">
        <w:t>s</w:t>
      </w:r>
      <w:r w:rsidR="002045B6" w:rsidRPr="00613239">
        <w:t>. This is important</w:t>
      </w:r>
      <w:r w:rsidRPr="00613239">
        <w:t xml:space="preserve"> for</w:t>
      </w:r>
      <w:r w:rsidR="002045B6" w:rsidRPr="00613239">
        <w:t xml:space="preserve"> </w:t>
      </w:r>
    </w:p>
    <w:p w14:paraId="705B57F5" w14:textId="4329522E" w:rsidR="00B03281" w:rsidRPr="00613239" w:rsidRDefault="00DF3BA8" w:rsidP="00DF3BA8">
      <w:pPr>
        <w:pStyle w:val="B1"/>
      </w:pPr>
      <w:r>
        <w:t>-</w:t>
      </w:r>
      <w:r>
        <w:tab/>
      </w:r>
      <w:r w:rsidR="00B03281" w:rsidRPr="00613239">
        <w:t>Services subject to national regulations or other operational constraints. (e.g. Public Warning System (PWS), Lawful interception (LI), Emergency services (EMS), Charging and Tariff notifications).</w:t>
      </w:r>
    </w:p>
    <w:p w14:paraId="7B4A4D7C" w14:textId="677B6780" w:rsidR="00B03281" w:rsidRPr="00613239" w:rsidRDefault="00DF3BA8" w:rsidP="00DF3BA8">
      <w:pPr>
        <w:pStyle w:val="B1"/>
      </w:pPr>
      <w:r>
        <w:t>-</w:t>
      </w:r>
      <w:r>
        <w:tab/>
      </w:r>
      <w:r w:rsidR="00B03281" w:rsidRPr="00613239">
        <w:t>Cases where the UE reported location information (for example determined with its GNSS receiver), could be erroneous due</w:t>
      </w:r>
      <w:r w:rsidR="002045B6" w:rsidRPr="00613239">
        <w:t xml:space="preserve"> to</w:t>
      </w:r>
      <w:r w:rsidR="00B03281" w:rsidRPr="00613239">
        <w:t xml:space="preserve"> intentional (e.g. maliciously tampering by user or by 3rd party) or unintentional (e.g. interference) causes.</w:t>
      </w:r>
    </w:p>
    <w:p w14:paraId="6C8B7512" w14:textId="1438E3E2" w:rsidR="00B03281" w:rsidRPr="00613239" w:rsidRDefault="00DF3BA8" w:rsidP="00DF3BA8">
      <w:pPr>
        <w:pStyle w:val="B1"/>
      </w:pPr>
      <w:r>
        <w:t>-</w:t>
      </w:r>
      <w:r>
        <w:tab/>
      </w:r>
      <w:r w:rsidR="00B03281" w:rsidRPr="00613239">
        <w:t>NTN radio cells larger than terrestrial network radio cells and possibly covering borders between two or more countries</w:t>
      </w:r>
      <w:r>
        <w:t>.</w:t>
      </w:r>
    </w:p>
    <w:p w14:paraId="41E96EE7" w14:textId="0E52E995" w:rsidR="000F606C" w:rsidRDefault="000F606C" w:rsidP="009C65BA">
      <w:r>
        <w:t>In order to define an appropriate network based solution</w:t>
      </w:r>
      <w:r w:rsidR="00B71D25">
        <w:t xml:space="preserve"> </w:t>
      </w:r>
      <w:r w:rsidR="00583D35">
        <w:t>to verify</w:t>
      </w:r>
      <w:r w:rsidR="00B71D25">
        <w:t xml:space="preserve"> UE location</w:t>
      </w:r>
      <w:r>
        <w:t xml:space="preserve">, </w:t>
      </w:r>
      <w:r w:rsidR="00B71D25">
        <w:t xml:space="preserve">it is necessary to determine requirements for the </w:t>
      </w:r>
      <w:r w:rsidR="00C24759">
        <w:t xml:space="preserve">verification </w:t>
      </w:r>
      <w:r w:rsidR="00B71D25">
        <w:t xml:space="preserve">accuracy. Note that these requirements should not be assumed to be the same as  </w:t>
      </w:r>
      <w:r>
        <w:t xml:space="preserve">the </w:t>
      </w:r>
      <w:r w:rsidRPr="00400D04">
        <w:t xml:space="preserve">regulatory requirements applicable to the UE location in terms of Accuracy, Reliability (related to law enforcement and liability), Latency and Privacy </w:t>
      </w:r>
      <w:r w:rsidR="00EE69CA">
        <w:t xml:space="preserve">as </w:t>
      </w:r>
      <w:r w:rsidRPr="00400D04">
        <w:t xml:space="preserve"> identified in </w:t>
      </w:r>
      <w:r w:rsidR="00CA3378">
        <w:t xml:space="preserve">Annex </w:t>
      </w:r>
      <w:r w:rsidR="00456E6D">
        <w:t>A</w:t>
      </w:r>
      <w:r w:rsidR="00CA3378">
        <w:t>.</w:t>
      </w:r>
    </w:p>
    <w:p w14:paraId="540DE28A" w14:textId="613600CE" w:rsidR="00D445EC" w:rsidRPr="00456E6D" w:rsidRDefault="00D445EC" w:rsidP="00456E6D">
      <w:pPr>
        <w:rPr>
          <w:lang w:eastAsia="zh-CN"/>
        </w:rPr>
      </w:pPr>
      <w:r w:rsidRPr="00456E6D">
        <w:t>As identified in annex A.</w:t>
      </w:r>
      <w:r w:rsidR="00456E6D">
        <w:t>2</w:t>
      </w:r>
      <w:r w:rsidRPr="00456E6D">
        <w:t xml:space="preserve">, </w:t>
      </w:r>
      <w:r w:rsidRPr="00456E6D">
        <w:rPr>
          <w:lang w:eastAsia="zh-CN"/>
        </w:rPr>
        <w:t xml:space="preserve">SA3-LI recommends in </w:t>
      </w:r>
      <w:r w:rsidR="00320061" w:rsidRPr="00320061">
        <w:rPr>
          <w:lang w:eastAsia="zh-CN"/>
        </w:rPr>
        <w:t>S3i200056</w:t>
      </w:r>
      <w:r w:rsidR="00320061">
        <w:rPr>
          <w:lang w:eastAsia="zh-CN"/>
        </w:rPr>
        <w:t xml:space="preserve"> </w:t>
      </w:r>
      <w:r w:rsidRPr="00456E6D">
        <w:rPr>
          <w:lang w:eastAsia="zh-CN"/>
        </w:rPr>
        <w:t xml:space="preserve">[4] that </w:t>
      </w:r>
      <w:r w:rsidR="00DF3BA8">
        <w:rPr>
          <w:lang w:eastAsia="zh-CN"/>
        </w:rPr>
        <w:t>"</w:t>
      </w:r>
      <w:r w:rsidRPr="00456E6D">
        <w:rPr>
          <w:i/>
          <w:lang w:eastAsia="zh-CN"/>
        </w:rPr>
        <w:t>The logical location shall unambiguously map to the geographical area of the UE physical location. Granularity of such geographical areas needs to be able to provide network location accuracy comparable with terrestrial networks.</w:t>
      </w:r>
      <w:r w:rsidR="00DF3BA8">
        <w:rPr>
          <w:lang w:eastAsia="zh-CN"/>
        </w:rPr>
        <w:t>"</w:t>
      </w:r>
    </w:p>
    <w:p w14:paraId="0DB913FC" w14:textId="09B4AE04" w:rsidR="0090780E" w:rsidRPr="00456E6D" w:rsidRDefault="0082185F" w:rsidP="00456E6D">
      <w:r>
        <w:t>I</w:t>
      </w:r>
      <w:r w:rsidR="004C6C07">
        <w:t xml:space="preserve">n </w:t>
      </w:r>
      <w:r w:rsidR="004C6C07" w:rsidRPr="00456E6D">
        <w:t>terrestrial networks, verification is based on Cell Id</w:t>
      </w:r>
      <w:r w:rsidRPr="00456E6D">
        <w:t xml:space="preserve"> and hence, </w:t>
      </w:r>
      <w:r w:rsidR="004C6C07" w:rsidRPr="00456E6D">
        <w:t>the targeted granularity is related to cell size. Similar</w:t>
      </w:r>
      <w:r w:rsidRPr="00456E6D">
        <w:t xml:space="preserve"> granularity should be considered for NTN. </w:t>
      </w:r>
      <w:r>
        <w:t>T</w:t>
      </w:r>
      <w:r w:rsidR="0090780E" w:rsidRPr="00456E6D">
        <w:t xml:space="preserve">errestrial macro cell size </w:t>
      </w:r>
      <w:r w:rsidR="00AF49FA">
        <w:t>is</w:t>
      </w:r>
      <w:r w:rsidR="0090780E" w:rsidRPr="00456E6D">
        <w:t xml:space="preserve"> </w:t>
      </w:r>
      <w:r>
        <w:t xml:space="preserve">assumed </w:t>
      </w:r>
      <w:r w:rsidR="000A5CAD">
        <w:t>to be</w:t>
      </w:r>
      <w:r>
        <w:t xml:space="preserve"> </w:t>
      </w:r>
      <w:r w:rsidR="0090780E" w:rsidRPr="00456E6D">
        <w:t>up to 5-10 km diameter</w:t>
      </w:r>
      <w:r w:rsidR="00D445EC" w:rsidRPr="00456E6D">
        <w:t>.</w:t>
      </w:r>
    </w:p>
    <w:p w14:paraId="15ADEF53" w14:textId="576A9513" w:rsidR="0069366B" w:rsidRDefault="002C67FD" w:rsidP="002C67FD">
      <w:pPr>
        <w:pStyle w:val="Heading2"/>
      </w:pPr>
      <w:bookmarkStart w:id="35" w:name="_Toc105678673"/>
      <w:r>
        <w:t>4.4</w:t>
      </w:r>
      <w:r>
        <w:tab/>
      </w:r>
      <w:r w:rsidR="0069366B">
        <w:t>LCS and NTN</w:t>
      </w:r>
      <w:bookmarkEnd w:id="35"/>
    </w:p>
    <w:p w14:paraId="4CC31054" w14:textId="4B08D2B3" w:rsidR="0069366B" w:rsidRPr="00911AF8" w:rsidRDefault="0069366B" w:rsidP="0069366B">
      <w:pPr>
        <w:rPr>
          <w:b/>
        </w:rPr>
      </w:pPr>
      <w:r>
        <w:t>Most UE positioning functionality is typically UE-associated, i.e., it assumes that a UE context is present for the UE being positioned. This means that the UE itself has already completed the initial access procedures. Because of this, all observations and mitigations already discussed in Rel-17 are still relevant and applicable.</w:t>
      </w:r>
    </w:p>
    <w:p w14:paraId="23B76465" w14:textId="77777777" w:rsidR="00C70192" w:rsidRDefault="00C70192" w:rsidP="009C65BA">
      <w:pPr>
        <w:jc w:val="both"/>
      </w:pPr>
    </w:p>
    <w:p w14:paraId="57BE2B9B" w14:textId="7A9AE7B1" w:rsidR="00C70192" w:rsidRDefault="00C70192" w:rsidP="009C65BA">
      <w:pPr>
        <w:jc w:val="both"/>
        <w:sectPr w:rsidR="00C70192">
          <w:headerReference w:type="default" r:id="rId16"/>
          <w:footerReference w:type="default" r:id="rId17"/>
          <w:footnotePr>
            <w:numRestart w:val="eachSect"/>
          </w:footnotePr>
          <w:pgSz w:w="11907" w:h="16840" w:code="9"/>
          <w:pgMar w:top="1416" w:right="1133" w:bottom="1133" w:left="1133" w:header="850" w:footer="340" w:gutter="0"/>
          <w:cols w:space="720"/>
          <w:formProt w:val="0"/>
        </w:sectPr>
      </w:pPr>
    </w:p>
    <w:p w14:paraId="653BBD8F" w14:textId="6C8E3D98" w:rsidR="009C65BA" w:rsidRPr="009C65BA" w:rsidRDefault="002C67FD" w:rsidP="00C70192">
      <w:pPr>
        <w:pStyle w:val="Heading1"/>
      </w:pPr>
      <w:bookmarkStart w:id="36" w:name="_Toc105678674"/>
      <w:r>
        <w:lastRenderedPageBreak/>
        <w:t>5</w:t>
      </w:r>
      <w:r w:rsidR="009C65BA" w:rsidRPr="009C65BA">
        <w:tab/>
        <w:t>Recommendations</w:t>
      </w:r>
      <w:bookmarkEnd w:id="36"/>
    </w:p>
    <w:p w14:paraId="1955CD48" w14:textId="634899EF" w:rsidR="00817F88" w:rsidRPr="00BA7977" w:rsidRDefault="009C65BA" w:rsidP="009C65BA">
      <w:pPr>
        <w:jc w:val="both"/>
        <w:rPr>
          <w:color w:val="000000" w:themeColor="text1"/>
          <w:lang w:eastAsia="fr-FR"/>
        </w:rPr>
      </w:pPr>
      <w:r w:rsidRPr="00BA7977">
        <w:rPr>
          <w:color w:val="000000" w:themeColor="text1"/>
          <w:lang w:eastAsia="fr-FR"/>
        </w:rPr>
        <w:t xml:space="preserve">In this study, we have identified the need to define a </w:t>
      </w:r>
      <w:r w:rsidR="00C971FF" w:rsidRPr="00BA7977">
        <w:rPr>
          <w:color w:val="000000" w:themeColor="text1"/>
          <w:lang w:eastAsia="fr-FR"/>
        </w:rPr>
        <w:t xml:space="preserve">network based </w:t>
      </w:r>
      <w:r w:rsidR="00C24759" w:rsidRPr="00BA7977">
        <w:rPr>
          <w:color w:val="000000" w:themeColor="text1"/>
          <w:lang w:eastAsia="fr-FR"/>
        </w:rPr>
        <w:t xml:space="preserve">solution </w:t>
      </w:r>
      <w:r w:rsidRPr="00BA7977">
        <w:rPr>
          <w:color w:val="000000" w:themeColor="text1"/>
          <w:lang w:eastAsia="fr-FR"/>
        </w:rPr>
        <w:t xml:space="preserve">which aims at </w:t>
      </w:r>
      <w:r w:rsidR="00C971FF" w:rsidRPr="00BA7977">
        <w:rPr>
          <w:color w:val="000000" w:themeColor="text1"/>
          <w:lang w:eastAsia="fr-FR"/>
        </w:rPr>
        <w:t xml:space="preserve">verifying </w:t>
      </w:r>
      <w:r w:rsidRPr="00BA7977">
        <w:rPr>
          <w:color w:val="000000" w:themeColor="text1"/>
          <w:lang w:eastAsia="fr-FR"/>
        </w:rPr>
        <w:t xml:space="preserve">the reported </w:t>
      </w:r>
      <w:r w:rsidR="00C971FF" w:rsidRPr="00BA7977">
        <w:rPr>
          <w:color w:val="000000" w:themeColor="text1"/>
          <w:lang w:eastAsia="fr-FR"/>
        </w:rPr>
        <w:t xml:space="preserve">UE </w:t>
      </w:r>
      <w:r w:rsidRPr="00D445EC">
        <w:rPr>
          <w:color w:val="000000" w:themeColor="text1"/>
          <w:lang w:eastAsia="fr-FR"/>
        </w:rPr>
        <w:t>location information</w:t>
      </w:r>
      <w:r w:rsidR="00817F88" w:rsidRPr="00BA7977">
        <w:rPr>
          <w:color w:val="000000" w:themeColor="text1"/>
          <w:lang w:eastAsia="fr-FR"/>
        </w:rPr>
        <w:t>.</w:t>
      </w:r>
    </w:p>
    <w:p w14:paraId="02466166" w14:textId="32C7D095" w:rsidR="00817F88" w:rsidRPr="00BA7977" w:rsidRDefault="00817F88" w:rsidP="009C65BA">
      <w:pPr>
        <w:jc w:val="both"/>
        <w:rPr>
          <w:color w:val="000000" w:themeColor="text1"/>
          <w:lang w:eastAsia="fr-FR"/>
        </w:rPr>
      </w:pPr>
      <w:r w:rsidRPr="00BA7977">
        <w:rPr>
          <w:color w:val="000000" w:themeColor="text1"/>
          <w:lang w:eastAsia="fr-FR"/>
        </w:rPr>
        <w:t>The verification should be performed</w:t>
      </w:r>
      <w:r w:rsidRPr="00456E6D">
        <w:rPr>
          <w:color w:val="000000" w:themeColor="text1"/>
          <w:lang w:eastAsia="fr-FR"/>
        </w:rPr>
        <w:t xml:space="preserve"> independently from the location </w:t>
      </w:r>
      <w:r w:rsidR="00C24848" w:rsidRPr="00BA7977">
        <w:rPr>
          <w:color w:val="000000" w:themeColor="text1"/>
          <w:lang w:eastAsia="fr-FR"/>
        </w:rPr>
        <w:t xml:space="preserve">information </w:t>
      </w:r>
      <w:r w:rsidRPr="00456E6D">
        <w:rPr>
          <w:color w:val="000000" w:themeColor="text1"/>
          <w:lang w:eastAsia="fr-FR"/>
        </w:rPr>
        <w:t>reported by UE</w:t>
      </w:r>
      <w:r w:rsidRPr="00BA7977">
        <w:rPr>
          <w:color w:val="000000" w:themeColor="text1"/>
          <w:lang w:eastAsia="fr-FR"/>
        </w:rPr>
        <w:t>.</w:t>
      </w:r>
    </w:p>
    <w:p w14:paraId="3A69A28E" w14:textId="0DD0EFBF" w:rsidR="00A549AD" w:rsidRPr="00C745F8" w:rsidRDefault="00A549AD" w:rsidP="0098147C">
      <w:pPr>
        <w:jc w:val="both"/>
      </w:pPr>
      <w:r w:rsidRPr="00C745F8">
        <w:t xml:space="preserve">The UE location information </w:t>
      </w:r>
      <w:r w:rsidR="00F7287C">
        <w:t xml:space="preserve">for the study </w:t>
      </w:r>
      <w:r w:rsidRPr="00C745F8">
        <w:t>is considered verified if the reported UE location is consistent with</w:t>
      </w:r>
      <w:r w:rsidR="0098147C" w:rsidRPr="00C745F8">
        <w:t xml:space="preserve"> the network based assessment </w:t>
      </w:r>
      <w:r w:rsidRPr="00C745F8">
        <w:t xml:space="preserve">to </w:t>
      </w:r>
      <w:r w:rsidR="0098147C" w:rsidRPr="00C745F8">
        <w:t>within 5-10 km (similar to terrestrial network macro cell size)</w:t>
      </w:r>
      <w:r w:rsidRPr="00C745F8">
        <w:t xml:space="preserve">, enabling country discrimination and selection of </w:t>
      </w:r>
      <w:r w:rsidR="0098147C" w:rsidRPr="00C745F8">
        <w:t>an</w:t>
      </w:r>
      <w:r w:rsidRPr="00C745F8">
        <w:t xml:space="preserve"> appropriate core network</w:t>
      </w:r>
      <w:r w:rsidR="00D445EC" w:rsidRPr="00C745F8">
        <w:t xml:space="preserve"> </w:t>
      </w:r>
      <w:r w:rsidR="00F7287C">
        <w:t xml:space="preserve">in order to </w:t>
      </w:r>
      <w:r w:rsidR="00D445EC" w:rsidRPr="00C745F8">
        <w:t>support all the regulatory services (i.e. emergency call, lawful intercept, public warning, charging/billing)</w:t>
      </w:r>
      <w:r w:rsidRPr="00C745F8">
        <w:t>.</w:t>
      </w:r>
    </w:p>
    <w:p w14:paraId="4820E567" w14:textId="3D1B5CC5" w:rsidR="00047723" w:rsidRPr="00C745F8" w:rsidRDefault="00047723" w:rsidP="00047723">
      <w:pPr>
        <w:jc w:val="both"/>
        <w:rPr>
          <w:color w:val="000000" w:themeColor="text1"/>
          <w:lang w:eastAsia="fr-FR"/>
        </w:rPr>
      </w:pPr>
      <w:r w:rsidRPr="00C745F8">
        <w:t>The solution should not impact significantly the latency of the targeted services nor infringe privacy requirements that apply to the UE location</w:t>
      </w:r>
      <w:r w:rsidR="00615B2C" w:rsidRPr="00C745F8">
        <w:t>.</w:t>
      </w:r>
    </w:p>
    <w:p w14:paraId="50017BBA" w14:textId="49C4D2A1" w:rsidR="004A5B9F" w:rsidRPr="00C745F8" w:rsidRDefault="00AC1CC2" w:rsidP="009C65BA">
      <w:pPr>
        <w:jc w:val="both"/>
      </w:pPr>
      <w:r w:rsidRPr="00C745F8">
        <w:t xml:space="preserve">The study in [RAN2,RAN1,RAN3], which will </w:t>
      </w:r>
      <w:r w:rsidR="00407C98" w:rsidRPr="00C745F8">
        <w:t xml:space="preserve">study and </w:t>
      </w:r>
      <w:r w:rsidRPr="00C745F8">
        <w:t>evaluate solutions for the network to verify UE reported location information, sh</w:t>
      </w:r>
      <w:r w:rsidR="009A5B6B" w:rsidRPr="00C745F8">
        <w:t>all</w:t>
      </w:r>
      <w:r w:rsidRPr="00C745F8">
        <w:t xml:space="preserve"> consider</w:t>
      </w:r>
      <w:r w:rsidR="009A5B6B" w:rsidRPr="00C745F8">
        <w:t xml:space="preserve"> the following aspects:</w:t>
      </w:r>
    </w:p>
    <w:p w14:paraId="13E84AF9" w14:textId="0593DACC" w:rsidR="00047723" w:rsidRPr="00C745F8" w:rsidRDefault="00320061" w:rsidP="00320061">
      <w:pPr>
        <w:pStyle w:val="B1"/>
      </w:pPr>
      <w:r>
        <w:t>-</w:t>
      </w:r>
      <w:r>
        <w:tab/>
      </w:r>
      <w:r w:rsidR="009A5B6B" w:rsidRPr="00C745F8">
        <w:t xml:space="preserve">The scenario of single </w:t>
      </w:r>
      <w:r w:rsidR="00047723" w:rsidRPr="00C745F8">
        <w:t xml:space="preserve">satellite </w:t>
      </w:r>
      <w:r w:rsidR="00CE09A4" w:rsidRPr="00C745F8">
        <w:t xml:space="preserve">(or HAPS) </w:t>
      </w:r>
      <w:r w:rsidR="00047723" w:rsidRPr="00C745F8">
        <w:t>in view by the UE at a time</w:t>
      </w:r>
      <w:r w:rsidR="00625233" w:rsidRPr="00C745F8">
        <w:t xml:space="preserve"> is considered </w:t>
      </w:r>
      <w:r w:rsidR="004C6C07" w:rsidRPr="00C745F8">
        <w:t xml:space="preserve">with </w:t>
      </w:r>
      <w:r w:rsidR="00625233" w:rsidRPr="00C745F8">
        <w:t>higher priority.</w:t>
      </w:r>
    </w:p>
    <w:p w14:paraId="5190E6AE" w14:textId="1D774C67" w:rsidR="00047723" w:rsidRPr="00C745F8" w:rsidRDefault="00320061" w:rsidP="008F6AB2">
      <w:pPr>
        <w:pStyle w:val="B2"/>
      </w:pPr>
      <w:r>
        <w:t>-</w:t>
      </w:r>
      <w:r>
        <w:tab/>
      </w:r>
      <w:r w:rsidR="00047723" w:rsidRPr="00C745F8">
        <w:t>Multi</w:t>
      </w:r>
      <w:r w:rsidR="00625233" w:rsidRPr="00C745F8">
        <w:t>ple</w:t>
      </w:r>
      <w:r w:rsidR="00047723" w:rsidRPr="00C745F8">
        <w:t xml:space="preserve"> satellite </w:t>
      </w:r>
      <w:r w:rsidR="00CE09A4" w:rsidRPr="00C745F8">
        <w:t xml:space="preserve">(or HAPS) </w:t>
      </w:r>
      <w:r w:rsidR="00047723" w:rsidRPr="00C745F8">
        <w:t xml:space="preserve">in view by the UE </w:t>
      </w:r>
      <w:r w:rsidR="00CF0274" w:rsidRPr="00C745F8">
        <w:t>may</w:t>
      </w:r>
      <w:r w:rsidR="00625233" w:rsidRPr="00C745F8">
        <w:t xml:space="preserve"> be considered </w:t>
      </w:r>
      <w:r w:rsidR="00047723" w:rsidRPr="00C745F8">
        <w:t>if time allow</w:t>
      </w:r>
      <w:r w:rsidR="00563D8B" w:rsidRPr="00C745F8">
        <w:t>s</w:t>
      </w:r>
    </w:p>
    <w:p w14:paraId="3EEE9234" w14:textId="24452A2F" w:rsidR="00047723" w:rsidRPr="00C745F8" w:rsidRDefault="00320061" w:rsidP="00320061">
      <w:pPr>
        <w:pStyle w:val="B1"/>
      </w:pPr>
      <w:r>
        <w:t>-</w:t>
      </w:r>
      <w:r>
        <w:tab/>
      </w:r>
      <w:r w:rsidR="00625233" w:rsidRPr="00C745F8">
        <w:t xml:space="preserve">Assume </w:t>
      </w:r>
      <w:r w:rsidR="00182515" w:rsidRPr="00C745F8">
        <w:t>that t</w:t>
      </w:r>
      <w:r w:rsidR="00047723" w:rsidRPr="00C745F8">
        <w:t xml:space="preserve">he UE is attached to </w:t>
      </w:r>
      <w:r w:rsidR="000E3923">
        <w:t>a</w:t>
      </w:r>
      <w:r w:rsidR="000E3923" w:rsidRPr="00C745F8">
        <w:t xml:space="preserve"> </w:t>
      </w:r>
      <w:r w:rsidR="00047723" w:rsidRPr="00C745F8">
        <w:t xml:space="preserve">network (so that its context </w:t>
      </w:r>
      <w:r w:rsidR="007F0EC2" w:rsidRPr="00C745F8">
        <w:t>has been set up in</w:t>
      </w:r>
      <w:r w:rsidR="00047723" w:rsidRPr="00C745F8">
        <w:t xml:space="preserve"> the network)</w:t>
      </w:r>
      <w:r w:rsidR="008B5E17">
        <w:t xml:space="preserve"> for the purpose of positioning</w:t>
      </w:r>
    </w:p>
    <w:p w14:paraId="616BAB6E" w14:textId="707D4634" w:rsidR="00047723" w:rsidRPr="00C745F8" w:rsidRDefault="00320061" w:rsidP="00320061">
      <w:pPr>
        <w:pStyle w:val="B1"/>
      </w:pPr>
      <w:r>
        <w:t>-</w:t>
      </w:r>
      <w:r>
        <w:tab/>
      </w:r>
      <w:r w:rsidR="00625233" w:rsidRPr="00C745F8">
        <w:t>D</w:t>
      </w:r>
      <w:r w:rsidR="00182515" w:rsidRPr="00C745F8">
        <w:t>ifferent</w:t>
      </w:r>
      <w:r w:rsidR="00047723" w:rsidRPr="00C745F8">
        <w:t xml:space="preserve"> </w:t>
      </w:r>
      <w:r w:rsidR="00377D79" w:rsidRPr="00C745F8">
        <w:t xml:space="preserve">solutions or </w:t>
      </w:r>
      <w:r w:rsidR="00AE1455" w:rsidRPr="00C745F8">
        <w:t xml:space="preserve">positioning </w:t>
      </w:r>
      <w:r w:rsidR="00047723" w:rsidRPr="00C745F8">
        <w:t>methods for NGSO</w:t>
      </w:r>
      <w:r w:rsidR="00F57EAB" w:rsidRPr="00C745F8">
        <w:t xml:space="preserve">, </w:t>
      </w:r>
      <w:r w:rsidR="00047723" w:rsidRPr="00C745F8">
        <w:t>GSO</w:t>
      </w:r>
      <w:r w:rsidR="00AE1455" w:rsidRPr="00C745F8">
        <w:t xml:space="preserve"> </w:t>
      </w:r>
      <w:r w:rsidR="006E6F44" w:rsidRPr="00C745F8">
        <w:t>or</w:t>
      </w:r>
      <w:r w:rsidR="00F57EAB" w:rsidRPr="00C745F8">
        <w:t xml:space="preserve"> HAPS </w:t>
      </w:r>
      <w:r w:rsidR="00AE1455" w:rsidRPr="00C745F8">
        <w:t>are not precluded</w:t>
      </w:r>
    </w:p>
    <w:p w14:paraId="2A568E28" w14:textId="4C92D5DF" w:rsidR="00D445EC" w:rsidRPr="00C745F8" w:rsidRDefault="00320061" w:rsidP="00320061">
      <w:pPr>
        <w:pStyle w:val="B1"/>
      </w:pPr>
      <w:r>
        <w:t>-</w:t>
      </w:r>
      <w:r>
        <w:tab/>
      </w:r>
      <w:r w:rsidR="00B11781" w:rsidRPr="00C745F8">
        <w:t>When considering s</w:t>
      </w:r>
      <w:r w:rsidR="00625233" w:rsidRPr="00C745F8">
        <w:t xml:space="preserve">olutions based on </w:t>
      </w:r>
      <w:r w:rsidR="00B11781" w:rsidRPr="00C745F8">
        <w:t xml:space="preserve">positioning methods, </w:t>
      </w:r>
      <w:r w:rsidR="00047723" w:rsidRPr="00C745F8">
        <w:t>existing 3GPP defined RAT dependent positioning methods</w:t>
      </w:r>
      <w:r w:rsidR="002C2409" w:rsidRPr="00C745F8">
        <w:t xml:space="preserve"> </w:t>
      </w:r>
      <w:r w:rsidR="00D445EC" w:rsidRPr="00C745F8">
        <w:t>sh</w:t>
      </w:r>
      <w:r w:rsidR="00312AFB" w:rsidRPr="00C745F8">
        <w:t>all</w:t>
      </w:r>
      <w:r w:rsidR="00D445EC" w:rsidRPr="00C745F8">
        <w:t xml:space="preserve"> be</w:t>
      </w:r>
      <w:r w:rsidR="002C2409" w:rsidRPr="00C745F8">
        <w:t xml:space="preserve"> </w:t>
      </w:r>
      <w:r w:rsidR="00625233" w:rsidRPr="00C745F8">
        <w:t xml:space="preserve">considered </w:t>
      </w:r>
      <w:r w:rsidR="00277C69" w:rsidRPr="00C745F8">
        <w:t>as baseline. Other methods are not precluded.</w:t>
      </w:r>
    </w:p>
    <w:p w14:paraId="7A9C934B" w14:textId="3DE60357" w:rsidR="00047723" w:rsidRPr="00C745F8" w:rsidRDefault="00320061" w:rsidP="00320061">
      <w:pPr>
        <w:pStyle w:val="B1"/>
      </w:pPr>
      <w:r>
        <w:t>-</w:t>
      </w:r>
      <w:r>
        <w:tab/>
      </w:r>
      <w:r w:rsidR="0004202B" w:rsidRPr="00C745F8">
        <w:t xml:space="preserve">Solutions using </w:t>
      </w:r>
      <w:r w:rsidR="00D445EC" w:rsidRPr="00C745F8">
        <w:rPr>
          <w:color w:val="000000" w:themeColor="text1"/>
          <w:lang w:eastAsia="fr-FR"/>
        </w:rPr>
        <w:t>existing NG-RAN architecture and procedures</w:t>
      </w:r>
      <w:r w:rsidR="00047723" w:rsidRPr="00C745F8">
        <w:t xml:space="preserve"> </w:t>
      </w:r>
      <w:r w:rsidR="00312AFB" w:rsidRPr="00C745F8">
        <w:t>shall be considered</w:t>
      </w:r>
    </w:p>
    <w:p w14:paraId="28C796DF" w14:textId="77777777" w:rsidR="00CA742F" w:rsidRDefault="00CA742F">
      <w:pPr>
        <w:spacing w:after="0"/>
        <w:rPr>
          <w:rFonts w:ascii="Arial" w:hAnsi="Arial"/>
          <w:sz w:val="36"/>
        </w:rPr>
      </w:pPr>
      <w:bookmarkStart w:id="37" w:name="startOfAnnexes"/>
      <w:bookmarkEnd w:id="37"/>
      <w:r>
        <w:br w:type="page"/>
      </w:r>
    </w:p>
    <w:p w14:paraId="114D24FF" w14:textId="4741544C" w:rsidR="006B30D0" w:rsidRPr="004D3578" w:rsidRDefault="00080512" w:rsidP="000B1EBA">
      <w:pPr>
        <w:pStyle w:val="Heading8"/>
      </w:pPr>
      <w:bookmarkStart w:id="38" w:name="_Toc105678675"/>
      <w:r w:rsidRPr="004D3578">
        <w:lastRenderedPageBreak/>
        <w:t xml:space="preserve">Annex </w:t>
      </w:r>
      <w:r w:rsidR="0090780E">
        <w:t>A</w:t>
      </w:r>
      <w:r w:rsidRPr="004D3578">
        <w:t xml:space="preserve"> (informative):</w:t>
      </w:r>
      <w:r w:rsidRPr="004D3578">
        <w:br/>
      </w:r>
      <w:r w:rsidR="002C67FD" w:rsidRPr="002C67FD">
        <w:t>Requirements for UE location verification</w:t>
      </w:r>
      <w:bookmarkEnd w:id="38"/>
    </w:p>
    <w:p w14:paraId="35C22C53" w14:textId="79A2B889" w:rsidR="002C67FD" w:rsidRPr="004D3578" w:rsidRDefault="0090780E" w:rsidP="002C67FD">
      <w:pPr>
        <w:pStyle w:val="Heading2"/>
      </w:pPr>
      <w:bookmarkStart w:id="39" w:name="_Toc105678676"/>
      <w:r>
        <w:t>A</w:t>
      </w:r>
      <w:r w:rsidR="002C67FD" w:rsidRPr="004D3578">
        <w:t>.1</w:t>
      </w:r>
      <w:r w:rsidR="002C67FD" w:rsidRPr="004D3578">
        <w:tab/>
      </w:r>
      <w:r w:rsidR="002C67FD">
        <w:t>Emergency calls</w:t>
      </w:r>
      <w:bookmarkEnd w:id="39"/>
    </w:p>
    <w:p w14:paraId="158E10F4" w14:textId="77777777" w:rsidR="002C67FD" w:rsidRPr="009C65BA" w:rsidRDefault="00CF146A" w:rsidP="002C67FD">
      <w:pPr>
        <w:jc w:val="both"/>
      </w:pPr>
      <w:hyperlink r:id="rId18" w:history="1">
        <w:r w:rsidR="002C67FD" w:rsidRPr="009C65BA">
          <w:t>It refers to a</w:t>
        </w:r>
      </w:hyperlink>
      <w:r w:rsidR="002C67FD" w:rsidRPr="009C65BA">
        <w:t xml:space="preserve"> telephone request or text message request for emergency services (e.g. police, fire departments, or other first responders) which requires immediate action to prevent loss of life, reduce bodily injury, prevent or reduce loss of property and respond to other emergency situations determined by local policy.</w:t>
      </w:r>
    </w:p>
    <w:p w14:paraId="09EB1A44" w14:textId="77777777" w:rsidR="002C67FD" w:rsidRPr="009C65BA" w:rsidRDefault="002C67FD" w:rsidP="002C67FD">
      <w:pPr>
        <w:jc w:val="both"/>
        <w:rPr>
          <w:i/>
          <w:u w:val="single"/>
        </w:rPr>
      </w:pPr>
      <w:r w:rsidRPr="009C65BA">
        <w:rPr>
          <w:i/>
          <w:u w:val="single"/>
        </w:rPr>
        <w:t>Accuracy</w:t>
      </w:r>
    </w:p>
    <w:p w14:paraId="1B5B4B3E" w14:textId="17BB908D" w:rsidR="002C67FD" w:rsidRDefault="002C67FD" w:rsidP="002C67FD">
      <w:pPr>
        <w:jc w:val="both"/>
      </w:pPr>
      <w:r w:rsidRPr="009C65BA">
        <w:t xml:space="preserve">Accuracy requirements for emergency calls have been identified </w:t>
      </w:r>
      <w:r w:rsidRPr="009C65BA">
        <w:rPr>
          <w:lang w:eastAsia="zh-CN"/>
        </w:rPr>
        <w:t xml:space="preserve">in </w:t>
      </w:r>
      <w:r w:rsidR="008F6AB2" w:rsidRPr="008F6AB2">
        <w:rPr>
          <w:lang w:eastAsia="zh-CN"/>
        </w:rPr>
        <w:t>TR 22.872</w:t>
      </w:r>
      <w:r w:rsidR="008F6AB2">
        <w:rPr>
          <w:lang w:eastAsia="zh-CN"/>
        </w:rPr>
        <w:t xml:space="preserve"> </w:t>
      </w:r>
      <w:r w:rsidRPr="009C65BA">
        <w:rPr>
          <w:lang w:eastAsia="zh-CN"/>
        </w:rPr>
        <w:t>[</w:t>
      </w:r>
      <w:r>
        <w:rPr>
          <w:color w:val="000000" w:themeColor="text1"/>
          <w:lang w:eastAsia="fr-FR"/>
        </w:rPr>
        <w:t>5</w:t>
      </w:r>
      <w:r w:rsidRPr="009C65BA">
        <w:rPr>
          <w:lang w:eastAsia="zh-CN"/>
        </w:rPr>
        <w:t xml:space="preserve">], where the position accuracy is required to be [50m Horizontal, 3m Vertical] which are the most demanding of the regulated services in terms of accuracy requirements. This is in line with the requirements of </w:t>
      </w:r>
      <w:r w:rsidRPr="009C65BA">
        <w:t>two major regulatory bodies and summarized as follows:</w:t>
      </w:r>
    </w:p>
    <w:p w14:paraId="11A53B08" w14:textId="4E164BB0" w:rsidR="007356A6" w:rsidRPr="009C65BA" w:rsidRDefault="007356A6" w:rsidP="007356A6">
      <w:pPr>
        <w:pStyle w:val="TH"/>
      </w:pPr>
      <w:r>
        <w:t xml:space="preserve">Table A.1-1: </w:t>
      </w:r>
      <w:r w:rsidRPr="007356A6">
        <w:t>Accuracy requirements</w:t>
      </w:r>
      <w:r>
        <w:t xml:space="preserve"> for emergency calls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8111"/>
      </w:tblGrid>
      <w:tr w:rsidR="002C67FD" w:rsidRPr="009C65BA" w14:paraId="08AE1CE6" w14:textId="77777777" w:rsidTr="0067043C">
        <w:tc>
          <w:tcPr>
            <w:tcW w:w="1186" w:type="dxa"/>
            <w:shd w:val="clear" w:color="auto" w:fill="auto"/>
          </w:tcPr>
          <w:p w14:paraId="18624744" w14:textId="77777777" w:rsidR="002C67FD" w:rsidRPr="009C65BA" w:rsidRDefault="002C67FD" w:rsidP="008F6AB2">
            <w:pPr>
              <w:pStyle w:val="TAH"/>
            </w:pPr>
            <w:r w:rsidRPr="009C65BA">
              <w:t>Regulatory body</w:t>
            </w:r>
          </w:p>
        </w:tc>
        <w:tc>
          <w:tcPr>
            <w:tcW w:w="8111" w:type="dxa"/>
            <w:shd w:val="clear" w:color="auto" w:fill="auto"/>
          </w:tcPr>
          <w:p w14:paraId="0D54C8F5" w14:textId="77777777" w:rsidR="002C67FD" w:rsidRPr="009C65BA" w:rsidRDefault="002C67FD" w:rsidP="008F6AB2">
            <w:pPr>
              <w:pStyle w:val="TAH"/>
            </w:pPr>
            <w:r w:rsidRPr="009C65BA">
              <w:t>Accuracy requirements</w:t>
            </w:r>
          </w:p>
        </w:tc>
      </w:tr>
      <w:tr w:rsidR="002C67FD" w:rsidRPr="009C65BA" w14:paraId="6E15D267" w14:textId="77777777" w:rsidTr="0067043C">
        <w:tc>
          <w:tcPr>
            <w:tcW w:w="1186" w:type="dxa"/>
            <w:shd w:val="clear" w:color="auto" w:fill="auto"/>
          </w:tcPr>
          <w:p w14:paraId="1A975862" w14:textId="77777777" w:rsidR="002C67FD" w:rsidRPr="009C65BA" w:rsidRDefault="002C67FD" w:rsidP="008F6AB2">
            <w:pPr>
              <w:pStyle w:val="TAL"/>
            </w:pPr>
            <w:r w:rsidRPr="009C65BA">
              <w:t>EC [</w:t>
            </w:r>
            <w:r>
              <w:rPr>
                <w:color w:val="000000" w:themeColor="text1"/>
                <w:lang w:eastAsia="fr-FR"/>
              </w:rPr>
              <w:t>6</w:t>
            </w:r>
            <w:r w:rsidRPr="009C65BA">
              <w:t xml:space="preserve">] </w:t>
            </w:r>
          </w:p>
        </w:tc>
        <w:tc>
          <w:tcPr>
            <w:tcW w:w="8111" w:type="dxa"/>
            <w:shd w:val="clear" w:color="auto" w:fill="auto"/>
          </w:tcPr>
          <w:p w14:paraId="3B265D40" w14:textId="2D843F8F" w:rsidR="002C67FD" w:rsidRPr="009C65BA" w:rsidRDefault="00DF3BA8" w:rsidP="008F6AB2">
            <w:pPr>
              <w:pStyle w:val="TAL"/>
              <w:rPr>
                <w:color w:val="1F497D"/>
              </w:rPr>
            </w:pPr>
            <w:r>
              <w:rPr>
                <w:color w:val="1F497D"/>
              </w:rPr>
              <w:t>"</w:t>
            </w:r>
            <w:r w:rsidR="002C67FD" w:rsidRPr="009C65BA">
              <w:rPr>
                <w:color w:val="000000"/>
              </w:rPr>
              <w:t>capability to achieve a horizontal position error of maximum 5 metres in open sky</w:t>
            </w:r>
            <w:r w:rsidR="002C67FD" w:rsidRPr="009C65BA">
              <w:rPr>
                <w:color w:val="1F497D"/>
              </w:rPr>
              <w:t xml:space="preserve"> </w:t>
            </w:r>
            <w:r w:rsidR="002C67FD" w:rsidRPr="009C65BA">
              <w:rPr>
                <w:color w:val="000000"/>
              </w:rPr>
              <w:t>conditions</w:t>
            </w:r>
            <w:r w:rsidR="002C67FD" w:rsidRPr="009C65BA">
              <w:rPr>
                <w:color w:val="000000"/>
                <w:u w:val="single"/>
              </w:rPr>
              <w:t xml:space="preserve"> </w:t>
            </w:r>
            <w:r w:rsidR="002C67FD" w:rsidRPr="009C65BA">
              <w:rPr>
                <w:color w:val="000000"/>
              </w:rPr>
              <w:t>and maximum 25 metres in urban canyon conditions with a confidence level of 95 % (2s coverage factor), where open sky conditions and urban canyon conditions are as defined, respectively, in points 2.1.8 (Figure 1) and 2.2.4.2 (Figure 3) of Annex VI to Delegated Regulation (EU) 2017/793</w:t>
            </w:r>
            <w:r>
              <w:rPr>
                <w:color w:val="1F497D"/>
              </w:rPr>
              <w:t>"</w:t>
            </w:r>
          </w:p>
          <w:p w14:paraId="49D43C30" w14:textId="77777777" w:rsidR="002C67FD" w:rsidRPr="009C65BA" w:rsidRDefault="002C67FD" w:rsidP="008F6AB2">
            <w:pPr>
              <w:pStyle w:val="TAL"/>
              <w:rPr>
                <w:color w:val="1F497D"/>
              </w:rPr>
            </w:pPr>
            <w:r w:rsidRPr="009C65BA">
              <w:rPr>
                <w:color w:val="000000"/>
              </w:rPr>
              <w:t>The European directive is based on an assumption of use of GNSS as positioning technology as specified in ETSI TS 103 625 [</w:t>
            </w:r>
            <w:r>
              <w:rPr>
                <w:color w:val="000000"/>
              </w:rPr>
              <w:t>10</w:t>
            </w:r>
            <w:r w:rsidRPr="009C65BA">
              <w:rPr>
                <w:color w:val="000000"/>
              </w:rPr>
              <w:t>].</w:t>
            </w:r>
          </w:p>
        </w:tc>
      </w:tr>
      <w:tr w:rsidR="002C67FD" w:rsidRPr="009C65BA" w14:paraId="3D965B92" w14:textId="77777777" w:rsidTr="0067043C">
        <w:tc>
          <w:tcPr>
            <w:tcW w:w="1186" w:type="dxa"/>
            <w:shd w:val="clear" w:color="auto" w:fill="auto"/>
          </w:tcPr>
          <w:p w14:paraId="5635B8DF" w14:textId="77777777" w:rsidR="002C67FD" w:rsidRPr="009C65BA" w:rsidRDefault="002C67FD" w:rsidP="008F6AB2">
            <w:pPr>
              <w:pStyle w:val="TAL"/>
            </w:pPr>
            <w:r w:rsidRPr="009C65BA">
              <w:t>FCC [</w:t>
            </w:r>
            <w:r>
              <w:rPr>
                <w:color w:val="000000" w:themeColor="text1"/>
                <w:lang w:eastAsia="fr-FR"/>
              </w:rPr>
              <w:t>7</w:t>
            </w:r>
            <w:r w:rsidRPr="009C65BA">
              <w:t>]</w:t>
            </w:r>
          </w:p>
        </w:tc>
        <w:tc>
          <w:tcPr>
            <w:tcW w:w="8111" w:type="dxa"/>
            <w:shd w:val="clear" w:color="auto" w:fill="auto"/>
          </w:tcPr>
          <w:p w14:paraId="66021BCD" w14:textId="77777777" w:rsidR="002C67FD" w:rsidRPr="009C65BA" w:rsidRDefault="002C67FD" w:rsidP="008F6AB2">
            <w:pPr>
              <w:pStyle w:val="TAL"/>
            </w:pPr>
            <w:r w:rsidRPr="009C65BA">
              <w:t xml:space="preserve">In 2020, the FCC specifies a 50-meter horizontal accuracy or provide a dispatchable location for 70 percent of all wireless 911 calls, which increases to 80 percent of all calls in 2021. </w:t>
            </w:r>
          </w:p>
          <w:p w14:paraId="79F16AAD" w14:textId="77777777" w:rsidR="002C67FD" w:rsidRPr="009C65BA" w:rsidRDefault="002C67FD" w:rsidP="008F6AB2">
            <w:pPr>
              <w:pStyle w:val="TAL"/>
            </w:pPr>
            <w:r w:rsidRPr="009C65BA">
              <w:t>From 2021 onwards, an additional requirement to achieve an accuracy with ±3m is applies in addition.</w:t>
            </w:r>
          </w:p>
        </w:tc>
      </w:tr>
    </w:tbl>
    <w:p w14:paraId="4C43B918" w14:textId="77777777" w:rsidR="002C67FD" w:rsidRPr="009C65BA" w:rsidRDefault="002C67FD" w:rsidP="002C67FD">
      <w:pPr>
        <w:rPr>
          <w:lang w:eastAsia="zh-CN"/>
        </w:rPr>
      </w:pPr>
    </w:p>
    <w:p w14:paraId="495B8406" w14:textId="77777777" w:rsidR="002C67FD" w:rsidRPr="009C65BA" w:rsidRDefault="002C67FD" w:rsidP="002C67FD">
      <w:pPr>
        <w:jc w:val="both"/>
        <w:rPr>
          <w:i/>
          <w:u w:val="single"/>
        </w:rPr>
      </w:pPr>
      <w:r w:rsidRPr="009C65BA">
        <w:rPr>
          <w:i/>
          <w:u w:val="single"/>
        </w:rPr>
        <w:t>Reliability</w:t>
      </w:r>
    </w:p>
    <w:p w14:paraId="56E4C793" w14:textId="69B00506" w:rsidR="002C67FD" w:rsidRPr="009C65BA" w:rsidRDefault="002C67FD" w:rsidP="002C67FD">
      <w:pPr>
        <w:jc w:val="both"/>
        <w:rPr>
          <w:lang w:eastAsia="zh-CN"/>
        </w:rPr>
      </w:pPr>
      <w:r w:rsidRPr="009C65BA">
        <w:rPr>
          <w:lang w:eastAsia="zh-CN"/>
        </w:rPr>
        <w:t xml:space="preserve">In this case, the mobile network operator may be liable for the provision of a </w:t>
      </w:r>
      <w:r w:rsidR="00DF3BA8">
        <w:rPr>
          <w:lang w:eastAsia="zh-CN"/>
        </w:rPr>
        <w:t>"</w:t>
      </w:r>
      <w:r w:rsidRPr="009C65BA">
        <w:rPr>
          <w:lang w:eastAsia="zh-CN"/>
        </w:rPr>
        <w:t>reliable</w:t>
      </w:r>
      <w:r w:rsidR="00DF3BA8">
        <w:rPr>
          <w:lang w:eastAsia="zh-CN"/>
        </w:rPr>
        <w:t>"</w:t>
      </w:r>
      <w:r w:rsidRPr="009C65BA">
        <w:rPr>
          <w:lang w:eastAsia="zh-CN"/>
        </w:rPr>
        <w:t xml:space="preserve"> UE location (either network verified or network provided) that will be the basis to the organisation of personal assistance or rescue.</w:t>
      </w:r>
    </w:p>
    <w:p w14:paraId="3ED28B43" w14:textId="77777777" w:rsidR="002C67FD" w:rsidRPr="009C65BA" w:rsidRDefault="002C67FD" w:rsidP="002C67FD">
      <w:pPr>
        <w:jc w:val="both"/>
        <w:rPr>
          <w:i/>
          <w:u w:val="single"/>
        </w:rPr>
      </w:pPr>
      <w:r w:rsidRPr="009C65BA">
        <w:rPr>
          <w:i/>
          <w:u w:val="single"/>
        </w:rPr>
        <w:t>Latency</w:t>
      </w:r>
    </w:p>
    <w:p w14:paraId="2E356C9F" w14:textId="77777777" w:rsidR="002C67FD" w:rsidRPr="009C65BA" w:rsidRDefault="002C67FD" w:rsidP="002C67FD">
      <w:pPr>
        <w:jc w:val="both"/>
      </w:pPr>
      <w:r w:rsidRPr="009C65BA">
        <w:t>The delay to determine the UE location should be minimised to ensure timely assistance or rescue,</w:t>
      </w:r>
    </w:p>
    <w:p w14:paraId="5294DD16" w14:textId="77777777" w:rsidR="002C67FD" w:rsidRPr="009C65BA" w:rsidRDefault="002C67FD" w:rsidP="002C67FD">
      <w:pPr>
        <w:rPr>
          <w:lang w:eastAsia="zh-CN"/>
        </w:rPr>
      </w:pPr>
      <w:r w:rsidRPr="009C65BA">
        <w:t xml:space="preserve">While a typical call set-up is less than a second, the delay for UE location determination should not impact significantly this communication set-up time. </w:t>
      </w:r>
    </w:p>
    <w:p w14:paraId="792D950B" w14:textId="17E430D1" w:rsidR="002C67FD" w:rsidRPr="009C65BA" w:rsidRDefault="0090780E" w:rsidP="002C67FD">
      <w:pPr>
        <w:pStyle w:val="Heading2"/>
      </w:pPr>
      <w:bookmarkStart w:id="40" w:name="_Toc105678677"/>
      <w:r>
        <w:t>A</w:t>
      </w:r>
      <w:r w:rsidR="002C67FD" w:rsidRPr="009C65BA">
        <w:t>.2</w:t>
      </w:r>
      <w:r w:rsidR="002C67FD">
        <w:tab/>
      </w:r>
      <w:r w:rsidR="002C67FD" w:rsidRPr="009C65BA">
        <w:t>Lawful intercept (LI)</w:t>
      </w:r>
      <w:bookmarkEnd w:id="40"/>
    </w:p>
    <w:p w14:paraId="64BBC9BE" w14:textId="77777777" w:rsidR="002C67FD" w:rsidRPr="009C65BA" w:rsidRDefault="002C67FD" w:rsidP="002C67FD">
      <w:pPr>
        <w:jc w:val="both"/>
        <w:rPr>
          <w:lang w:eastAsia="zh-CN"/>
        </w:rPr>
      </w:pPr>
      <w:r w:rsidRPr="009C65BA">
        <w:rPr>
          <w:lang w:eastAsia="zh-CN"/>
        </w:rPr>
        <w:t>As a legally sanctioned official access to private communications, Lawful Interception (LI) is a security process in which a service provider or network operator collects and provides law enforcement officials with intercepted communications of private individuals or organizations.</w:t>
      </w:r>
    </w:p>
    <w:p w14:paraId="13377CE1" w14:textId="77777777" w:rsidR="002C67FD" w:rsidRPr="009C65BA" w:rsidRDefault="002C67FD" w:rsidP="002C67FD">
      <w:pPr>
        <w:jc w:val="both"/>
        <w:rPr>
          <w:lang w:eastAsia="zh-CN"/>
        </w:rPr>
      </w:pPr>
      <w:r w:rsidRPr="009C65BA">
        <w:rPr>
          <w:lang w:eastAsia="zh-CN"/>
        </w:rPr>
        <w:t>LI implementation is required for example by the European Council Resolution from 1995 [</w:t>
      </w:r>
      <w:r>
        <w:rPr>
          <w:lang w:eastAsia="zh-CN"/>
        </w:rPr>
        <w:t>12</w:t>
      </w:r>
      <w:r w:rsidRPr="009C65BA">
        <w:rPr>
          <w:lang w:eastAsia="zh-CN"/>
        </w:rPr>
        <w:t>] which allows for LI to prevent crime, including fraud and terrorism.</w:t>
      </w:r>
    </w:p>
    <w:p w14:paraId="72EA0861" w14:textId="77777777" w:rsidR="002C67FD" w:rsidRPr="009C65BA" w:rsidRDefault="002C67FD" w:rsidP="002C67FD">
      <w:pPr>
        <w:jc w:val="both"/>
        <w:rPr>
          <w:i/>
          <w:u w:val="single"/>
        </w:rPr>
      </w:pPr>
      <w:r w:rsidRPr="009C65BA">
        <w:rPr>
          <w:i/>
          <w:u w:val="single"/>
        </w:rPr>
        <w:t>Accuracy</w:t>
      </w:r>
    </w:p>
    <w:p w14:paraId="17505F16" w14:textId="26625C9B" w:rsidR="002C67FD" w:rsidRPr="009C65BA" w:rsidRDefault="002C67FD" w:rsidP="002C67FD">
      <w:pPr>
        <w:jc w:val="both"/>
        <w:rPr>
          <w:lang w:eastAsia="zh-CN"/>
        </w:rPr>
      </w:pPr>
      <w:r w:rsidRPr="009C65BA">
        <w:rPr>
          <w:lang w:eastAsia="zh-CN"/>
        </w:rPr>
        <w:t xml:space="preserve">For lawful intercept, SA3-LI recommends in </w:t>
      </w:r>
      <w:r>
        <w:rPr>
          <w:lang w:eastAsia="zh-CN"/>
        </w:rPr>
        <w:t>[4]</w:t>
      </w:r>
      <w:r w:rsidRPr="009C65BA">
        <w:rPr>
          <w:lang w:eastAsia="zh-CN"/>
        </w:rPr>
        <w:t xml:space="preserve"> that </w:t>
      </w:r>
      <w:r w:rsidR="00DF3BA8">
        <w:rPr>
          <w:lang w:eastAsia="zh-CN"/>
        </w:rPr>
        <w:t>"</w:t>
      </w:r>
      <w:r w:rsidRPr="009C65BA">
        <w:rPr>
          <w:i/>
          <w:lang w:eastAsia="zh-CN"/>
        </w:rPr>
        <w:t>The logical location shall unambiguously map to the geographical area of the UE physical location. Granularity of such geographical areas needs to be able to provide network location accuracy comparable with terrestrial networks.</w:t>
      </w:r>
      <w:r w:rsidR="00DF3BA8">
        <w:rPr>
          <w:lang w:eastAsia="zh-CN"/>
        </w:rPr>
        <w:t>"</w:t>
      </w:r>
    </w:p>
    <w:p w14:paraId="015C8D90" w14:textId="77777777" w:rsidR="002C67FD" w:rsidRPr="009C65BA" w:rsidRDefault="002C67FD" w:rsidP="002C67FD">
      <w:pPr>
        <w:jc w:val="both"/>
        <w:rPr>
          <w:lang w:eastAsia="zh-CN"/>
        </w:rPr>
      </w:pPr>
      <w:r w:rsidRPr="009C65BA">
        <w:rPr>
          <w:lang w:eastAsia="zh-CN"/>
        </w:rPr>
        <w:t xml:space="preserve">Given that for such use cases, the location accuracy in terrestrial networks is mostly based on cell ID, it directly relates to the typical cell size. Hence a </w:t>
      </w:r>
      <w:r>
        <w:rPr>
          <w:lang w:eastAsia="zh-CN"/>
        </w:rPr>
        <w:t>macro cell size</w:t>
      </w:r>
      <w:r w:rsidRPr="009C65BA">
        <w:rPr>
          <w:lang w:eastAsia="zh-CN"/>
        </w:rPr>
        <w:t xml:space="preserve"> granularity (accepted granularity by SA3-LI) should be sufficient to detect country border crossings.</w:t>
      </w:r>
    </w:p>
    <w:p w14:paraId="56AF7420" w14:textId="77777777" w:rsidR="002C67FD" w:rsidRPr="009C65BA" w:rsidRDefault="002C67FD" w:rsidP="002C67FD">
      <w:pPr>
        <w:jc w:val="both"/>
        <w:rPr>
          <w:lang w:eastAsia="zh-CN"/>
        </w:rPr>
      </w:pPr>
    </w:p>
    <w:p w14:paraId="2406CCEA" w14:textId="77777777" w:rsidR="002C67FD" w:rsidRPr="009C65BA" w:rsidRDefault="002C67FD" w:rsidP="002C67FD">
      <w:pPr>
        <w:jc w:val="both"/>
        <w:rPr>
          <w:i/>
          <w:u w:val="single"/>
        </w:rPr>
      </w:pPr>
      <w:r w:rsidRPr="009C65BA">
        <w:rPr>
          <w:i/>
          <w:u w:val="single"/>
        </w:rPr>
        <w:t>Reliability</w:t>
      </w:r>
    </w:p>
    <w:p w14:paraId="33EFF16B" w14:textId="36660DD3" w:rsidR="002C67FD" w:rsidRPr="009C65BA" w:rsidRDefault="002C67FD" w:rsidP="002C67FD">
      <w:pPr>
        <w:jc w:val="both"/>
        <w:rPr>
          <w:lang w:eastAsia="zh-CN"/>
        </w:rPr>
      </w:pPr>
      <w:r w:rsidRPr="009C65BA">
        <w:rPr>
          <w:lang w:eastAsia="zh-CN"/>
        </w:rPr>
        <w:t xml:space="preserve">In this case, Law enforcement applies, and therefore the mobile network operator shall be able to provide a </w:t>
      </w:r>
      <w:r w:rsidR="00DF3BA8">
        <w:rPr>
          <w:lang w:eastAsia="zh-CN"/>
        </w:rPr>
        <w:t>"</w:t>
      </w:r>
      <w:r w:rsidRPr="009C65BA">
        <w:rPr>
          <w:lang w:eastAsia="zh-CN"/>
        </w:rPr>
        <w:t>reliable</w:t>
      </w:r>
      <w:r w:rsidR="00DF3BA8">
        <w:rPr>
          <w:lang w:eastAsia="zh-CN"/>
        </w:rPr>
        <w:t>"</w:t>
      </w:r>
      <w:r w:rsidRPr="009C65BA">
        <w:rPr>
          <w:lang w:eastAsia="zh-CN"/>
        </w:rPr>
        <w:t xml:space="preserve"> UE location (either network verified or network provided).</w:t>
      </w:r>
    </w:p>
    <w:p w14:paraId="170D697E" w14:textId="0A858C6C" w:rsidR="002C67FD" w:rsidRPr="009C65BA" w:rsidRDefault="002C67FD" w:rsidP="002C67FD">
      <w:pPr>
        <w:jc w:val="both"/>
        <w:rPr>
          <w:lang w:eastAsia="zh-CN"/>
        </w:rPr>
      </w:pPr>
      <w:r w:rsidRPr="009C65BA">
        <w:rPr>
          <w:lang w:eastAsia="zh-CN"/>
        </w:rPr>
        <w:t xml:space="preserve">In </w:t>
      </w:r>
      <w:r w:rsidR="008F6AB2" w:rsidRPr="009C65BA">
        <w:t>S3i210282</w:t>
      </w:r>
      <w:r w:rsidR="008F6AB2">
        <w:t xml:space="preserve"> </w:t>
      </w:r>
      <w:r w:rsidRPr="009C65BA">
        <w:t>[</w:t>
      </w:r>
      <w:r>
        <w:rPr>
          <w:color w:val="000000" w:themeColor="text1"/>
          <w:lang w:eastAsia="fr-FR"/>
        </w:rPr>
        <w:t>8</w:t>
      </w:r>
      <w:r w:rsidRPr="009C65BA">
        <w:t>]</w:t>
      </w:r>
      <w:r w:rsidRPr="009C65BA">
        <w:rPr>
          <w:lang w:eastAsia="zh-CN"/>
        </w:rPr>
        <w:t xml:space="preserve">, it is noted that </w:t>
      </w:r>
      <w:r w:rsidR="008F6AB2">
        <w:rPr>
          <w:lang w:eastAsia="zh-CN"/>
        </w:rPr>
        <w:t>"</w:t>
      </w:r>
      <w:r w:rsidRPr="009C65BA">
        <w:rPr>
          <w:i/>
          <w:lang w:eastAsia="zh-CN"/>
        </w:rPr>
        <w:t>any method which relies solely on UE-generated location information is unlikely to be considered reliable for network selection purposes. Therefore, a method such as GNSS/A-GNSS cannot be considered as reliable or trusted unless the information provided by the UE can be verified by the network.</w:t>
      </w:r>
      <w:r w:rsidR="008F6AB2">
        <w:rPr>
          <w:lang w:eastAsia="zh-CN"/>
        </w:rPr>
        <w:t>"</w:t>
      </w:r>
    </w:p>
    <w:p w14:paraId="00D04BDA" w14:textId="77777777" w:rsidR="002C67FD" w:rsidRPr="009C65BA" w:rsidRDefault="002C67FD" w:rsidP="002C67FD">
      <w:pPr>
        <w:jc w:val="both"/>
        <w:rPr>
          <w:i/>
          <w:u w:val="single"/>
        </w:rPr>
      </w:pPr>
      <w:r w:rsidRPr="009C65BA">
        <w:rPr>
          <w:i/>
          <w:u w:val="single"/>
        </w:rPr>
        <w:t>Latency</w:t>
      </w:r>
    </w:p>
    <w:p w14:paraId="51FA9979" w14:textId="77777777" w:rsidR="002C67FD" w:rsidRPr="009C65BA" w:rsidRDefault="002C67FD" w:rsidP="002C67FD">
      <w:pPr>
        <w:jc w:val="both"/>
        <w:rPr>
          <w:lang w:eastAsia="zh-CN"/>
        </w:rPr>
      </w:pPr>
      <w:r w:rsidRPr="009C65BA">
        <w:rPr>
          <w:lang w:eastAsia="zh-CN"/>
        </w:rPr>
        <w:t xml:space="preserve">No regulatory requirement have been identified for this. Despite this, NTN location </w:t>
      </w:r>
      <w:r w:rsidRPr="009C65BA">
        <w:t xml:space="preserve">determination </w:t>
      </w:r>
      <w:r w:rsidRPr="009C65BA">
        <w:rPr>
          <w:lang w:eastAsia="zh-CN"/>
        </w:rPr>
        <w:t>should not significantly impact the LI service as provided by an TN network.</w:t>
      </w:r>
    </w:p>
    <w:p w14:paraId="19EF3683" w14:textId="10576190" w:rsidR="002C67FD" w:rsidRPr="009C65BA" w:rsidRDefault="0090780E" w:rsidP="002C67FD">
      <w:pPr>
        <w:pStyle w:val="Heading2"/>
      </w:pPr>
      <w:bookmarkStart w:id="41" w:name="_Toc105678678"/>
      <w:r>
        <w:t>A</w:t>
      </w:r>
      <w:r w:rsidR="002C67FD" w:rsidRPr="009C65BA">
        <w:t>.3</w:t>
      </w:r>
      <w:r w:rsidR="002C67FD">
        <w:tab/>
      </w:r>
      <w:r w:rsidR="002C67FD" w:rsidRPr="009C65BA">
        <w:t>Public warning Service (PWS)</w:t>
      </w:r>
      <w:bookmarkEnd w:id="41"/>
    </w:p>
    <w:p w14:paraId="090AF0D2" w14:textId="77777777" w:rsidR="002C67FD" w:rsidRPr="009C65BA" w:rsidRDefault="002C67FD" w:rsidP="002C67FD">
      <w:pPr>
        <w:jc w:val="both"/>
        <w:rPr>
          <w:lang w:eastAsia="zh-CN"/>
        </w:rPr>
      </w:pPr>
      <w:r w:rsidRPr="009C65BA">
        <w:rPr>
          <w:lang w:eastAsia="zh-CN"/>
        </w:rPr>
        <w:t>PWS is usually realised (based on country regulator rules) by CellBroadcast, which provides a direct selectivity by cellID (sends the message to all devices registered in a base station) but can reach sector accuracy (each of the antenna emitters in the same cellID) to provide geographical accuracy. E.g. to alert half of the city that is getting an imminent flood bout not the other half which is on a higher positions.</w:t>
      </w:r>
    </w:p>
    <w:p w14:paraId="03C568BB" w14:textId="77777777" w:rsidR="002C67FD" w:rsidRPr="009C65BA" w:rsidRDefault="002C67FD" w:rsidP="002C67FD">
      <w:pPr>
        <w:jc w:val="both"/>
        <w:rPr>
          <w:lang w:eastAsia="zh-CN"/>
        </w:rPr>
      </w:pPr>
      <w:r w:rsidRPr="009C65BA">
        <w:rPr>
          <w:lang w:eastAsia="zh-CN"/>
        </w:rPr>
        <w:t>Alternatively Location-Based SMS may be used, and same selectivity shall be employed. That will rely on reliable location, and at least cellID is expected to be necessary.</w:t>
      </w:r>
    </w:p>
    <w:p w14:paraId="515ADCD9" w14:textId="5C452BCD" w:rsidR="002C67FD" w:rsidRPr="009C65BA" w:rsidRDefault="002C67FD" w:rsidP="002C67FD">
      <w:pPr>
        <w:jc w:val="both"/>
        <w:rPr>
          <w:color w:val="000000"/>
        </w:rPr>
      </w:pPr>
      <w:r w:rsidRPr="009C65BA">
        <w:rPr>
          <w:lang w:eastAsia="zh-CN"/>
        </w:rPr>
        <w:t xml:space="preserve">In its </w:t>
      </w:r>
      <w:r w:rsidR="008F6AB2" w:rsidRPr="009C65BA">
        <w:t>Directive (EU) 2018/1972</w:t>
      </w:r>
      <w:r w:rsidR="008F6AB2">
        <w:t xml:space="preserve"> </w:t>
      </w:r>
      <w:r w:rsidRPr="009C65BA">
        <w:rPr>
          <w:color w:val="000000" w:themeColor="text1"/>
          <w:lang w:eastAsia="fr-FR"/>
        </w:rPr>
        <w:t>[</w:t>
      </w:r>
      <w:r>
        <w:rPr>
          <w:color w:val="000000" w:themeColor="text1"/>
          <w:lang w:eastAsia="fr-FR"/>
        </w:rPr>
        <w:t>11</w:t>
      </w:r>
      <w:r w:rsidRPr="009C65BA">
        <w:rPr>
          <w:color w:val="000000" w:themeColor="text1"/>
          <w:lang w:eastAsia="fr-FR"/>
        </w:rPr>
        <w:t xml:space="preserve">], the European Union states in </w:t>
      </w:r>
      <w:r w:rsidRPr="009C65BA">
        <w:rPr>
          <w:color w:val="000000"/>
          <w:lang w:val="x-none"/>
        </w:rPr>
        <w:t xml:space="preserve">(293) </w:t>
      </w:r>
      <w:r w:rsidRPr="009C65BA">
        <w:rPr>
          <w:color w:val="000000"/>
        </w:rPr>
        <w:t>that</w:t>
      </w:r>
    </w:p>
    <w:p w14:paraId="25D75982" w14:textId="7A278496" w:rsidR="002C67FD" w:rsidRPr="009C65BA" w:rsidRDefault="008F6AB2" w:rsidP="002C67FD">
      <w:pPr>
        <w:jc w:val="both"/>
        <w:rPr>
          <w:lang w:eastAsia="zh-CN"/>
        </w:rPr>
      </w:pPr>
      <w:r>
        <w:rPr>
          <w:lang w:eastAsia="zh-CN"/>
        </w:rPr>
        <w:t>"</w:t>
      </w:r>
      <w:r w:rsidR="002C67FD" w:rsidRPr="009C65BA">
        <w:rPr>
          <w:i/>
          <w:lang w:eastAsia="zh-CN"/>
        </w:rPr>
        <w:t>Diverging national law has developed in relation to the transmission by electronic communications services of public warnings regarding imminent or developing major emergencies and disasters. In order to approximate law in that area, this Directive should therefore provide that, when public warning systems are in place, public warnings should be transmitted by providers of mobile number-based interpersonal communication services to all end-users concerned. The end-users concerned should be considered to be those who are located in the geographic areas potentially being affected by imminent or developing major emergencies and disasters during the warning period, as determined by the competent authorities.</w:t>
      </w:r>
      <w:r>
        <w:rPr>
          <w:lang w:eastAsia="zh-CN"/>
        </w:rPr>
        <w:t>"</w:t>
      </w:r>
    </w:p>
    <w:p w14:paraId="5AC91045" w14:textId="77777777" w:rsidR="002C67FD" w:rsidRPr="009C65BA" w:rsidRDefault="002C67FD" w:rsidP="002C67FD">
      <w:pPr>
        <w:jc w:val="both"/>
        <w:rPr>
          <w:i/>
          <w:u w:val="single"/>
        </w:rPr>
      </w:pPr>
      <w:r w:rsidRPr="009C65BA">
        <w:rPr>
          <w:i/>
          <w:u w:val="single"/>
        </w:rPr>
        <w:t>Accuracy</w:t>
      </w:r>
    </w:p>
    <w:p w14:paraId="6E82191B" w14:textId="77777777" w:rsidR="002C67FD" w:rsidRPr="009C65BA" w:rsidRDefault="002C67FD" w:rsidP="002C67FD">
      <w:pPr>
        <w:jc w:val="both"/>
        <w:rPr>
          <w:lang w:eastAsia="zh-CN"/>
        </w:rPr>
      </w:pPr>
      <w:r w:rsidRPr="009C65BA">
        <w:rPr>
          <w:lang w:eastAsia="zh-CN"/>
        </w:rPr>
        <w:t xml:space="preserve">One can assume that the service should be provided over the targeted area with an equivalent granularity as obtained in terrestrial networks that is cell size related. Hence a </w:t>
      </w:r>
      <w:r>
        <w:rPr>
          <w:lang w:eastAsia="zh-CN"/>
        </w:rPr>
        <w:t>macro cell size</w:t>
      </w:r>
      <w:r w:rsidRPr="009C65BA">
        <w:rPr>
          <w:lang w:eastAsia="zh-CN"/>
        </w:rPr>
        <w:t xml:space="preserve"> granularity should be sufficient.</w:t>
      </w:r>
    </w:p>
    <w:p w14:paraId="6C8225C9" w14:textId="77777777" w:rsidR="002C67FD" w:rsidRPr="009C65BA" w:rsidRDefault="002C67FD" w:rsidP="002C67FD">
      <w:pPr>
        <w:jc w:val="both"/>
        <w:rPr>
          <w:i/>
          <w:u w:val="single"/>
        </w:rPr>
      </w:pPr>
      <w:r w:rsidRPr="009C65BA">
        <w:rPr>
          <w:i/>
          <w:u w:val="single"/>
        </w:rPr>
        <w:t>Reliability</w:t>
      </w:r>
    </w:p>
    <w:p w14:paraId="57F0917F" w14:textId="77777777" w:rsidR="002C67FD" w:rsidRPr="009C65BA" w:rsidRDefault="002C67FD" w:rsidP="002C67FD">
      <w:pPr>
        <w:jc w:val="both"/>
        <w:rPr>
          <w:lang w:eastAsia="zh-CN"/>
        </w:rPr>
      </w:pPr>
      <w:r w:rsidRPr="009C65BA">
        <w:rPr>
          <w:lang w:eastAsia="zh-CN"/>
        </w:rPr>
        <w:t xml:space="preserve">There are no explicit regulatory requirement for this. Despite this, NTN location </w:t>
      </w:r>
      <w:r w:rsidRPr="009C65BA">
        <w:t>determination</w:t>
      </w:r>
      <w:r w:rsidRPr="009C65BA">
        <w:rPr>
          <w:lang w:eastAsia="zh-CN"/>
        </w:rPr>
        <w:t xml:space="preserve"> should follow same reliability requirements as the PWS systems.</w:t>
      </w:r>
    </w:p>
    <w:p w14:paraId="0663E6C6" w14:textId="77777777" w:rsidR="002C67FD" w:rsidRPr="009C65BA" w:rsidRDefault="002C67FD" w:rsidP="002C67FD">
      <w:pPr>
        <w:jc w:val="both"/>
        <w:rPr>
          <w:i/>
          <w:u w:val="single"/>
        </w:rPr>
      </w:pPr>
      <w:r w:rsidRPr="009C65BA">
        <w:rPr>
          <w:i/>
          <w:u w:val="single"/>
        </w:rPr>
        <w:t>Latency</w:t>
      </w:r>
    </w:p>
    <w:p w14:paraId="4198E829" w14:textId="77777777" w:rsidR="002C67FD" w:rsidRPr="009C65BA" w:rsidRDefault="002C67FD" w:rsidP="002C67FD">
      <w:pPr>
        <w:jc w:val="both"/>
        <w:rPr>
          <w:lang w:eastAsia="zh-CN"/>
        </w:rPr>
      </w:pPr>
      <w:r w:rsidRPr="009C65BA">
        <w:rPr>
          <w:lang w:eastAsia="zh-CN"/>
        </w:rPr>
        <w:t xml:space="preserve">No regulatory requirement have been identified for this. Despite this, NTN location </w:t>
      </w:r>
      <w:r w:rsidRPr="009C65BA">
        <w:t xml:space="preserve">determination </w:t>
      </w:r>
      <w:r w:rsidRPr="009C65BA">
        <w:rPr>
          <w:lang w:eastAsia="zh-CN"/>
        </w:rPr>
        <w:t>should not impact significantly the PWS service as provided by an TN network.</w:t>
      </w:r>
    </w:p>
    <w:p w14:paraId="3F83C72F" w14:textId="0B1142D4" w:rsidR="002C67FD" w:rsidRPr="009C65BA" w:rsidRDefault="0090780E" w:rsidP="002C67FD">
      <w:pPr>
        <w:pStyle w:val="Heading2"/>
      </w:pPr>
      <w:bookmarkStart w:id="42" w:name="_Toc105678679"/>
      <w:r>
        <w:t>A</w:t>
      </w:r>
      <w:r w:rsidR="002C67FD" w:rsidRPr="009C65BA">
        <w:t>.4</w:t>
      </w:r>
      <w:r w:rsidR="002C67FD">
        <w:tab/>
      </w:r>
      <w:r w:rsidR="002C67FD" w:rsidRPr="009C65BA">
        <w:t>Charging and Tariff notifications</w:t>
      </w:r>
      <w:bookmarkEnd w:id="42"/>
    </w:p>
    <w:p w14:paraId="3D7D3070" w14:textId="77777777" w:rsidR="002C67FD" w:rsidRPr="009C65BA" w:rsidRDefault="002C67FD" w:rsidP="002C67FD">
      <w:pPr>
        <w:jc w:val="both"/>
      </w:pPr>
      <w:r w:rsidRPr="009C65BA">
        <w:t>Tariff refer to the set of parameters defining the applied charge for the use of a particular bearer /session / service.</w:t>
      </w:r>
    </w:p>
    <w:p w14:paraId="5F01D2D5" w14:textId="77777777" w:rsidR="002C67FD" w:rsidRPr="009C65BA" w:rsidRDefault="002C67FD" w:rsidP="002C67FD">
      <w:pPr>
        <w:jc w:val="both"/>
        <w:rPr>
          <w:i/>
          <w:u w:val="single"/>
        </w:rPr>
      </w:pPr>
      <w:r w:rsidRPr="009C65BA">
        <w:rPr>
          <w:i/>
          <w:u w:val="single"/>
        </w:rPr>
        <w:t>Accuracy</w:t>
      </w:r>
    </w:p>
    <w:p w14:paraId="64022C97" w14:textId="77777777" w:rsidR="002C67FD" w:rsidRPr="009C65BA" w:rsidRDefault="002C67FD" w:rsidP="002C67FD">
      <w:pPr>
        <w:jc w:val="both"/>
        <w:rPr>
          <w:lang w:eastAsia="zh-CN"/>
        </w:rPr>
      </w:pPr>
      <w:r w:rsidRPr="009C65BA">
        <w:rPr>
          <w:lang w:eastAsia="zh-CN"/>
        </w:rPr>
        <w:t>As per Public warning service, knowing the context of the UE (country or aeronautical/maritime) is sufficient for charging and tariff notifications.</w:t>
      </w:r>
    </w:p>
    <w:p w14:paraId="42757652" w14:textId="77777777" w:rsidR="002C67FD" w:rsidRPr="009C65BA" w:rsidRDefault="002C67FD" w:rsidP="002C67FD">
      <w:pPr>
        <w:jc w:val="both"/>
        <w:rPr>
          <w:lang w:eastAsia="zh-CN"/>
        </w:rPr>
      </w:pPr>
      <w:r w:rsidRPr="009C65BA">
        <w:rPr>
          <w:lang w:eastAsia="zh-CN"/>
        </w:rPr>
        <w:t xml:space="preserve">One can assume that the accuracy of the UE location service should be similar to the one in typical terrestrial mobile networks that is cell size related. Hence a </w:t>
      </w:r>
      <w:r>
        <w:rPr>
          <w:lang w:eastAsia="zh-CN"/>
        </w:rPr>
        <w:t>macro cell size</w:t>
      </w:r>
      <w:r w:rsidRPr="009C65BA">
        <w:rPr>
          <w:lang w:eastAsia="zh-CN"/>
        </w:rPr>
        <w:t xml:space="preserve"> granularity should be sufficient.</w:t>
      </w:r>
    </w:p>
    <w:p w14:paraId="1E1E172E" w14:textId="77777777" w:rsidR="002C67FD" w:rsidRPr="009C65BA" w:rsidRDefault="002C67FD" w:rsidP="002C67FD">
      <w:pPr>
        <w:jc w:val="both"/>
        <w:rPr>
          <w:i/>
          <w:u w:val="single"/>
        </w:rPr>
      </w:pPr>
      <w:r w:rsidRPr="009C65BA">
        <w:rPr>
          <w:i/>
          <w:u w:val="single"/>
        </w:rPr>
        <w:t>Reliability</w:t>
      </w:r>
    </w:p>
    <w:p w14:paraId="036C0C11" w14:textId="77777777" w:rsidR="002C67FD" w:rsidRPr="009C65BA" w:rsidRDefault="002C67FD" w:rsidP="002C67FD">
      <w:pPr>
        <w:jc w:val="both"/>
        <w:rPr>
          <w:lang w:eastAsia="zh-CN"/>
        </w:rPr>
      </w:pPr>
      <w:r w:rsidRPr="009C65BA">
        <w:rPr>
          <w:lang w:eastAsia="zh-CN"/>
        </w:rPr>
        <w:lastRenderedPageBreak/>
        <w:t>It is the responsibility of the Mobile network operator to ensure via reliable methods that the UE is effectively in a given context for appropriate charging/billing.</w:t>
      </w:r>
    </w:p>
    <w:p w14:paraId="1C424144" w14:textId="77777777" w:rsidR="002C67FD" w:rsidRPr="009C65BA" w:rsidRDefault="002C67FD" w:rsidP="002C67FD">
      <w:pPr>
        <w:jc w:val="both"/>
        <w:rPr>
          <w:i/>
          <w:u w:val="single"/>
        </w:rPr>
      </w:pPr>
      <w:r w:rsidRPr="009C65BA">
        <w:rPr>
          <w:i/>
          <w:u w:val="single"/>
        </w:rPr>
        <w:t>Latency</w:t>
      </w:r>
    </w:p>
    <w:p w14:paraId="34CE7EDB" w14:textId="77777777" w:rsidR="002C67FD" w:rsidRPr="009C65BA" w:rsidRDefault="002C67FD" w:rsidP="002C67FD">
      <w:pPr>
        <w:jc w:val="both"/>
        <w:rPr>
          <w:lang w:eastAsia="zh-CN"/>
        </w:rPr>
      </w:pPr>
      <w:r w:rsidRPr="009C65BA">
        <w:rPr>
          <w:lang w:eastAsia="zh-CN"/>
        </w:rPr>
        <w:t xml:space="preserve">No regulatory requirement have been identified for this. Despite this, NTN location </w:t>
      </w:r>
      <w:r w:rsidRPr="009C65BA">
        <w:t xml:space="preserve">determination </w:t>
      </w:r>
      <w:r w:rsidRPr="009C65BA">
        <w:rPr>
          <w:lang w:eastAsia="zh-CN"/>
        </w:rPr>
        <w:t>should not significantly impact the charging/tariff service as provided by an TN network.</w:t>
      </w:r>
    </w:p>
    <w:p w14:paraId="2E221D62" w14:textId="41ED7637" w:rsidR="002C67FD" w:rsidRPr="009C65BA" w:rsidRDefault="0090780E" w:rsidP="002C67FD">
      <w:pPr>
        <w:pStyle w:val="Heading2"/>
      </w:pPr>
      <w:bookmarkStart w:id="43" w:name="_Toc105678680"/>
      <w:r>
        <w:t>A</w:t>
      </w:r>
      <w:r w:rsidR="002C67FD">
        <w:t>.5</w:t>
      </w:r>
      <w:r w:rsidR="002C67FD">
        <w:tab/>
      </w:r>
      <w:r w:rsidR="002C67FD" w:rsidRPr="009C65BA">
        <w:t>All regulated services</w:t>
      </w:r>
      <w:bookmarkEnd w:id="43"/>
    </w:p>
    <w:p w14:paraId="6DCDFB5C" w14:textId="77777777" w:rsidR="002C67FD" w:rsidRPr="009C65BA" w:rsidRDefault="002C67FD" w:rsidP="002C67FD">
      <w:pPr>
        <w:jc w:val="both"/>
        <w:rPr>
          <w:i/>
          <w:u w:val="single"/>
        </w:rPr>
      </w:pPr>
      <w:r w:rsidRPr="009C65BA">
        <w:rPr>
          <w:i/>
          <w:u w:val="single"/>
        </w:rPr>
        <w:t>Privacy</w:t>
      </w:r>
    </w:p>
    <w:p w14:paraId="1230F28F" w14:textId="52695C1F" w:rsidR="002C67FD" w:rsidRPr="009C65BA" w:rsidRDefault="002C67FD" w:rsidP="002C67FD">
      <w:pPr>
        <w:jc w:val="both"/>
        <w:rPr>
          <w:u w:val="single"/>
        </w:rPr>
      </w:pPr>
      <w:r w:rsidRPr="009C65BA">
        <w:t>In [</w:t>
      </w:r>
      <w:r>
        <w:t>13</w:t>
      </w:r>
      <w:r w:rsidRPr="009C65BA">
        <w:t xml:space="preserve">], it is stated in article (71) that </w:t>
      </w:r>
      <w:r w:rsidR="00DF3BA8">
        <w:t>"</w:t>
      </w:r>
      <w:r w:rsidRPr="009C65BA">
        <w:rPr>
          <w:i/>
        </w:rPr>
        <w:t xml:space="preserve">The data subject should have the right not to be subject to a decision, which may include a measure, evaluating personal aspects relating to him or her which is based solely on automated processing and which produces legal effects concerning him or her or similarly significantly affects him or her, such as automatic refusal of an online credit application or e-recruiting practices without any human intervention. Such processing includes </w:t>
      </w:r>
      <w:r w:rsidR="00DF3BA8">
        <w:rPr>
          <w:i/>
        </w:rPr>
        <w:t>'</w:t>
      </w:r>
      <w:r w:rsidRPr="009C65BA">
        <w:rPr>
          <w:i/>
        </w:rPr>
        <w:t>profiling</w:t>
      </w:r>
      <w:r w:rsidR="00DF3BA8">
        <w:rPr>
          <w:i/>
        </w:rPr>
        <w:t>'</w:t>
      </w:r>
      <w:r w:rsidRPr="009C65BA">
        <w:rPr>
          <w:i/>
        </w:rPr>
        <w:t xml:space="preserve"> that consists of any form of automated processing of personal data evaluating the personal aspects relating to a natural person, in particular to analyse or predict aspects concerning the data subject's performance at work, economic situation, health, personal preferences or interests, reliability or behaviour, location or movements, where it produces legal effects concerning him or her or similarly significantly affects him or her. </w:t>
      </w:r>
      <w:r w:rsidR="00DF3BA8">
        <w:t>"</w:t>
      </w:r>
    </w:p>
    <w:p w14:paraId="7AD60E6B" w14:textId="77777777" w:rsidR="002C67FD" w:rsidRPr="009C65BA" w:rsidRDefault="002C67FD" w:rsidP="002C67FD">
      <w:pPr>
        <w:jc w:val="both"/>
        <w:rPr>
          <w:lang w:eastAsia="zh-CN"/>
        </w:rPr>
      </w:pPr>
      <w:r w:rsidRPr="009C65BA">
        <w:rPr>
          <w:lang w:eastAsia="zh-CN"/>
        </w:rPr>
        <w:t>Therefore the UE location shall be protected to preserve the privacy of the users.</w:t>
      </w:r>
    </w:p>
    <w:p w14:paraId="00F4211A" w14:textId="3066DB0B" w:rsidR="002C67FD" w:rsidRPr="009C65BA" w:rsidRDefault="002C67FD" w:rsidP="002C67FD">
      <w:pPr>
        <w:jc w:val="both"/>
      </w:pPr>
      <w:r w:rsidRPr="009C65BA">
        <w:t>In [</w:t>
      </w:r>
      <w:r>
        <w:t>13</w:t>
      </w:r>
      <w:r w:rsidRPr="009C65BA">
        <w:t xml:space="preserve">], it is further stated in article (71) that </w:t>
      </w:r>
      <w:r w:rsidR="00DD07C4">
        <w:t>"</w:t>
      </w:r>
      <w:r w:rsidRPr="009C65BA">
        <w:rPr>
          <w:i/>
        </w:rPr>
        <w:t>However, decision-making based on such processing, including profiling, should be allowed where expressly authorised by Union or Member State law to which the controller is subject, including for fraud and tax-evasion monitoring and prevention purposes conducted in accordance with the regulations, standards and recommendations of Union institutions or national oversight bodies and to ensure the security and reliability of a service provided by the controller, or necessary for the entering or performance of a contract between the data subject and a controller, or when the data subject has given his or her explicit consent.</w:t>
      </w:r>
      <w:r w:rsidR="00DD07C4">
        <w:t>"</w:t>
      </w:r>
    </w:p>
    <w:p w14:paraId="30A68A3C" w14:textId="77777777" w:rsidR="002C67FD" w:rsidRPr="009C65BA" w:rsidRDefault="002C67FD" w:rsidP="002C67FD">
      <w:pPr>
        <w:jc w:val="both"/>
      </w:pPr>
      <w:r w:rsidRPr="009C65BA">
        <w:t>Therefore, the user location can be processed if it is to comply with regulations for example in order to provide safety to the citizen (emergency calls, public warning services), to prevent crimes (Lawful intercept) or frauds (Charging and Tariff notifications).</w:t>
      </w:r>
    </w:p>
    <w:p w14:paraId="5CA5E6C2" w14:textId="4FC07CC7" w:rsidR="00080512" w:rsidRPr="004D3578" w:rsidRDefault="00080512" w:rsidP="00185E87">
      <w:pPr>
        <w:pStyle w:val="Heading8"/>
      </w:pPr>
      <w:bookmarkStart w:id="44" w:name="_Toc105678681"/>
      <w:r w:rsidRPr="004D3578">
        <w:t xml:space="preserve">Annex </w:t>
      </w:r>
      <w:r w:rsidR="00DD07C4">
        <w:t>B</w:t>
      </w:r>
      <w:r w:rsidRPr="004D3578">
        <w:t xml:space="preserve"> (informative):</w:t>
      </w:r>
      <w:r w:rsidRPr="004D3578">
        <w:br/>
        <w:t>Change history</w:t>
      </w:r>
      <w:bookmarkEnd w:id="44"/>
    </w:p>
    <w:p w14:paraId="6BB9ECA0" w14:textId="146184AB" w:rsidR="0049751D" w:rsidRPr="00DD07C4" w:rsidRDefault="0049751D" w:rsidP="003C3971">
      <w:pPr>
        <w:pStyle w:val="Guidance"/>
        <w:rPr>
          <w:color w:val="auto"/>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45" w:name="historyclause"/>
            <w:bookmarkEnd w:id="45"/>
            <w:r w:rsidRPr="00235394">
              <w:t>Change history</w:t>
            </w:r>
          </w:p>
        </w:tc>
      </w:tr>
      <w:tr w:rsidR="003C3971" w:rsidRPr="00315B85" w14:paraId="188BB8D6" w14:textId="77777777" w:rsidTr="00315B85">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315B85">
        <w:tc>
          <w:tcPr>
            <w:tcW w:w="800" w:type="dxa"/>
            <w:shd w:val="solid" w:color="FFFFFF" w:fill="auto"/>
          </w:tcPr>
          <w:p w14:paraId="433EA83C" w14:textId="29E03EDB" w:rsidR="003C3971" w:rsidRPr="00315B85" w:rsidRDefault="00CA742F" w:rsidP="00315B85">
            <w:pPr>
              <w:pStyle w:val="TAC"/>
              <w:rPr>
                <w:sz w:val="16"/>
                <w:szCs w:val="16"/>
              </w:rPr>
            </w:pPr>
            <w:r>
              <w:rPr>
                <w:sz w:val="16"/>
                <w:szCs w:val="16"/>
              </w:rPr>
              <w:t>06-2022</w:t>
            </w:r>
          </w:p>
        </w:tc>
        <w:tc>
          <w:tcPr>
            <w:tcW w:w="901" w:type="dxa"/>
            <w:shd w:val="solid" w:color="FFFFFF" w:fill="auto"/>
          </w:tcPr>
          <w:p w14:paraId="55C8CC01" w14:textId="06D0CF7F" w:rsidR="003C3971" w:rsidRPr="00315B85" w:rsidRDefault="00CA742F" w:rsidP="00315B85">
            <w:pPr>
              <w:pStyle w:val="TAC"/>
              <w:rPr>
                <w:sz w:val="16"/>
                <w:szCs w:val="16"/>
              </w:rPr>
            </w:pPr>
            <w:r>
              <w:rPr>
                <w:sz w:val="16"/>
                <w:szCs w:val="16"/>
              </w:rPr>
              <w:t>R</w:t>
            </w:r>
            <w:r w:rsidR="00DD07C4">
              <w:rPr>
                <w:sz w:val="16"/>
                <w:szCs w:val="16"/>
              </w:rPr>
              <w:t>P-</w:t>
            </w:r>
            <w:r>
              <w:rPr>
                <w:sz w:val="16"/>
                <w:szCs w:val="16"/>
              </w:rPr>
              <w:t>96</w:t>
            </w:r>
          </w:p>
        </w:tc>
        <w:tc>
          <w:tcPr>
            <w:tcW w:w="1134" w:type="dxa"/>
            <w:shd w:val="solid" w:color="FFFFFF" w:fill="auto"/>
          </w:tcPr>
          <w:p w14:paraId="134723C6" w14:textId="332DB800" w:rsidR="003C3971" w:rsidRPr="00315B85" w:rsidRDefault="007A5B43" w:rsidP="00315B85">
            <w:pPr>
              <w:pStyle w:val="TAC"/>
              <w:rPr>
                <w:sz w:val="16"/>
                <w:szCs w:val="16"/>
              </w:rPr>
            </w:pPr>
            <w:r w:rsidRPr="007A5B43">
              <w:rPr>
                <w:sz w:val="16"/>
                <w:szCs w:val="16"/>
              </w:rPr>
              <w:t>RP-2218</w:t>
            </w:r>
            <w:r>
              <w:rPr>
                <w:sz w:val="16"/>
                <w:szCs w:val="16"/>
              </w:rPr>
              <w:t>47</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00EDAFA4" w:rsidR="003C3971" w:rsidRPr="00315B85" w:rsidRDefault="00DD07C4" w:rsidP="00315B85">
            <w:pPr>
              <w:pStyle w:val="TAL"/>
              <w:rPr>
                <w:sz w:val="16"/>
                <w:szCs w:val="16"/>
              </w:rPr>
            </w:pPr>
            <w:r>
              <w:rPr>
                <w:sz w:val="16"/>
                <w:szCs w:val="16"/>
              </w:rPr>
              <w:t>first version of the TR, created at RAN #96</w:t>
            </w:r>
          </w:p>
        </w:tc>
        <w:tc>
          <w:tcPr>
            <w:tcW w:w="708" w:type="dxa"/>
            <w:shd w:val="solid" w:color="FFFFFF" w:fill="auto"/>
          </w:tcPr>
          <w:p w14:paraId="5E97A6B2" w14:textId="508460C0" w:rsidR="003C3971" w:rsidRPr="00315B85" w:rsidRDefault="00DD07C4" w:rsidP="00315B85">
            <w:pPr>
              <w:pStyle w:val="TAC"/>
              <w:rPr>
                <w:sz w:val="16"/>
                <w:szCs w:val="16"/>
              </w:rPr>
            </w:pPr>
            <w:r>
              <w:rPr>
                <w:sz w:val="16"/>
                <w:szCs w:val="16"/>
              </w:rPr>
              <w:t>0.1.0</w:t>
            </w:r>
          </w:p>
        </w:tc>
      </w:tr>
      <w:tr w:rsidR="00DD07C4" w:rsidRPr="00315B85" w14:paraId="614477ED" w14:textId="77777777" w:rsidTr="00315B85">
        <w:tc>
          <w:tcPr>
            <w:tcW w:w="800" w:type="dxa"/>
            <w:shd w:val="solid" w:color="FFFFFF" w:fill="auto"/>
          </w:tcPr>
          <w:p w14:paraId="13D92798" w14:textId="2661074E" w:rsidR="00DD07C4" w:rsidRDefault="00DD07C4" w:rsidP="00315B85">
            <w:pPr>
              <w:pStyle w:val="TAC"/>
              <w:rPr>
                <w:sz w:val="16"/>
                <w:szCs w:val="16"/>
              </w:rPr>
            </w:pPr>
            <w:r>
              <w:rPr>
                <w:sz w:val="16"/>
                <w:szCs w:val="16"/>
              </w:rPr>
              <w:t>06-2022</w:t>
            </w:r>
          </w:p>
        </w:tc>
        <w:tc>
          <w:tcPr>
            <w:tcW w:w="901" w:type="dxa"/>
            <w:shd w:val="solid" w:color="FFFFFF" w:fill="auto"/>
          </w:tcPr>
          <w:p w14:paraId="0CD0A0E7" w14:textId="44B6DDBA" w:rsidR="00DD07C4" w:rsidRDefault="00DD07C4" w:rsidP="00315B85">
            <w:pPr>
              <w:pStyle w:val="TAC"/>
              <w:rPr>
                <w:sz w:val="16"/>
                <w:szCs w:val="16"/>
              </w:rPr>
            </w:pPr>
            <w:r>
              <w:rPr>
                <w:sz w:val="16"/>
                <w:szCs w:val="16"/>
              </w:rPr>
              <w:t>RP-96</w:t>
            </w:r>
          </w:p>
        </w:tc>
        <w:tc>
          <w:tcPr>
            <w:tcW w:w="1134" w:type="dxa"/>
            <w:shd w:val="solid" w:color="FFFFFF" w:fill="auto"/>
          </w:tcPr>
          <w:p w14:paraId="3AB9779D" w14:textId="7E8C9342" w:rsidR="00DD07C4" w:rsidRPr="00315B85" w:rsidRDefault="007A5B43" w:rsidP="00315B85">
            <w:pPr>
              <w:pStyle w:val="TAC"/>
              <w:rPr>
                <w:sz w:val="16"/>
                <w:szCs w:val="16"/>
              </w:rPr>
            </w:pPr>
            <w:r w:rsidRPr="007A5B43">
              <w:rPr>
                <w:sz w:val="16"/>
                <w:szCs w:val="16"/>
              </w:rPr>
              <w:t>RP-2218</w:t>
            </w:r>
            <w:r>
              <w:rPr>
                <w:sz w:val="16"/>
                <w:szCs w:val="16"/>
              </w:rPr>
              <w:t>59</w:t>
            </w:r>
          </w:p>
        </w:tc>
        <w:tc>
          <w:tcPr>
            <w:tcW w:w="567" w:type="dxa"/>
            <w:shd w:val="solid" w:color="FFFFFF" w:fill="auto"/>
          </w:tcPr>
          <w:p w14:paraId="782E96A0" w14:textId="77777777" w:rsidR="00DD07C4" w:rsidRPr="00315B85" w:rsidRDefault="00DD07C4" w:rsidP="00315B85">
            <w:pPr>
              <w:pStyle w:val="TAC"/>
              <w:rPr>
                <w:sz w:val="16"/>
                <w:szCs w:val="16"/>
              </w:rPr>
            </w:pPr>
          </w:p>
        </w:tc>
        <w:tc>
          <w:tcPr>
            <w:tcW w:w="426" w:type="dxa"/>
            <w:shd w:val="solid" w:color="FFFFFF" w:fill="auto"/>
          </w:tcPr>
          <w:p w14:paraId="2E557B1A" w14:textId="77777777" w:rsidR="00DD07C4" w:rsidRPr="00315B85" w:rsidRDefault="00DD07C4" w:rsidP="00315B85">
            <w:pPr>
              <w:pStyle w:val="TAC"/>
              <w:rPr>
                <w:sz w:val="16"/>
                <w:szCs w:val="16"/>
              </w:rPr>
            </w:pPr>
          </w:p>
        </w:tc>
        <w:tc>
          <w:tcPr>
            <w:tcW w:w="425" w:type="dxa"/>
            <w:shd w:val="solid" w:color="FFFFFF" w:fill="auto"/>
          </w:tcPr>
          <w:p w14:paraId="20605B68" w14:textId="77777777" w:rsidR="00DD07C4" w:rsidRPr="00315B85" w:rsidRDefault="00DD07C4" w:rsidP="00315B85">
            <w:pPr>
              <w:pStyle w:val="TAC"/>
              <w:rPr>
                <w:sz w:val="16"/>
                <w:szCs w:val="16"/>
              </w:rPr>
            </w:pPr>
          </w:p>
        </w:tc>
        <w:tc>
          <w:tcPr>
            <w:tcW w:w="4678" w:type="dxa"/>
            <w:shd w:val="solid" w:color="FFFFFF" w:fill="auto"/>
          </w:tcPr>
          <w:p w14:paraId="2B9F58C8" w14:textId="77777777" w:rsidR="00DD07C4" w:rsidRPr="00315B85" w:rsidRDefault="00DD07C4" w:rsidP="00315B85">
            <w:pPr>
              <w:pStyle w:val="TAL"/>
              <w:rPr>
                <w:sz w:val="16"/>
                <w:szCs w:val="16"/>
              </w:rPr>
            </w:pPr>
          </w:p>
        </w:tc>
        <w:tc>
          <w:tcPr>
            <w:tcW w:w="708" w:type="dxa"/>
            <w:shd w:val="solid" w:color="FFFFFF" w:fill="auto"/>
          </w:tcPr>
          <w:p w14:paraId="1B1DCCBF" w14:textId="2EA1A05E" w:rsidR="00DD07C4" w:rsidRPr="00315B85" w:rsidRDefault="00DD07C4" w:rsidP="00315B85">
            <w:pPr>
              <w:pStyle w:val="TAC"/>
              <w:rPr>
                <w:sz w:val="16"/>
                <w:szCs w:val="16"/>
              </w:rPr>
            </w:pPr>
            <w:r>
              <w:rPr>
                <w:sz w:val="16"/>
                <w:szCs w:val="16"/>
              </w:rPr>
              <w:t>0.2.0</w:t>
            </w:r>
          </w:p>
        </w:tc>
      </w:tr>
      <w:tr w:rsidR="00DD07C4" w:rsidRPr="00315B85" w14:paraId="2E93987C" w14:textId="77777777" w:rsidTr="00315B85">
        <w:tc>
          <w:tcPr>
            <w:tcW w:w="800" w:type="dxa"/>
            <w:shd w:val="solid" w:color="FFFFFF" w:fill="auto"/>
          </w:tcPr>
          <w:p w14:paraId="2FDE9D29" w14:textId="30924FCA" w:rsidR="00DD07C4" w:rsidRDefault="00DD07C4" w:rsidP="00315B85">
            <w:pPr>
              <w:pStyle w:val="TAC"/>
              <w:rPr>
                <w:sz w:val="16"/>
                <w:szCs w:val="16"/>
              </w:rPr>
            </w:pPr>
            <w:r>
              <w:rPr>
                <w:sz w:val="16"/>
                <w:szCs w:val="16"/>
              </w:rPr>
              <w:t>06-2022</w:t>
            </w:r>
          </w:p>
        </w:tc>
        <w:tc>
          <w:tcPr>
            <w:tcW w:w="901" w:type="dxa"/>
            <w:shd w:val="solid" w:color="FFFFFF" w:fill="auto"/>
          </w:tcPr>
          <w:p w14:paraId="0A3FEB90" w14:textId="26067F3D" w:rsidR="00DD07C4" w:rsidRDefault="00DD07C4" w:rsidP="00315B85">
            <w:pPr>
              <w:pStyle w:val="TAC"/>
              <w:rPr>
                <w:sz w:val="16"/>
                <w:szCs w:val="16"/>
              </w:rPr>
            </w:pPr>
            <w:r>
              <w:rPr>
                <w:sz w:val="16"/>
                <w:szCs w:val="16"/>
              </w:rPr>
              <w:t>RP-96</w:t>
            </w:r>
          </w:p>
        </w:tc>
        <w:tc>
          <w:tcPr>
            <w:tcW w:w="1134" w:type="dxa"/>
            <w:shd w:val="solid" w:color="FFFFFF" w:fill="auto"/>
          </w:tcPr>
          <w:p w14:paraId="513CB998" w14:textId="585BF756" w:rsidR="00DD07C4" w:rsidRPr="00315B85" w:rsidRDefault="007A5B43" w:rsidP="00315B85">
            <w:pPr>
              <w:pStyle w:val="TAC"/>
              <w:rPr>
                <w:sz w:val="16"/>
                <w:szCs w:val="16"/>
              </w:rPr>
            </w:pPr>
            <w:r w:rsidRPr="007A5B43">
              <w:rPr>
                <w:sz w:val="16"/>
                <w:szCs w:val="16"/>
              </w:rPr>
              <w:t>RP-221860</w:t>
            </w:r>
          </w:p>
        </w:tc>
        <w:tc>
          <w:tcPr>
            <w:tcW w:w="567" w:type="dxa"/>
            <w:shd w:val="solid" w:color="FFFFFF" w:fill="auto"/>
          </w:tcPr>
          <w:p w14:paraId="21A8E499" w14:textId="77777777" w:rsidR="00DD07C4" w:rsidRPr="00315B85" w:rsidRDefault="00DD07C4" w:rsidP="00315B85">
            <w:pPr>
              <w:pStyle w:val="TAC"/>
              <w:rPr>
                <w:sz w:val="16"/>
                <w:szCs w:val="16"/>
              </w:rPr>
            </w:pPr>
          </w:p>
        </w:tc>
        <w:tc>
          <w:tcPr>
            <w:tcW w:w="426" w:type="dxa"/>
            <w:shd w:val="solid" w:color="FFFFFF" w:fill="auto"/>
          </w:tcPr>
          <w:p w14:paraId="67567608" w14:textId="77777777" w:rsidR="00DD07C4" w:rsidRPr="00315B85" w:rsidRDefault="00DD07C4" w:rsidP="00315B85">
            <w:pPr>
              <w:pStyle w:val="TAC"/>
              <w:rPr>
                <w:sz w:val="16"/>
                <w:szCs w:val="16"/>
              </w:rPr>
            </w:pPr>
          </w:p>
        </w:tc>
        <w:tc>
          <w:tcPr>
            <w:tcW w:w="425" w:type="dxa"/>
            <w:shd w:val="solid" w:color="FFFFFF" w:fill="auto"/>
          </w:tcPr>
          <w:p w14:paraId="7AFAF070" w14:textId="77777777" w:rsidR="00DD07C4" w:rsidRPr="00315B85" w:rsidRDefault="00DD07C4" w:rsidP="00315B85">
            <w:pPr>
              <w:pStyle w:val="TAC"/>
              <w:rPr>
                <w:sz w:val="16"/>
                <w:szCs w:val="16"/>
              </w:rPr>
            </w:pPr>
          </w:p>
        </w:tc>
        <w:tc>
          <w:tcPr>
            <w:tcW w:w="4678" w:type="dxa"/>
            <w:shd w:val="solid" w:color="FFFFFF" w:fill="auto"/>
          </w:tcPr>
          <w:p w14:paraId="07E6E93C" w14:textId="77777777" w:rsidR="00DD07C4" w:rsidRPr="00315B85" w:rsidRDefault="00DD07C4" w:rsidP="00315B85">
            <w:pPr>
              <w:pStyle w:val="TAL"/>
              <w:rPr>
                <w:sz w:val="16"/>
                <w:szCs w:val="16"/>
              </w:rPr>
            </w:pPr>
          </w:p>
        </w:tc>
        <w:tc>
          <w:tcPr>
            <w:tcW w:w="708" w:type="dxa"/>
            <w:shd w:val="solid" w:color="FFFFFF" w:fill="auto"/>
          </w:tcPr>
          <w:p w14:paraId="408E4FAE" w14:textId="04F66878" w:rsidR="00DD07C4" w:rsidRPr="00315B85" w:rsidRDefault="00DD07C4" w:rsidP="00315B85">
            <w:pPr>
              <w:pStyle w:val="TAC"/>
              <w:rPr>
                <w:sz w:val="16"/>
                <w:szCs w:val="16"/>
              </w:rPr>
            </w:pPr>
            <w:r>
              <w:rPr>
                <w:sz w:val="16"/>
                <w:szCs w:val="16"/>
              </w:rPr>
              <w:t>0.3.0</w:t>
            </w:r>
          </w:p>
        </w:tc>
      </w:tr>
      <w:tr w:rsidR="00DD07C4" w:rsidRPr="00315B85" w14:paraId="68EBB89D" w14:textId="77777777" w:rsidTr="00315B85">
        <w:tc>
          <w:tcPr>
            <w:tcW w:w="800" w:type="dxa"/>
            <w:shd w:val="solid" w:color="FFFFFF" w:fill="auto"/>
          </w:tcPr>
          <w:p w14:paraId="538EAB8F" w14:textId="7BFA57BE" w:rsidR="00DD07C4" w:rsidRDefault="00DD07C4" w:rsidP="00315B85">
            <w:pPr>
              <w:pStyle w:val="TAC"/>
              <w:rPr>
                <w:sz w:val="16"/>
                <w:szCs w:val="16"/>
              </w:rPr>
            </w:pPr>
            <w:r>
              <w:rPr>
                <w:sz w:val="16"/>
                <w:szCs w:val="16"/>
              </w:rPr>
              <w:t>06-2022</w:t>
            </w:r>
          </w:p>
        </w:tc>
        <w:tc>
          <w:tcPr>
            <w:tcW w:w="901" w:type="dxa"/>
            <w:shd w:val="solid" w:color="FFFFFF" w:fill="auto"/>
          </w:tcPr>
          <w:p w14:paraId="2358631E" w14:textId="412BC0E3" w:rsidR="00DD07C4" w:rsidRDefault="00DD07C4" w:rsidP="00315B85">
            <w:pPr>
              <w:pStyle w:val="TAC"/>
              <w:rPr>
                <w:sz w:val="16"/>
                <w:szCs w:val="16"/>
              </w:rPr>
            </w:pPr>
            <w:r>
              <w:rPr>
                <w:sz w:val="16"/>
                <w:szCs w:val="16"/>
              </w:rPr>
              <w:t>RP-96</w:t>
            </w:r>
          </w:p>
        </w:tc>
        <w:tc>
          <w:tcPr>
            <w:tcW w:w="1134" w:type="dxa"/>
            <w:shd w:val="solid" w:color="FFFFFF" w:fill="auto"/>
          </w:tcPr>
          <w:p w14:paraId="10DF4B65" w14:textId="160178D4" w:rsidR="00DD07C4" w:rsidRPr="00315B85" w:rsidRDefault="007A5B43" w:rsidP="00315B85">
            <w:pPr>
              <w:pStyle w:val="TAC"/>
              <w:rPr>
                <w:sz w:val="16"/>
                <w:szCs w:val="16"/>
              </w:rPr>
            </w:pPr>
            <w:r w:rsidRPr="007A5B43">
              <w:rPr>
                <w:sz w:val="16"/>
                <w:szCs w:val="16"/>
              </w:rPr>
              <w:t>RP-2218</w:t>
            </w:r>
            <w:r>
              <w:rPr>
                <w:sz w:val="16"/>
                <w:szCs w:val="16"/>
              </w:rPr>
              <w:t>75</w:t>
            </w:r>
          </w:p>
        </w:tc>
        <w:tc>
          <w:tcPr>
            <w:tcW w:w="567" w:type="dxa"/>
            <w:shd w:val="solid" w:color="FFFFFF" w:fill="auto"/>
          </w:tcPr>
          <w:p w14:paraId="615C1ED5" w14:textId="77777777" w:rsidR="00DD07C4" w:rsidRPr="00315B85" w:rsidRDefault="00DD07C4" w:rsidP="00315B85">
            <w:pPr>
              <w:pStyle w:val="TAC"/>
              <w:rPr>
                <w:sz w:val="16"/>
                <w:szCs w:val="16"/>
              </w:rPr>
            </w:pPr>
          </w:p>
        </w:tc>
        <w:tc>
          <w:tcPr>
            <w:tcW w:w="426" w:type="dxa"/>
            <w:shd w:val="solid" w:color="FFFFFF" w:fill="auto"/>
          </w:tcPr>
          <w:p w14:paraId="2617B39D" w14:textId="77777777" w:rsidR="00DD07C4" w:rsidRPr="00315B85" w:rsidRDefault="00DD07C4" w:rsidP="00315B85">
            <w:pPr>
              <w:pStyle w:val="TAC"/>
              <w:rPr>
                <w:sz w:val="16"/>
                <w:szCs w:val="16"/>
              </w:rPr>
            </w:pPr>
          </w:p>
        </w:tc>
        <w:tc>
          <w:tcPr>
            <w:tcW w:w="425" w:type="dxa"/>
            <w:shd w:val="solid" w:color="FFFFFF" w:fill="auto"/>
          </w:tcPr>
          <w:p w14:paraId="76524687" w14:textId="77777777" w:rsidR="00DD07C4" w:rsidRPr="00315B85" w:rsidRDefault="00DD07C4" w:rsidP="00315B85">
            <w:pPr>
              <w:pStyle w:val="TAC"/>
              <w:rPr>
                <w:sz w:val="16"/>
                <w:szCs w:val="16"/>
              </w:rPr>
            </w:pPr>
          </w:p>
        </w:tc>
        <w:tc>
          <w:tcPr>
            <w:tcW w:w="4678" w:type="dxa"/>
            <w:shd w:val="solid" w:color="FFFFFF" w:fill="auto"/>
          </w:tcPr>
          <w:p w14:paraId="4D68A799" w14:textId="77904974" w:rsidR="00DD07C4" w:rsidRPr="00315B85" w:rsidRDefault="007A5B43" w:rsidP="00315B85">
            <w:pPr>
              <w:pStyle w:val="TAL"/>
              <w:rPr>
                <w:sz w:val="16"/>
                <w:szCs w:val="16"/>
              </w:rPr>
            </w:pPr>
            <w:r>
              <w:rPr>
                <w:sz w:val="16"/>
                <w:szCs w:val="16"/>
              </w:rPr>
              <w:t>provided for approval to RAN #96</w:t>
            </w:r>
          </w:p>
        </w:tc>
        <w:tc>
          <w:tcPr>
            <w:tcW w:w="708" w:type="dxa"/>
            <w:shd w:val="solid" w:color="FFFFFF" w:fill="auto"/>
          </w:tcPr>
          <w:p w14:paraId="42F26A7B" w14:textId="65CC6CAF" w:rsidR="00DD07C4" w:rsidRPr="00315B85" w:rsidRDefault="00DD07C4" w:rsidP="00315B85">
            <w:pPr>
              <w:pStyle w:val="TAC"/>
              <w:rPr>
                <w:sz w:val="16"/>
                <w:szCs w:val="16"/>
              </w:rPr>
            </w:pPr>
            <w:r>
              <w:rPr>
                <w:sz w:val="16"/>
                <w:szCs w:val="16"/>
              </w:rPr>
              <w:t>1.0.0</w:t>
            </w:r>
          </w:p>
        </w:tc>
      </w:tr>
      <w:tr w:rsidR="001E1154" w:rsidRPr="00315B85" w14:paraId="1AD42FAE" w14:textId="77777777" w:rsidTr="00315B85">
        <w:tc>
          <w:tcPr>
            <w:tcW w:w="800" w:type="dxa"/>
            <w:shd w:val="solid" w:color="FFFFFF" w:fill="auto"/>
          </w:tcPr>
          <w:p w14:paraId="7AAF7EB7" w14:textId="2C3664A1" w:rsidR="001E1154" w:rsidRDefault="001E1154" w:rsidP="00315B85">
            <w:pPr>
              <w:pStyle w:val="TAC"/>
              <w:rPr>
                <w:sz w:val="16"/>
                <w:szCs w:val="16"/>
              </w:rPr>
            </w:pPr>
            <w:r>
              <w:rPr>
                <w:sz w:val="16"/>
                <w:szCs w:val="16"/>
              </w:rPr>
              <w:t>06-</w:t>
            </w:r>
            <w:r w:rsidR="00B867A0">
              <w:rPr>
                <w:sz w:val="16"/>
                <w:szCs w:val="16"/>
              </w:rPr>
              <w:t>20</w:t>
            </w:r>
            <w:r>
              <w:rPr>
                <w:sz w:val="16"/>
                <w:szCs w:val="16"/>
              </w:rPr>
              <w:t>22</w:t>
            </w:r>
          </w:p>
        </w:tc>
        <w:tc>
          <w:tcPr>
            <w:tcW w:w="901" w:type="dxa"/>
            <w:shd w:val="solid" w:color="FFFFFF" w:fill="auto"/>
          </w:tcPr>
          <w:p w14:paraId="399D2280" w14:textId="4907E5C3" w:rsidR="001E1154" w:rsidRDefault="001E1154" w:rsidP="00315B85">
            <w:pPr>
              <w:pStyle w:val="TAC"/>
              <w:rPr>
                <w:sz w:val="16"/>
                <w:szCs w:val="16"/>
              </w:rPr>
            </w:pPr>
            <w:r>
              <w:rPr>
                <w:sz w:val="16"/>
                <w:szCs w:val="16"/>
              </w:rPr>
              <w:t>RP-96</w:t>
            </w:r>
          </w:p>
        </w:tc>
        <w:tc>
          <w:tcPr>
            <w:tcW w:w="1134" w:type="dxa"/>
            <w:shd w:val="solid" w:color="FFFFFF" w:fill="auto"/>
          </w:tcPr>
          <w:p w14:paraId="5C415141" w14:textId="29B7602C" w:rsidR="001E1154" w:rsidRPr="007A5B43" w:rsidRDefault="00185E87" w:rsidP="00315B85">
            <w:pPr>
              <w:pStyle w:val="TAC"/>
              <w:rPr>
                <w:sz w:val="16"/>
                <w:szCs w:val="16"/>
              </w:rPr>
            </w:pPr>
            <w:r>
              <w:rPr>
                <w:sz w:val="16"/>
                <w:szCs w:val="16"/>
              </w:rPr>
              <w:t>-</w:t>
            </w:r>
          </w:p>
        </w:tc>
        <w:tc>
          <w:tcPr>
            <w:tcW w:w="567" w:type="dxa"/>
            <w:shd w:val="solid" w:color="FFFFFF" w:fill="auto"/>
          </w:tcPr>
          <w:p w14:paraId="50D712C3" w14:textId="401771A7" w:rsidR="001E1154" w:rsidRPr="00315B85" w:rsidRDefault="00185E87" w:rsidP="00315B85">
            <w:pPr>
              <w:pStyle w:val="TAC"/>
              <w:rPr>
                <w:sz w:val="16"/>
                <w:szCs w:val="16"/>
              </w:rPr>
            </w:pPr>
            <w:r>
              <w:rPr>
                <w:sz w:val="16"/>
                <w:szCs w:val="16"/>
              </w:rPr>
              <w:t>-</w:t>
            </w:r>
          </w:p>
        </w:tc>
        <w:tc>
          <w:tcPr>
            <w:tcW w:w="426" w:type="dxa"/>
            <w:shd w:val="solid" w:color="FFFFFF" w:fill="auto"/>
          </w:tcPr>
          <w:p w14:paraId="65F7AF1C" w14:textId="235844F1" w:rsidR="001E1154" w:rsidRPr="00315B85" w:rsidRDefault="00185E87" w:rsidP="00315B85">
            <w:pPr>
              <w:pStyle w:val="TAC"/>
              <w:rPr>
                <w:sz w:val="16"/>
                <w:szCs w:val="16"/>
              </w:rPr>
            </w:pPr>
            <w:r>
              <w:rPr>
                <w:sz w:val="16"/>
                <w:szCs w:val="16"/>
              </w:rPr>
              <w:t>-</w:t>
            </w:r>
          </w:p>
        </w:tc>
        <w:tc>
          <w:tcPr>
            <w:tcW w:w="425" w:type="dxa"/>
            <w:shd w:val="solid" w:color="FFFFFF" w:fill="auto"/>
          </w:tcPr>
          <w:p w14:paraId="6A05B111" w14:textId="5DE0370E" w:rsidR="001E1154" w:rsidRPr="00315B85" w:rsidRDefault="00185E87" w:rsidP="00315B85">
            <w:pPr>
              <w:pStyle w:val="TAC"/>
              <w:rPr>
                <w:sz w:val="16"/>
                <w:szCs w:val="16"/>
              </w:rPr>
            </w:pPr>
            <w:r>
              <w:rPr>
                <w:sz w:val="16"/>
                <w:szCs w:val="16"/>
              </w:rPr>
              <w:t>-</w:t>
            </w:r>
          </w:p>
        </w:tc>
        <w:tc>
          <w:tcPr>
            <w:tcW w:w="4678" w:type="dxa"/>
            <w:shd w:val="solid" w:color="FFFFFF" w:fill="auto"/>
          </w:tcPr>
          <w:p w14:paraId="7766C897" w14:textId="47202320" w:rsidR="001E1154" w:rsidRDefault="001E1154" w:rsidP="00315B85">
            <w:pPr>
              <w:pStyle w:val="TAL"/>
              <w:rPr>
                <w:sz w:val="16"/>
                <w:szCs w:val="16"/>
              </w:rPr>
            </w:pPr>
            <w:r>
              <w:rPr>
                <w:sz w:val="16"/>
                <w:szCs w:val="16"/>
              </w:rPr>
              <w:t>approved by RAN #96 and put under change control</w:t>
            </w:r>
          </w:p>
        </w:tc>
        <w:tc>
          <w:tcPr>
            <w:tcW w:w="708" w:type="dxa"/>
            <w:shd w:val="solid" w:color="FFFFFF" w:fill="auto"/>
          </w:tcPr>
          <w:p w14:paraId="3D2A4CE1" w14:textId="593EF34E" w:rsidR="001E1154" w:rsidRDefault="001E1154" w:rsidP="00315B85">
            <w:pPr>
              <w:pStyle w:val="TAC"/>
              <w:rPr>
                <w:sz w:val="16"/>
                <w:szCs w:val="16"/>
              </w:rPr>
            </w:pPr>
            <w:r>
              <w:rPr>
                <w:sz w:val="16"/>
                <w:szCs w:val="16"/>
              </w:rPr>
              <w:t>18.0.0</w:t>
            </w:r>
          </w:p>
        </w:tc>
      </w:tr>
    </w:tbl>
    <w:p w14:paraId="6AE5F0B0" w14:textId="77777777" w:rsidR="00080512" w:rsidRDefault="00080512"/>
    <w:sectPr w:rsidR="000805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5222" w14:textId="77777777" w:rsidR="00CF146A" w:rsidRDefault="00CF146A">
      <w:r>
        <w:separator/>
      </w:r>
    </w:p>
  </w:endnote>
  <w:endnote w:type="continuationSeparator" w:id="0">
    <w:p w14:paraId="2777F41C" w14:textId="77777777" w:rsidR="00CF146A" w:rsidRDefault="00CF1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67043C" w:rsidRDefault="0067043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C152" w14:textId="77777777" w:rsidR="00CF146A" w:rsidRDefault="00CF146A">
      <w:r>
        <w:separator/>
      </w:r>
    </w:p>
  </w:footnote>
  <w:footnote w:type="continuationSeparator" w:id="0">
    <w:p w14:paraId="25A3567C" w14:textId="77777777" w:rsidR="00CF146A" w:rsidRDefault="00CF1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E9D9FE1" w:rsidR="0067043C" w:rsidRDefault="0067043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702AF">
      <w:rPr>
        <w:rFonts w:ascii="Arial" w:hAnsi="Arial" w:cs="Arial"/>
        <w:b/>
        <w:noProof/>
        <w:sz w:val="18"/>
        <w:szCs w:val="18"/>
      </w:rPr>
      <w:t>3GPP TR 38.882 V18.0.0 (2022-06)</w:t>
    </w:r>
    <w:r>
      <w:rPr>
        <w:rFonts w:ascii="Arial" w:hAnsi="Arial" w:cs="Arial"/>
        <w:b/>
        <w:sz w:val="18"/>
        <w:szCs w:val="18"/>
      </w:rPr>
      <w:fldChar w:fldCharType="end"/>
    </w:r>
  </w:p>
  <w:p w14:paraId="7A6BC72E" w14:textId="17254B69" w:rsidR="0067043C" w:rsidRDefault="0067043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90C54">
      <w:rPr>
        <w:rFonts w:ascii="Arial" w:hAnsi="Arial" w:cs="Arial"/>
        <w:b/>
        <w:noProof/>
        <w:sz w:val="18"/>
        <w:szCs w:val="18"/>
      </w:rPr>
      <w:t>10</w:t>
    </w:r>
    <w:r>
      <w:rPr>
        <w:rFonts w:ascii="Arial" w:hAnsi="Arial" w:cs="Arial"/>
        <w:b/>
        <w:sz w:val="18"/>
        <w:szCs w:val="18"/>
      </w:rPr>
      <w:fldChar w:fldCharType="end"/>
    </w:r>
  </w:p>
  <w:p w14:paraId="13C538E8" w14:textId="2D9EA49A" w:rsidR="0067043C" w:rsidRDefault="0067043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702AF">
      <w:rPr>
        <w:rFonts w:ascii="Arial" w:hAnsi="Arial" w:cs="Arial"/>
        <w:b/>
        <w:noProof/>
        <w:sz w:val="18"/>
        <w:szCs w:val="18"/>
      </w:rPr>
      <w:t>Release 18</w:t>
    </w:r>
    <w:r>
      <w:rPr>
        <w:rFonts w:ascii="Arial" w:hAnsi="Arial" w:cs="Arial"/>
        <w:b/>
        <w:sz w:val="18"/>
        <w:szCs w:val="18"/>
      </w:rPr>
      <w:fldChar w:fldCharType="end"/>
    </w:r>
  </w:p>
  <w:p w14:paraId="1024E63D" w14:textId="77777777" w:rsidR="0067043C" w:rsidRDefault="00670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463E74"/>
    <w:multiLevelType w:val="hybridMultilevel"/>
    <w:tmpl w:val="A4BE7E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CB91012"/>
    <w:multiLevelType w:val="hybridMultilevel"/>
    <w:tmpl w:val="8DDE0D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F31AE8"/>
    <w:multiLevelType w:val="hybridMultilevel"/>
    <w:tmpl w:val="C1C2C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81974"/>
    <w:multiLevelType w:val="hybridMultilevel"/>
    <w:tmpl w:val="4156E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991B42"/>
    <w:multiLevelType w:val="hybridMultilevel"/>
    <w:tmpl w:val="F844F902"/>
    <w:lvl w:ilvl="0" w:tplc="0654015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C795458"/>
    <w:multiLevelType w:val="hybridMultilevel"/>
    <w:tmpl w:val="E8A474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D00A55"/>
    <w:multiLevelType w:val="hybridMultilevel"/>
    <w:tmpl w:val="2788D6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D84F63"/>
    <w:multiLevelType w:val="hybridMultilevel"/>
    <w:tmpl w:val="AA286E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5A6133"/>
    <w:multiLevelType w:val="hybridMultilevel"/>
    <w:tmpl w:val="3BBA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21"/>
  </w:num>
  <w:num w:numId="18">
    <w:abstractNumId w:val="15"/>
  </w:num>
  <w:num w:numId="19">
    <w:abstractNumId w:val="11"/>
  </w:num>
  <w:num w:numId="20">
    <w:abstractNumId w:val="19"/>
  </w:num>
  <w:num w:numId="21">
    <w:abstractNumId w:val="18"/>
  </w:num>
  <w:num w:numId="22">
    <w:abstractNumId w:val="17"/>
  </w:num>
  <w:num w:numId="23">
    <w:abstractNumId w:val="16"/>
  </w:num>
  <w:num w:numId="24">
    <w:abstractNumId w:val="19"/>
  </w:num>
  <w:num w:numId="25">
    <w:abstractNumId w:val="1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4D4"/>
    <w:rsid w:val="000270B9"/>
    <w:rsid w:val="00033397"/>
    <w:rsid w:val="00040095"/>
    <w:rsid w:val="0004202B"/>
    <w:rsid w:val="00047723"/>
    <w:rsid w:val="00051834"/>
    <w:rsid w:val="00053823"/>
    <w:rsid w:val="00054A22"/>
    <w:rsid w:val="00062023"/>
    <w:rsid w:val="000655A6"/>
    <w:rsid w:val="00080512"/>
    <w:rsid w:val="000A5CAD"/>
    <w:rsid w:val="000B1EBA"/>
    <w:rsid w:val="000C47C3"/>
    <w:rsid w:val="000D58AB"/>
    <w:rsid w:val="000E3923"/>
    <w:rsid w:val="000F606C"/>
    <w:rsid w:val="00101BF5"/>
    <w:rsid w:val="00133525"/>
    <w:rsid w:val="00133C58"/>
    <w:rsid w:val="00151C0F"/>
    <w:rsid w:val="00173E3B"/>
    <w:rsid w:val="00174E78"/>
    <w:rsid w:val="00182515"/>
    <w:rsid w:val="00185E87"/>
    <w:rsid w:val="0019142A"/>
    <w:rsid w:val="00194255"/>
    <w:rsid w:val="001A4C42"/>
    <w:rsid w:val="001A70FC"/>
    <w:rsid w:val="001A7420"/>
    <w:rsid w:val="001B6637"/>
    <w:rsid w:val="001C21C3"/>
    <w:rsid w:val="001C3F58"/>
    <w:rsid w:val="001D02C2"/>
    <w:rsid w:val="001E1154"/>
    <w:rsid w:val="001E678A"/>
    <w:rsid w:val="001E78AA"/>
    <w:rsid w:val="001F0C1D"/>
    <w:rsid w:val="001F1132"/>
    <w:rsid w:val="001F168B"/>
    <w:rsid w:val="002045B6"/>
    <w:rsid w:val="002347A2"/>
    <w:rsid w:val="0023636D"/>
    <w:rsid w:val="00242FF0"/>
    <w:rsid w:val="00251EA4"/>
    <w:rsid w:val="00261550"/>
    <w:rsid w:val="00266495"/>
    <w:rsid w:val="002675F0"/>
    <w:rsid w:val="002760EE"/>
    <w:rsid w:val="00277C69"/>
    <w:rsid w:val="00290167"/>
    <w:rsid w:val="00291989"/>
    <w:rsid w:val="002B6339"/>
    <w:rsid w:val="002C2409"/>
    <w:rsid w:val="002C67FD"/>
    <w:rsid w:val="002E00EE"/>
    <w:rsid w:val="002F5614"/>
    <w:rsid w:val="00312AFB"/>
    <w:rsid w:val="00315B85"/>
    <w:rsid w:val="003172DC"/>
    <w:rsid w:val="00320061"/>
    <w:rsid w:val="003429C5"/>
    <w:rsid w:val="0035462D"/>
    <w:rsid w:val="00356555"/>
    <w:rsid w:val="003765B8"/>
    <w:rsid w:val="00377CF8"/>
    <w:rsid w:val="00377D79"/>
    <w:rsid w:val="003C3971"/>
    <w:rsid w:val="003D49BF"/>
    <w:rsid w:val="003E04D4"/>
    <w:rsid w:val="003F2E47"/>
    <w:rsid w:val="00400D04"/>
    <w:rsid w:val="00407C98"/>
    <w:rsid w:val="00407E53"/>
    <w:rsid w:val="00423334"/>
    <w:rsid w:val="00427D4D"/>
    <w:rsid w:val="004345EC"/>
    <w:rsid w:val="004463A4"/>
    <w:rsid w:val="00456E6D"/>
    <w:rsid w:val="00465515"/>
    <w:rsid w:val="004744A3"/>
    <w:rsid w:val="0048290C"/>
    <w:rsid w:val="00493EDD"/>
    <w:rsid w:val="00495662"/>
    <w:rsid w:val="00496117"/>
    <w:rsid w:val="0049751D"/>
    <w:rsid w:val="004A1198"/>
    <w:rsid w:val="004A33E1"/>
    <w:rsid w:val="004A3DB2"/>
    <w:rsid w:val="004A5B9F"/>
    <w:rsid w:val="004C30AC"/>
    <w:rsid w:val="004C52AA"/>
    <w:rsid w:val="004C6C07"/>
    <w:rsid w:val="004D3578"/>
    <w:rsid w:val="004E1DF0"/>
    <w:rsid w:val="004E213A"/>
    <w:rsid w:val="004F0988"/>
    <w:rsid w:val="004F3340"/>
    <w:rsid w:val="0053388B"/>
    <w:rsid w:val="00535773"/>
    <w:rsid w:val="0054206E"/>
    <w:rsid w:val="00543E6C"/>
    <w:rsid w:val="005524F1"/>
    <w:rsid w:val="00563D8B"/>
    <w:rsid w:val="00565087"/>
    <w:rsid w:val="0056752F"/>
    <w:rsid w:val="00567BA5"/>
    <w:rsid w:val="00583D35"/>
    <w:rsid w:val="00597B11"/>
    <w:rsid w:val="005C34C7"/>
    <w:rsid w:val="005D2E01"/>
    <w:rsid w:val="005D7526"/>
    <w:rsid w:val="005E4BB2"/>
    <w:rsid w:val="005F788A"/>
    <w:rsid w:val="00602AEA"/>
    <w:rsid w:val="0060590F"/>
    <w:rsid w:val="00613239"/>
    <w:rsid w:val="00614FDF"/>
    <w:rsid w:val="00615B2C"/>
    <w:rsid w:val="00625233"/>
    <w:rsid w:val="0063543D"/>
    <w:rsid w:val="00647114"/>
    <w:rsid w:val="0066152F"/>
    <w:rsid w:val="0067043C"/>
    <w:rsid w:val="00670CF4"/>
    <w:rsid w:val="006912E9"/>
    <w:rsid w:val="0069366B"/>
    <w:rsid w:val="006A323F"/>
    <w:rsid w:val="006B30D0"/>
    <w:rsid w:val="006C2F14"/>
    <w:rsid w:val="006C3D95"/>
    <w:rsid w:val="006C410E"/>
    <w:rsid w:val="006D1395"/>
    <w:rsid w:val="006E5C86"/>
    <w:rsid w:val="006E6F44"/>
    <w:rsid w:val="007000D6"/>
    <w:rsid w:val="00701116"/>
    <w:rsid w:val="0071174C"/>
    <w:rsid w:val="00713BC4"/>
    <w:rsid w:val="00713C44"/>
    <w:rsid w:val="007349DD"/>
    <w:rsid w:val="00734A5B"/>
    <w:rsid w:val="007356A6"/>
    <w:rsid w:val="0074026F"/>
    <w:rsid w:val="007429F6"/>
    <w:rsid w:val="00743310"/>
    <w:rsid w:val="00744E76"/>
    <w:rsid w:val="00747699"/>
    <w:rsid w:val="00760FA1"/>
    <w:rsid w:val="00765EA3"/>
    <w:rsid w:val="00774DA4"/>
    <w:rsid w:val="00776783"/>
    <w:rsid w:val="00780612"/>
    <w:rsid w:val="00781F0F"/>
    <w:rsid w:val="00790067"/>
    <w:rsid w:val="0079713B"/>
    <w:rsid w:val="007A5B43"/>
    <w:rsid w:val="007A6050"/>
    <w:rsid w:val="007B600E"/>
    <w:rsid w:val="007C2A0C"/>
    <w:rsid w:val="007D00FC"/>
    <w:rsid w:val="007D7B24"/>
    <w:rsid w:val="007F0EC2"/>
    <w:rsid w:val="007F0F4A"/>
    <w:rsid w:val="007F1025"/>
    <w:rsid w:val="007F5C5D"/>
    <w:rsid w:val="008028A4"/>
    <w:rsid w:val="00817F88"/>
    <w:rsid w:val="0082185F"/>
    <w:rsid w:val="00827D36"/>
    <w:rsid w:val="00830747"/>
    <w:rsid w:val="00830904"/>
    <w:rsid w:val="008469F7"/>
    <w:rsid w:val="008616E9"/>
    <w:rsid w:val="008768CA"/>
    <w:rsid w:val="008A69EA"/>
    <w:rsid w:val="008B5E17"/>
    <w:rsid w:val="008B61F0"/>
    <w:rsid w:val="008C384C"/>
    <w:rsid w:val="008C7B64"/>
    <w:rsid w:val="008E0B9E"/>
    <w:rsid w:val="008E2D68"/>
    <w:rsid w:val="008E6756"/>
    <w:rsid w:val="008F498B"/>
    <w:rsid w:val="008F6AB2"/>
    <w:rsid w:val="00901FED"/>
    <w:rsid w:val="0090271F"/>
    <w:rsid w:val="00902E23"/>
    <w:rsid w:val="0090780E"/>
    <w:rsid w:val="009114D7"/>
    <w:rsid w:val="00911AF8"/>
    <w:rsid w:val="0091348E"/>
    <w:rsid w:val="00917CCB"/>
    <w:rsid w:val="00932776"/>
    <w:rsid w:val="00933FB0"/>
    <w:rsid w:val="009351F5"/>
    <w:rsid w:val="00942EC2"/>
    <w:rsid w:val="009433E3"/>
    <w:rsid w:val="00975DAE"/>
    <w:rsid w:val="0098147C"/>
    <w:rsid w:val="00990C58"/>
    <w:rsid w:val="009A5B6B"/>
    <w:rsid w:val="009B2223"/>
    <w:rsid w:val="009C14D6"/>
    <w:rsid w:val="009C17E7"/>
    <w:rsid w:val="009C65BA"/>
    <w:rsid w:val="009F37B7"/>
    <w:rsid w:val="00A0468C"/>
    <w:rsid w:val="00A10F02"/>
    <w:rsid w:val="00A14201"/>
    <w:rsid w:val="00A164B4"/>
    <w:rsid w:val="00A256E2"/>
    <w:rsid w:val="00A26956"/>
    <w:rsid w:val="00A27486"/>
    <w:rsid w:val="00A27B9B"/>
    <w:rsid w:val="00A31401"/>
    <w:rsid w:val="00A423C3"/>
    <w:rsid w:val="00A53724"/>
    <w:rsid w:val="00A549AD"/>
    <w:rsid w:val="00A56066"/>
    <w:rsid w:val="00A673C4"/>
    <w:rsid w:val="00A702AF"/>
    <w:rsid w:val="00A7109B"/>
    <w:rsid w:val="00A73129"/>
    <w:rsid w:val="00A82346"/>
    <w:rsid w:val="00A8520E"/>
    <w:rsid w:val="00A90D53"/>
    <w:rsid w:val="00A92BA1"/>
    <w:rsid w:val="00A95A32"/>
    <w:rsid w:val="00A97E19"/>
    <w:rsid w:val="00AB28EA"/>
    <w:rsid w:val="00AB4A5D"/>
    <w:rsid w:val="00AB57DF"/>
    <w:rsid w:val="00AC1CC2"/>
    <w:rsid w:val="00AC6BC6"/>
    <w:rsid w:val="00AD45A1"/>
    <w:rsid w:val="00AE1455"/>
    <w:rsid w:val="00AE3212"/>
    <w:rsid w:val="00AE6164"/>
    <w:rsid w:val="00AE65E2"/>
    <w:rsid w:val="00AF1460"/>
    <w:rsid w:val="00AF49FA"/>
    <w:rsid w:val="00AF73F6"/>
    <w:rsid w:val="00B03281"/>
    <w:rsid w:val="00B11781"/>
    <w:rsid w:val="00B15449"/>
    <w:rsid w:val="00B6371D"/>
    <w:rsid w:val="00B71D25"/>
    <w:rsid w:val="00B727F4"/>
    <w:rsid w:val="00B867A0"/>
    <w:rsid w:val="00B90C54"/>
    <w:rsid w:val="00B93086"/>
    <w:rsid w:val="00BA19ED"/>
    <w:rsid w:val="00BA4B8D"/>
    <w:rsid w:val="00BA7977"/>
    <w:rsid w:val="00BB1C30"/>
    <w:rsid w:val="00BB7395"/>
    <w:rsid w:val="00BC0F7D"/>
    <w:rsid w:val="00BD345E"/>
    <w:rsid w:val="00BD7D31"/>
    <w:rsid w:val="00BE3255"/>
    <w:rsid w:val="00BF128E"/>
    <w:rsid w:val="00C074DD"/>
    <w:rsid w:val="00C144A1"/>
    <w:rsid w:val="00C1496A"/>
    <w:rsid w:val="00C24759"/>
    <w:rsid w:val="00C24848"/>
    <w:rsid w:val="00C33079"/>
    <w:rsid w:val="00C45231"/>
    <w:rsid w:val="00C542F1"/>
    <w:rsid w:val="00C551FF"/>
    <w:rsid w:val="00C70192"/>
    <w:rsid w:val="00C72833"/>
    <w:rsid w:val="00C738BC"/>
    <w:rsid w:val="00C745F8"/>
    <w:rsid w:val="00C80F1D"/>
    <w:rsid w:val="00C91962"/>
    <w:rsid w:val="00C93F40"/>
    <w:rsid w:val="00C971FF"/>
    <w:rsid w:val="00CA3378"/>
    <w:rsid w:val="00CA3D0C"/>
    <w:rsid w:val="00CA742F"/>
    <w:rsid w:val="00CC02F6"/>
    <w:rsid w:val="00CC5A6F"/>
    <w:rsid w:val="00CD22D3"/>
    <w:rsid w:val="00CE0839"/>
    <w:rsid w:val="00CE09A4"/>
    <w:rsid w:val="00CF0274"/>
    <w:rsid w:val="00CF146A"/>
    <w:rsid w:val="00CF23D4"/>
    <w:rsid w:val="00D03D86"/>
    <w:rsid w:val="00D37A81"/>
    <w:rsid w:val="00D43FCA"/>
    <w:rsid w:val="00D445EC"/>
    <w:rsid w:val="00D57972"/>
    <w:rsid w:val="00D675A9"/>
    <w:rsid w:val="00D67933"/>
    <w:rsid w:val="00D738D6"/>
    <w:rsid w:val="00D755EB"/>
    <w:rsid w:val="00D76048"/>
    <w:rsid w:val="00D82E6F"/>
    <w:rsid w:val="00D86A19"/>
    <w:rsid w:val="00D87E00"/>
    <w:rsid w:val="00D9134D"/>
    <w:rsid w:val="00DA0013"/>
    <w:rsid w:val="00DA7A03"/>
    <w:rsid w:val="00DB1818"/>
    <w:rsid w:val="00DB25B4"/>
    <w:rsid w:val="00DB64C3"/>
    <w:rsid w:val="00DC309B"/>
    <w:rsid w:val="00DC4DA2"/>
    <w:rsid w:val="00DD07C4"/>
    <w:rsid w:val="00DD4C17"/>
    <w:rsid w:val="00DD74A5"/>
    <w:rsid w:val="00DF2B1F"/>
    <w:rsid w:val="00DF3BA8"/>
    <w:rsid w:val="00DF62CD"/>
    <w:rsid w:val="00E16509"/>
    <w:rsid w:val="00E44582"/>
    <w:rsid w:val="00E63CCD"/>
    <w:rsid w:val="00E77645"/>
    <w:rsid w:val="00E859E9"/>
    <w:rsid w:val="00EA15B0"/>
    <w:rsid w:val="00EA5EA7"/>
    <w:rsid w:val="00EA66BD"/>
    <w:rsid w:val="00EB30D0"/>
    <w:rsid w:val="00EC4A25"/>
    <w:rsid w:val="00EE2B8D"/>
    <w:rsid w:val="00EE60F8"/>
    <w:rsid w:val="00EE69CA"/>
    <w:rsid w:val="00EF5092"/>
    <w:rsid w:val="00EF608C"/>
    <w:rsid w:val="00F025A2"/>
    <w:rsid w:val="00F04712"/>
    <w:rsid w:val="00F13360"/>
    <w:rsid w:val="00F22EC7"/>
    <w:rsid w:val="00F325C8"/>
    <w:rsid w:val="00F34834"/>
    <w:rsid w:val="00F57EAB"/>
    <w:rsid w:val="00F653B8"/>
    <w:rsid w:val="00F6664C"/>
    <w:rsid w:val="00F71B41"/>
    <w:rsid w:val="00F7287C"/>
    <w:rsid w:val="00F85E43"/>
    <w:rsid w:val="00F87176"/>
    <w:rsid w:val="00F9008D"/>
    <w:rsid w:val="00FA1266"/>
    <w:rsid w:val="00FA1460"/>
    <w:rsid w:val="00FC0D1A"/>
    <w:rsid w:val="00FC1192"/>
    <w:rsid w:val="00FD0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aliases w:val="Lista1,R4_bullets,- Bullets,?? ??,?????,????,列出段落1,中等深浅网格 1 - 着色 21,列表段落,列表段落1,—ño’i—Ž,¥¡¡¡¡ì¬º¥¹¥È¶ÎÂä,ÁÐ³ö¶ÎÂä,¥ê¥¹¥È¶ÎÂä,1st level - Bullet List Paragraph,Lettre d'introduction,Paragrafo elenco,Normal bullet 2,목록 단락,목록단락,列"/>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basedOn w:val="DefaultParagraphFont"/>
    <w:link w:val="Header"/>
    <w:rsid w:val="009C65BA"/>
    <w:rPr>
      <w:rFonts w:ascii="Arial" w:hAnsi="Arial"/>
      <w:b/>
      <w:sz w:val="18"/>
      <w:lang w:eastAsia="ja-JP"/>
    </w:rPr>
  </w:style>
  <w:style w:type="character" w:customStyle="1" w:styleId="ListParagraphChar">
    <w:name w:val="List Paragraph Char"/>
    <w:aliases w:val="Lista1 Char,R4_bullets Char,- Bullets Char,?? ?? Char,????? Char,???? Char,列出段落1 Char,中等深浅网格 1 - 着色 21 Char,列表段落 Char,列表段落1 Char,—ño’i—Ž Char,¥¡¡¡¡ì¬º¥¹¥È¶ÎÂä Char,ÁÐ³ö¶ÎÂä Char,¥ê¥¹¥È¶ÎÂä Char,1st level - Bullet List Paragraph Char"/>
    <w:link w:val="ListParagraph"/>
    <w:uiPriority w:val="34"/>
    <w:qFormat/>
    <w:locked/>
    <w:rsid w:val="009C65BA"/>
    <w:rPr>
      <w:lang w:eastAsia="en-US"/>
    </w:rPr>
  </w:style>
  <w:style w:type="character" w:styleId="Strong">
    <w:name w:val="Strong"/>
    <w:basedOn w:val="DefaultParagraphFont"/>
    <w:uiPriority w:val="22"/>
    <w:qFormat/>
    <w:rsid w:val="00AC1CC2"/>
    <w:rPr>
      <w:b/>
      <w:bCs/>
    </w:rPr>
  </w:style>
  <w:style w:type="paragraph" w:styleId="Revision">
    <w:name w:val="Revision"/>
    <w:hidden/>
    <w:uiPriority w:val="99"/>
    <w:semiHidden/>
    <w:rsid w:val="00EF5092"/>
    <w:rPr>
      <w:lang w:eastAsia="en-US"/>
    </w:rPr>
  </w:style>
  <w:style w:type="character" w:styleId="CommentReference">
    <w:name w:val="annotation reference"/>
    <w:basedOn w:val="DefaultParagraphFont"/>
    <w:rsid w:val="007349DD"/>
    <w:rPr>
      <w:sz w:val="16"/>
      <w:szCs w:val="16"/>
    </w:rPr>
  </w:style>
  <w:style w:type="paragraph" w:customStyle="1" w:styleId="pf0">
    <w:name w:val="pf0"/>
    <w:basedOn w:val="Normal"/>
    <w:rsid w:val="00747699"/>
    <w:pPr>
      <w:spacing w:before="100" w:beforeAutospacing="1" w:after="100" w:afterAutospacing="1"/>
    </w:pPr>
    <w:rPr>
      <w:sz w:val="24"/>
      <w:szCs w:val="24"/>
      <w:lang w:eastAsia="en-GB"/>
    </w:rPr>
  </w:style>
  <w:style w:type="character" w:customStyle="1" w:styleId="cf01">
    <w:name w:val="cf01"/>
    <w:basedOn w:val="DefaultParagraphFont"/>
    <w:rsid w:val="0074769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47527">
      <w:bodyDiv w:val="1"/>
      <w:marLeft w:val="0"/>
      <w:marRight w:val="0"/>
      <w:marTop w:val="0"/>
      <w:marBottom w:val="0"/>
      <w:divBdr>
        <w:top w:val="none" w:sz="0" w:space="0" w:color="auto"/>
        <w:left w:val="none" w:sz="0" w:space="0" w:color="auto"/>
        <w:bottom w:val="none" w:sz="0" w:space="0" w:color="auto"/>
        <w:right w:val="none" w:sz="0" w:space="0" w:color="auto"/>
      </w:divBdr>
    </w:div>
    <w:div w:id="171634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cc.gov/public-safety-and-homeland-security/policy-and-licensing-division/911-services/general/location-accuracy-indoor-benchmarks%20on%2020.10.2020" TargetMode="External"/><Relationship Id="rId18" Type="http://schemas.openxmlformats.org/officeDocument/2006/relationships/hyperlink" Target="https://www.lawinsider.com/dictionary/emergency-cal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eur-lex.europa.eu/legal-content/EN/ALL/?uri=OJ:C:1996:329:TOC"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eur-lex.europa.eu/legal-content/EN/ALL/?uri=OJ:C:1996:329:T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us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9422B-1312-4F6C-BAE2-6916F844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55</TotalTime>
  <Pages>13</Pages>
  <Words>4376</Words>
  <Characters>24948</Characters>
  <Application>Microsoft Office Word</Application>
  <DocSecurity>0</DocSecurity>
  <Lines>207</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Manager>MCC Support</Manager>
  <Company>ETSI</Company>
  <LinksUpToDate>false</LinksUpToDate>
  <CharactersWithSpaces>29266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38.882 Study on requirements and use cases for network verified UE location for Non-Terrestrial-Networks (NTN) in NR</dc:title>
  <dc:subject>Study on requirements and use cases for network verified UE location for Non-Terrestrial-Networks (NTN) in NR (Release 18)</dc:subject>
  <dc:creator>MCC Support</dc:creator>
  <cp:keywords>&lt;keyword[, keyword, ]&gt;</cp:keywords>
  <cp:lastModifiedBy>rev</cp:lastModifiedBy>
  <cp:revision>35</cp:revision>
  <cp:lastPrinted>2019-02-25T14:05:00Z</cp:lastPrinted>
  <dcterms:created xsi:type="dcterms:W3CDTF">2022-06-08T16:00:00Z</dcterms:created>
  <dcterms:modified xsi:type="dcterms:W3CDTF">2022-06-27T08:17:00Z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(3)4IXmZ7InzBTFZ26zZUYoMOaLMc8+ZluId40u8zly7Umz+YDJ379JtmgyY0WxdbpeAd3KmtN+
0LxO4K+7m+mAgzxcGekYcAUo6pB3ONbAHOr6Q6cXsA71smJ1Ei8bHvfVQBKafM1Eun8fI4ht
UJZ1wcJKX5skJkENFyQdHiuXtTiKB0RVe/40ZsjjH3KnuSE09eSv8B0p6HA2CpvreOxg2zgL
9R44FQS2OMM5P5ojYP</vt:lpwstr>
  </property>
  <property fmtid="{D5CDD505-2E9C-101B-9397-08002B2CF9AE}" pid="3" name="_2015_ms_pID_7253431">
    <vt:lpwstr>0GKPmyqbQAMHOdJHk3aJYy9A56syE1fzKGtThg/o18s6gssjGvnhPR
5fbiKjVy0p832jB2T315y/kzMxVhlhg3njFYh9PAw/Uv6vTnx0qogDJ6+bRO/k/FRBwWfyhC
1UcSNSPGA2kwuFkqrT29YsiIri85WoggefkP2gVEFMcJY2Vu0M7JZ9mXWiiSdV3bGScHk74P
fKp0zUyZYJVN2OSoh0tk+qDHCqqT7mdXRllV</vt:lpwstr>
  </property>
  <property fmtid="{D5CDD505-2E9C-101B-9397-08002B2CF9AE}" pid="4" name="_2015_ms_pID_7253432">
    <vt:lpwstr>2w==</vt:lpwstr>
  </property>
</Properties>
</file>