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glossary/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7Colorful-Accent1"/>
        <w:tblW w:w="10080" w:type="dxa"/>
        <w:tblLook w:val="04A0" w:firstRow="1" w:lastRow="0" w:firstColumn="1" w:lastColumn="0" w:noHBand="0" w:noVBand="1"/>
      </w:tblPr>
      <w:tblGrid>
        <w:gridCol w:w="2425"/>
        <w:gridCol w:w="7655"/>
      </w:tblGrid>
      <w:tr w:rsidR="006038ED" w:rsidRPr="00F665A9" w:rsidTr="002B061B">
        <w:trPr>
          <w:cnfStyle w:val="100000000000" w:firstRow="1" w:lastRow="0" w:firstColumn="0" w:lastColumn="0" w:oddVBand="0" w:evenVBand="0" w:oddHBand="0" w:evenHBand="0" w:firstRowFirstColumn="0" w:firstRowLastColumn="0" w:lastRowFirstColumn="0" w:lastRowLastColumn="0"/>
          <w:trHeight w:val="398"/>
          <w:tblHeader/>
        </w:trPr>
        <w:tc>
          <w:tcPr>
            <w:cnfStyle w:val="001000000100" w:firstRow="0" w:lastRow="0" w:firstColumn="1" w:lastColumn="0" w:oddVBand="0" w:evenVBand="0" w:oddHBand="0" w:evenHBand="0" w:firstRowFirstColumn="1" w:firstRowLastColumn="0" w:lastRowFirstColumn="0" w:lastRowLastColumn="0"/>
            <w:tcW w:w="2425" w:type="dxa"/>
            <w:hideMark/>
          </w:tcPr>
          <w:p w:rsidR="006038ED" w:rsidRPr="00F665A9" w:rsidRDefault="00AA5E31" w:rsidP="00AA5E31">
            <w:pPr>
              <w:jc w:val="center"/>
              <w:rPr>
                <w:rFonts w:eastAsia="Times New Roman" w:cs="Arial"/>
                <w:b w:val="0"/>
                <w:bCs w:val="0"/>
                <w:color w:val="000000"/>
              </w:rPr>
            </w:pPr>
            <w:bookmarkStart w:id="0" w:name="_GoBack" w:colFirst="0" w:colLast="0"/>
            <w:proofErr w:type="spellStart"/>
            <w:r w:rsidRPr="00F665A9">
              <w:rPr>
                <w:rFonts w:eastAsia="Times New Roman" w:cs="Arial"/>
                <w:color w:val="000000"/>
              </w:rPr>
              <w:t>Nombre</w:t>
            </w:r>
            <w:proofErr w:type="spellEnd"/>
          </w:p>
        </w:tc>
        <w:tc>
          <w:tcPr>
            <w:tcW w:w="7655" w:type="dxa"/>
            <w:hideMark/>
          </w:tcPr>
          <w:p w:rsidR="00B60A8C" w:rsidRDefault="00B60A8C" w:rsidP="00AA5E31">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
          <w:p w:rsidR="006038ED" w:rsidRPr="00F665A9" w:rsidRDefault="006038ED" w:rsidP="00AA5E31">
            <w:pPr>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rPr>
            </w:pPr>
            <w:proofErr w:type="spellStart"/>
            <w:r w:rsidRPr="00F665A9">
              <w:rPr>
                <w:rFonts w:eastAsia="Times New Roman" w:cs="Arial"/>
                <w:color w:val="000000"/>
              </w:rPr>
              <w:t>Descripción</w:t>
            </w:r>
            <w:proofErr w:type="spellEnd"/>
          </w:p>
        </w:tc>
      </w:tr>
      <w:tr w:rsidR="00D10C75" w:rsidRPr="00B60A8C" w:rsidTr="002B061B">
        <w:trPr>
          <w:cnfStyle w:val="100000000000" w:firstRow="1" w:lastRow="0" w:firstColumn="0" w:lastColumn="0" w:oddVBand="0" w:evenVBand="0" w:oddHBand="0" w:evenHBand="0" w:firstRowFirstColumn="0" w:firstRowLastColumn="0" w:lastRowFirstColumn="0" w:lastRowLastColumn="0"/>
          <w:trHeight w:val="327"/>
          <w:tblHeader/>
        </w:trPr>
        <w:tc>
          <w:tcPr>
            <w:cnfStyle w:val="001000000100" w:firstRow="0" w:lastRow="0" w:firstColumn="1" w:lastColumn="0" w:oddVBand="0" w:evenVBand="0" w:oddHBand="0" w:evenHBand="0" w:firstRowFirstColumn="1" w:firstRowLastColumn="0" w:lastRowFirstColumn="0" w:lastRowLastColumn="0"/>
            <w:tcW w:w="10080" w:type="dxa"/>
            <w:gridSpan w:val="2"/>
          </w:tcPr>
          <w:p w:rsidR="00D10C75" w:rsidRPr="00F665A9" w:rsidRDefault="00D10C75" w:rsidP="0092504D">
            <w:pPr>
              <w:jc w:val="center"/>
              <w:rPr>
                <w:rFonts w:eastAsia="Times New Roman" w:cs="Arial"/>
                <w:b w:val="0"/>
                <w:color w:val="000000"/>
                <w:lang w:val="es-CR"/>
              </w:rPr>
            </w:pPr>
            <w:r w:rsidRPr="00F665A9">
              <w:rPr>
                <w:rFonts w:eastAsia="Times New Roman" w:cs="Arial"/>
                <w:color w:val="1F497D" w:themeColor="text2"/>
                <w:lang w:val="es-CR"/>
              </w:rPr>
              <w:t xml:space="preserve">Términos Reporte de Carteras Financieras </w:t>
            </w:r>
          </w:p>
        </w:tc>
      </w:tr>
      <w:tr w:rsidR="000B066E"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Calificación</w:t>
            </w:r>
          </w:p>
        </w:tc>
        <w:tc>
          <w:tcPr>
            <w:tcW w:w="7655" w:type="dxa"/>
          </w:tcPr>
          <w:p w:rsidR="000B066E"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Código con el que se identifica </w:t>
            </w:r>
            <w:r>
              <w:rPr>
                <w:rFonts w:cs="Arial"/>
                <w:color w:val="000000"/>
                <w:lang w:val="es-CR"/>
              </w:rPr>
              <w:t xml:space="preserve">en forma abreviada </w:t>
            </w:r>
            <w:r w:rsidRPr="002B061B">
              <w:rPr>
                <w:rFonts w:cs="Arial"/>
                <w:color w:val="000000"/>
                <w:lang w:val="es-CR"/>
              </w:rPr>
              <w:t>la calificación otorgada a la emisión.</w:t>
            </w:r>
            <w:r>
              <w:rPr>
                <w:rFonts w:cs="Arial"/>
                <w:color w:val="000000"/>
                <w:lang w:val="es-CR"/>
              </w:rPr>
              <w:t xml:space="preserve"> La definición de cada calificación se encuentra disponible en la página web de las respectivas calificadoras.</w:t>
            </w:r>
          </w:p>
          <w:p w:rsidR="00F11E02" w:rsidRPr="002B061B" w:rsidRDefault="00F11E02"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0B066E" w:rsidRPr="00B60A8C" w:rsidTr="00F11E02">
        <w:trPr>
          <w:trHeight w:val="4733"/>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Calificadora</w:t>
            </w:r>
          </w:p>
        </w:tc>
        <w:tc>
          <w:tcPr>
            <w:tcW w:w="7655" w:type="dxa"/>
          </w:tcPr>
          <w:p w:rsidR="00F11E02" w:rsidRPr="00F11E02" w:rsidRDefault="009F18AB" w:rsidP="000B066E">
            <w:pPr>
              <w:cnfStyle w:val="000000000000" w:firstRow="0" w:lastRow="0" w:firstColumn="0" w:lastColumn="0" w:oddVBand="0" w:evenVBand="0" w:oddHBand="0" w:evenHBand="0" w:firstRowFirstColumn="0" w:firstRowLastColumn="0" w:lastRowFirstColumn="0" w:lastRowLastColumn="0"/>
              <w:rPr>
                <w:rFonts w:cs="Arial"/>
                <w:bCs/>
                <w:color w:val="000000"/>
                <w:lang w:val="es-CR"/>
              </w:rPr>
            </w:pPr>
            <w:r w:rsidRPr="00F11E02">
              <w:rPr>
                <w:rFonts w:cs="Arial"/>
                <w:bCs/>
                <w:color w:val="000000"/>
                <w:lang w:val="es-CR"/>
              </w:rPr>
              <w:t xml:space="preserve">Siglas que definen en forma abreviada a la entidad que emite la calificación de la emisión:  </w:t>
            </w:r>
            <w:r w:rsidR="00F11E02">
              <w:rPr>
                <w:rFonts w:cs="Arial"/>
                <w:bCs/>
                <w:color w:val="000000"/>
                <w:lang w:val="es-CR"/>
              </w:rPr>
              <w:t xml:space="preserve">    </w:t>
            </w:r>
          </w:p>
          <w:p w:rsidR="000B066E" w:rsidRPr="00E9576E" w:rsidRDefault="009F18AB"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r w:rsidRPr="009F18AB">
              <w:rPr>
                <w:rFonts w:cs="Arial"/>
                <w:b/>
                <w:bCs/>
                <w:color w:val="000000"/>
                <w:lang w:val="es-CR"/>
              </w:rPr>
              <w:t xml:space="preserve"> </w:t>
            </w:r>
          </w:p>
          <w:tbl>
            <w:tblPr>
              <w:tblpPr w:leftFromText="180" w:rightFromText="180" w:vertAnchor="text" w:horzAnchor="margin" w:tblpXSpec="center"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4973"/>
            </w:tblGrid>
            <w:tr w:rsidR="00F11E02" w:rsidRPr="00E9576E" w:rsidTr="00F11E02">
              <w:trPr>
                <w:trHeight w:val="197"/>
              </w:trPr>
              <w:tc>
                <w:tcPr>
                  <w:tcW w:w="1361" w:type="dxa"/>
                  <w:vAlign w:val="center"/>
                </w:tcPr>
                <w:p w:rsidR="00F11E02" w:rsidRPr="00F11E02" w:rsidRDefault="00F11E02" w:rsidP="00F11E02">
                  <w:pPr>
                    <w:spacing w:after="0" w:line="240" w:lineRule="auto"/>
                    <w:rPr>
                      <w:rFonts w:cs="Arial"/>
                      <w:b/>
                      <w:color w:val="000000"/>
                      <w:lang w:val="es-CR"/>
                    </w:rPr>
                  </w:pPr>
                  <w:r w:rsidRPr="00F11E02">
                    <w:rPr>
                      <w:rFonts w:cs="Arial"/>
                      <w:b/>
                      <w:color w:val="000000"/>
                      <w:lang w:val="es-CR"/>
                    </w:rPr>
                    <w:t>Código</w:t>
                  </w:r>
                </w:p>
              </w:tc>
              <w:tc>
                <w:tcPr>
                  <w:tcW w:w="4973" w:type="dxa"/>
                  <w:vAlign w:val="center"/>
                </w:tcPr>
                <w:p w:rsidR="00F11E02" w:rsidRPr="00F11E02" w:rsidRDefault="00F11E02" w:rsidP="00F11E02">
                  <w:pPr>
                    <w:spacing w:after="0" w:line="240" w:lineRule="auto"/>
                    <w:rPr>
                      <w:rFonts w:cs="Arial"/>
                      <w:b/>
                      <w:color w:val="000000"/>
                      <w:lang w:val="es-CR"/>
                    </w:rPr>
                  </w:pPr>
                  <w:r w:rsidRPr="00F11E02">
                    <w:rPr>
                      <w:rFonts w:cs="Arial"/>
                      <w:b/>
                      <w:color w:val="000000"/>
                      <w:lang w:val="es-CR"/>
                    </w:rPr>
                    <w:t>Descripción</w:t>
                  </w:r>
                </w:p>
              </w:tc>
            </w:tr>
            <w:tr w:rsidR="00F11E02" w:rsidRPr="00E9576E" w:rsidTr="00F11E02">
              <w:trPr>
                <w:trHeight w:val="197"/>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SP</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 xml:space="preserve">Standard and </w:t>
                  </w:r>
                  <w:proofErr w:type="spellStart"/>
                  <w:r w:rsidRPr="00E9576E">
                    <w:rPr>
                      <w:rFonts w:cs="Arial"/>
                      <w:color w:val="000000"/>
                      <w:lang w:val="es-CR"/>
                    </w:rPr>
                    <w:t>Poor´s</w:t>
                  </w:r>
                  <w:proofErr w:type="spellEnd"/>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MO</w:t>
                  </w:r>
                </w:p>
              </w:tc>
              <w:tc>
                <w:tcPr>
                  <w:tcW w:w="4973" w:type="dxa"/>
                  <w:vAlign w:val="center"/>
                </w:tcPr>
                <w:p w:rsidR="00F11E02" w:rsidRPr="00E9576E" w:rsidRDefault="00F11E02" w:rsidP="00F11E02">
                  <w:pPr>
                    <w:spacing w:after="0" w:line="240" w:lineRule="auto"/>
                    <w:rPr>
                      <w:rFonts w:cs="Arial"/>
                      <w:color w:val="000000"/>
                      <w:lang w:val="es-CR"/>
                    </w:rPr>
                  </w:pPr>
                  <w:proofErr w:type="spellStart"/>
                  <w:r w:rsidRPr="00E9576E">
                    <w:rPr>
                      <w:rFonts w:cs="Arial"/>
                      <w:color w:val="000000"/>
                      <w:lang w:val="es-CR"/>
                    </w:rPr>
                    <w:t>Moody´s</w:t>
                  </w:r>
                  <w:proofErr w:type="spellEnd"/>
                  <w:r w:rsidRPr="00E9576E">
                    <w:rPr>
                      <w:rFonts w:cs="Arial"/>
                      <w:color w:val="000000"/>
                      <w:lang w:val="es-CR"/>
                    </w:rPr>
                    <w:t xml:space="preserve"> </w:t>
                  </w:r>
                  <w:proofErr w:type="spellStart"/>
                  <w:r w:rsidRPr="00E9576E">
                    <w:rPr>
                      <w:rFonts w:cs="Arial"/>
                      <w:color w:val="000000"/>
                      <w:lang w:val="es-CR"/>
                    </w:rPr>
                    <w:t>Investors</w:t>
                  </w:r>
                  <w:proofErr w:type="spellEnd"/>
                  <w:r w:rsidRPr="00E9576E">
                    <w:rPr>
                      <w:rFonts w:cs="Arial"/>
                      <w:color w:val="000000"/>
                      <w:lang w:val="es-CR"/>
                    </w:rPr>
                    <w:t xml:space="preserve"> </w:t>
                  </w:r>
                  <w:proofErr w:type="spellStart"/>
                  <w:r w:rsidRPr="00E9576E">
                    <w:rPr>
                      <w:rFonts w:cs="Arial"/>
                      <w:color w:val="000000"/>
                      <w:lang w:val="es-CR"/>
                    </w:rPr>
                    <w:t>Service</w:t>
                  </w:r>
                  <w:proofErr w:type="spellEnd"/>
                  <w:r w:rsidRPr="00E9576E">
                    <w:rPr>
                      <w:rFonts w:cs="Arial"/>
                      <w:color w:val="000000"/>
                      <w:lang w:val="es-CR"/>
                    </w:rPr>
                    <w:t xml:space="preserve"> </w:t>
                  </w:r>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FI</w:t>
                  </w:r>
                </w:p>
              </w:tc>
              <w:tc>
                <w:tcPr>
                  <w:tcW w:w="4973" w:type="dxa"/>
                  <w:vAlign w:val="center"/>
                </w:tcPr>
                <w:p w:rsidR="00F11E02" w:rsidRPr="00E9576E" w:rsidRDefault="00F11E02" w:rsidP="00F11E02">
                  <w:pPr>
                    <w:spacing w:after="0" w:line="240" w:lineRule="auto"/>
                    <w:rPr>
                      <w:rFonts w:cs="Arial"/>
                      <w:color w:val="000000"/>
                      <w:lang w:val="es-CR"/>
                    </w:rPr>
                  </w:pPr>
                  <w:proofErr w:type="spellStart"/>
                  <w:r w:rsidRPr="00E9576E">
                    <w:rPr>
                      <w:rFonts w:cs="Arial"/>
                      <w:color w:val="000000"/>
                      <w:lang w:val="es-CR"/>
                    </w:rPr>
                    <w:t>Fitch´s</w:t>
                  </w:r>
                  <w:proofErr w:type="spellEnd"/>
                  <w:r w:rsidRPr="00E9576E">
                    <w:rPr>
                      <w:rFonts w:cs="Arial"/>
                      <w:color w:val="000000"/>
                      <w:lang w:val="es-CR"/>
                    </w:rPr>
                    <w:t xml:space="preserve"> </w:t>
                  </w:r>
                  <w:proofErr w:type="spellStart"/>
                  <w:r w:rsidRPr="00E9576E">
                    <w:rPr>
                      <w:rFonts w:cs="Arial"/>
                      <w:color w:val="000000"/>
                      <w:lang w:val="es-CR"/>
                    </w:rPr>
                    <w:t>Investors</w:t>
                  </w:r>
                  <w:proofErr w:type="spellEnd"/>
                  <w:r w:rsidRPr="00E9576E">
                    <w:rPr>
                      <w:rFonts w:cs="Arial"/>
                      <w:color w:val="000000"/>
                      <w:lang w:val="es-CR"/>
                    </w:rPr>
                    <w:t xml:space="preserve"> </w:t>
                  </w:r>
                  <w:proofErr w:type="spellStart"/>
                  <w:r w:rsidRPr="00E9576E">
                    <w:rPr>
                      <w:rFonts w:cs="Arial"/>
                      <w:color w:val="000000"/>
                      <w:lang w:val="es-CR"/>
                    </w:rPr>
                    <w:t>Service</w:t>
                  </w:r>
                  <w:proofErr w:type="spellEnd"/>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IB</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 xml:space="preserve">Inter Bank Company </w:t>
                  </w:r>
                  <w:proofErr w:type="spellStart"/>
                  <w:r w:rsidRPr="00E9576E">
                    <w:rPr>
                      <w:rFonts w:cs="Arial"/>
                      <w:color w:val="000000"/>
                      <w:lang w:val="es-CR"/>
                    </w:rPr>
                    <w:t>Analysis</w:t>
                  </w:r>
                  <w:proofErr w:type="spellEnd"/>
                </w:p>
              </w:tc>
            </w:tr>
            <w:tr w:rsidR="00F11E02" w:rsidRPr="00B60A8C"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FR</w:t>
                  </w:r>
                </w:p>
              </w:tc>
              <w:tc>
                <w:tcPr>
                  <w:tcW w:w="4973" w:type="dxa"/>
                  <w:vAlign w:val="center"/>
                </w:tcPr>
                <w:p w:rsidR="00F11E02" w:rsidRPr="00E9576E" w:rsidRDefault="00F11E02" w:rsidP="00F11E02">
                  <w:pPr>
                    <w:spacing w:after="0" w:line="240" w:lineRule="auto"/>
                    <w:rPr>
                      <w:rFonts w:cs="Arial"/>
                      <w:color w:val="000000"/>
                      <w:lang w:val="es-CR"/>
                    </w:rPr>
                  </w:pPr>
                  <w:proofErr w:type="spellStart"/>
                  <w:r w:rsidRPr="00E9576E">
                    <w:rPr>
                      <w:rFonts w:cs="Arial"/>
                      <w:color w:val="000000"/>
                      <w:lang w:val="es-CR"/>
                    </w:rPr>
                    <w:t>Fitch</w:t>
                  </w:r>
                  <w:proofErr w:type="spellEnd"/>
                  <w:r w:rsidRPr="00E9576E">
                    <w:rPr>
                      <w:rFonts w:cs="Arial"/>
                      <w:color w:val="000000"/>
                      <w:lang w:val="es-CR"/>
                    </w:rPr>
                    <w:t xml:space="preserve"> Costa Rica Calificadora de Riesgo S.A.</w:t>
                  </w:r>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SC</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Sociedad Calificadora de Riesgo</w:t>
                  </w:r>
                </w:p>
              </w:tc>
            </w:tr>
            <w:tr w:rsidR="00F11E02" w:rsidRPr="00B60A8C"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FU</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GC Global Calificadora de Riesgo S.A.</w:t>
                  </w:r>
                </w:p>
                <w:p w:rsidR="00F11E02" w:rsidRPr="00E9576E" w:rsidRDefault="00F11E02" w:rsidP="00F11E02">
                  <w:pPr>
                    <w:spacing w:after="0" w:line="240" w:lineRule="auto"/>
                    <w:rPr>
                      <w:rFonts w:cs="Arial"/>
                      <w:color w:val="000000"/>
                      <w:lang w:val="es-CR"/>
                    </w:rPr>
                  </w:pPr>
                  <w:r w:rsidRPr="00E9576E">
                    <w:rPr>
                      <w:rFonts w:cs="Arial"/>
                      <w:color w:val="000000"/>
                      <w:lang w:val="es-CR"/>
                    </w:rPr>
                    <w:t>(Antes FUDECI Calificadora de Riesgo, S.A.)</w:t>
                  </w:r>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PO</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Pondera Calificadora de Riesgo</w:t>
                  </w:r>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PA</w:t>
                  </w:r>
                </w:p>
              </w:tc>
              <w:tc>
                <w:tcPr>
                  <w:tcW w:w="4973" w:type="dxa"/>
                  <w:vAlign w:val="center"/>
                </w:tcPr>
                <w:p w:rsidR="00F11E02" w:rsidRPr="00E9576E" w:rsidRDefault="00F11E02" w:rsidP="00F11E02">
                  <w:pPr>
                    <w:spacing w:after="0" w:line="240" w:lineRule="auto"/>
                    <w:rPr>
                      <w:rFonts w:cs="Arial"/>
                      <w:color w:val="000000"/>
                    </w:rPr>
                  </w:pPr>
                  <w:r w:rsidRPr="00E9576E">
                    <w:rPr>
                      <w:rFonts w:cs="Arial"/>
                      <w:color w:val="000000"/>
                    </w:rPr>
                    <w:t>Pacific Credit Rating S.A.</w:t>
                  </w:r>
                </w:p>
              </w:tc>
            </w:tr>
            <w:tr w:rsidR="00F11E02" w:rsidRPr="00E9576E"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OT</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Otros</w:t>
                  </w:r>
                </w:p>
              </w:tc>
            </w:tr>
            <w:tr w:rsidR="00F11E02" w:rsidRPr="00B60A8C" w:rsidTr="00F11E02">
              <w:trPr>
                <w:trHeight w:val="260"/>
              </w:trPr>
              <w:tc>
                <w:tcPr>
                  <w:tcW w:w="1361"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NO</w:t>
                  </w:r>
                </w:p>
              </w:tc>
              <w:tc>
                <w:tcPr>
                  <w:tcW w:w="4973" w:type="dxa"/>
                  <w:vAlign w:val="center"/>
                </w:tcPr>
                <w:p w:rsidR="00F11E02" w:rsidRPr="00E9576E" w:rsidRDefault="00F11E02" w:rsidP="00F11E02">
                  <w:pPr>
                    <w:spacing w:after="0" w:line="240" w:lineRule="auto"/>
                    <w:rPr>
                      <w:rFonts w:cs="Arial"/>
                      <w:color w:val="000000"/>
                      <w:lang w:val="es-CR"/>
                    </w:rPr>
                  </w:pPr>
                  <w:r w:rsidRPr="00E9576E">
                    <w:rPr>
                      <w:rFonts w:cs="Arial"/>
                      <w:color w:val="000000"/>
                      <w:lang w:val="es-CR"/>
                    </w:rPr>
                    <w:t>Valor no sujeto a un proceso de calificación de riesgo</w:t>
                  </w:r>
                </w:p>
              </w:tc>
            </w:tr>
          </w:tbl>
          <w:p w:rsidR="000B066E" w:rsidRPr="00E9576E" w:rsidRDefault="000B066E"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p>
          <w:p w:rsidR="000B066E" w:rsidRPr="00E9576E" w:rsidRDefault="000B066E"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p>
          <w:p w:rsidR="000B066E" w:rsidRPr="00E9576E" w:rsidRDefault="000B066E"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p>
          <w:p w:rsidR="000B066E" w:rsidRPr="00E9576E" w:rsidRDefault="000B066E"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p>
          <w:p w:rsidR="000B066E" w:rsidRPr="00E9576E" w:rsidRDefault="000B066E" w:rsidP="000B066E">
            <w:pPr>
              <w:cnfStyle w:val="000000000000" w:firstRow="0" w:lastRow="0" w:firstColumn="0" w:lastColumn="0" w:oddVBand="0" w:evenVBand="0" w:oddHBand="0" w:evenHBand="0" w:firstRowFirstColumn="0" w:firstRowLastColumn="0" w:lastRowFirstColumn="0" w:lastRowLastColumn="0"/>
              <w:rPr>
                <w:rFonts w:cs="Arial"/>
                <w:b/>
                <w:bCs/>
                <w:color w:val="000000"/>
                <w:lang w:val="es-CR"/>
              </w:rPr>
            </w:pPr>
          </w:p>
          <w:p w:rsidR="000B066E" w:rsidRPr="002B061B"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0B066E" w:rsidRPr="00386E9D"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Canal Venta</w:t>
            </w:r>
          </w:p>
        </w:tc>
        <w:tc>
          <w:tcPr>
            <w:tcW w:w="7655" w:type="dxa"/>
          </w:tcPr>
          <w:p w:rsidR="000B066E"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Medio por el cual se adquirió la inversión: </w:t>
            </w:r>
          </w:p>
          <w:p w:rsidR="000B066E" w:rsidRDefault="000B066E" w:rsidP="000B0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 xml:space="preserve">(B): </w:t>
            </w:r>
            <w:r w:rsidRPr="00CE3D64">
              <w:rPr>
                <w:rFonts w:cs="Arial"/>
                <w:color w:val="000000"/>
                <w:lang w:val="es-CR"/>
              </w:rPr>
              <w:t>a través de la Bolsa Nacional de Valores</w:t>
            </w:r>
          </w:p>
          <w:p w:rsidR="000B066E" w:rsidRDefault="000B066E" w:rsidP="000B0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 xml:space="preserve">(V): </w:t>
            </w:r>
            <w:r w:rsidRPr="00CE3D64">
              <w:rPr>
                <w:rFonts w:cs="Arial"/>
                <w:color w:val="000000"/>
                <w:lang w:val="es-CR"/>
              </w:rPr>
              <w:t>por ventanilla</w:t>
            </w:r>
          </w:p>
          <w:p w:rsidR="000B066E" w:rsidRDefault="000B066E" w:rsidP="00F11E0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 xml:space="preserve">(I): </w:t>
            </w:r>
            <w:r w:rsidRPr="00CE3D64">
              <w:rPr>
                <w:rFonts w:cs="Arial"/>
                <w:color w:val="000000"/>
                <w:lang w:val="es-CR"/>
              </w:rPr>
              <w:t xml:space="preserve">en los mercados internacionales </w:t>
            </w:r>
          </w:p>
          <w:p w:rsidR="00F11E02" w:rsidRPr="002B061B" w:rsidRDefault="00F11E02" w:rsidP="00F11E02">
            <w:pPr>
              <w:pStyle w:val="ListParagraph"/>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0B066E"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 xml:space="preserve">Clasificación </w:t>
            </w:r>
          </w:p>
        </w:tc>
        <w:tc>
          <w:tcPr>
            <w:tcW w:w="7655" w:type="dxa"/>
          </w:tcPr>
          <w:p w:rsidR="000B066E" w:rsidRDefault="000B066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Hace referencia al tipo de fondo</w:t>
            </w:r>
            <w:r>
              <w:rPr>
                <w:rFonts w:cs="Arial"/>
                <w:color w:val="000000"/>
                <w:lang w:val="es-CR"/>
              </w:rPr>
              <w:t>, el cual puede ser:</w:t>
            </w:r>
          </w:p>
          <w:p w:rsidR="000B066E" w:rsidRPr="00CE3D64" w:rsidRDefault="000B066E" w:rsidP="000B066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Mercado de dinero (fondo líquido)</w:t>
            </w:r>
          </w:p>
          <w:p w:rsidR="000B066E" w:rsidRPr="00CE3D64" w:rsidRDefault="000B066E" w:rsidP="000B066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Ingreso (de largo plazo, con distribución periódica de rendimientos)</w:t>
            </w:r>
          </w:p>
          <w:p w:rsidR="000B066E" w:rsidRDefault="000B066E" w:rsidP="000B066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De crecimiento (fondos que invierten en valores que por su naturaleza o por su política de reinversión van incrementando su valor en el tiempo)</w:t>
            </w:r>
          </w:p>
          <w:p w:rsidR="000B066E" w:rsidRDefault="000B066E" w:rsidP="000B066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I</w:t>
            </w:r>
            <w:r w:rsidRPr="002B061B">
              <w:rPr>
                <w:rFonts w:cs="Arial"/>
                <w:color w:val="000000"/>
                <w:lang w:val="es-CR"/>
              </w:rPr>
              <w:t xml:space="preserve">nmobiliarios y de desarrollo inmobiliario (con la mayor participación en inversiones </w:t>
            </w:r>
            <w:r>
              <w:rPr>
                <w:rFonts w:cs="Arial"/>
                <w:color w:val="000000"/>
                <w:lang w:val="es-CR"/>
              </w:rPr>
              <w:t>relacionadas con</w:t>
            </w:r>
            <w:r w:rsidRPr="002B061B">
              <w:rPr>
                <w:rFonts w:cs="Arial"/>
                <w:color w:val="000000"/>
                <w:lang w:val="es-CR"/>
              </w:rPr>
              <w:t xml:space="preserve"> </w:t>
            </w:r>
            <w:r>
              <w:rPr>
                <w:rFonts w:cs="Arial"/>
                <w:color w:val="000000"/>
                <w:lang w:val="es-CR"/>
              </w:rPr>
              <w:t>activos</w:t>
            </w:r>
            <w:r w:rsidRPr="002B061B">
              <w:rPr>
                <w:rFonts w:cs="Arial"/>
                <w:color w:val="000000"/>
                <w:lang w:val="es-CR"/>
              </w:rPr>
              <w:t xml:space="preserve"> no financieros</w:t>
            </w:r>
            <w:r>
              <w:rPr>
                <w:rFonts w:cs="Arial"/>
                <w:color w:val="000000"/>
                <w:lang w:val="es-CR"/>
              </w:rPr>
              <w:t>, como:</w:t>
            </w:r>
            <w:r w:rsidRPr="002B061B">
              <w:rPr>
                <w:rFonts w:cs="Arial"/>
                <w:color w:val="000000"/>
                <w:lang w:val="es-CR"/>
              </w:rPr>
              <w:t xml:space="preserve"> propiedades)</w:t>
            </w:r>
          </w:p>
          <w:p w:rsidR="000B066E" w:rsidRDefault="000B066E" w:rsidP="000B066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proofErr w:type="spellStart"/>
            <w:r>
              <w:rPr>
                <w:rFonts w:cs="Arial"/>
                <w:color w:val="000000"/>
                <w:lang w:val="es-CR"/>
              </w:rPr>
              <w:t>M</w:t>
            </w:r>
            <w:r w:rsidRPr="002B061B">
              <w:rPr>
                <w:rFonts w:cs="Arial"/>
                <w:color w:val="000000"/>
                <w:lang w:val="es-CR"/>
              </w:rPr>
              <w:t>egafondo</w:t>
            </w:r>
            <w:r>
              <w:rPr>
                <w:rFonts w:cs="Arial"/>
                <w:color w:val="000000"/>
                <w:lang w:val="es-CR"/>
              </w:rPr>
              <w:t>s</w:t>
            </w:r>
            <w:proofErr w:type="spellEnd"/>
            <w:r w:rsidRPr="002B061B">
              <w:rPr>
                <w:rFonts w:cs="Arial"/>
                <w:color w:val="000000"/>
                <w:lang w:val="es-CR"/>
              </w:rPr>
              <w:t xml:space="preserve"> (fondos que invierten en otros fondos) </w:t>
            </w:r>
          </w:p>
          <w:p w:rsidR="000B066E"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D</w:t>
            </w:r>
            <w:r w:rsidRPr="002B061B">
              <w:rPr>
                <w:rFonts w:cs="Arial"/>
                <w:color w:val="000000"/>
                <w:lang w:val="es-CR"/>
              </w:rPr>
              <w:t>e titularización (</w:t>
            </w:r>
            <w:r>
              <w:rPr>
                <w:rFonts w:cs="Arial"/>
                <w:color w:val="000000"/>
                <w:lang w:val="es-CR"/>
              </w:rPr>
              <w:t>fondos que invierten</w:t>
            </w:r>
            <w:r w:rsidRPr="002B061B">
              <w:rPr>
                <w:rFonts w:cs="Arial"/>
                <w:color w:val="000000"/>
                <w:lang w:val="es-CR"/>
              </w:rPr>
              <w:t xml:space="preserve"> </w:t>
            </w:r>
            <w:r>
              <w:rPr>
                <w:rFonts w:cs="Arial"/>
                <w:color w:val="000000"/>
                <w:lang w:val="es-CR"/>
              </w:rPr>
              <w:t xml:space="preserve">en </w:t>
            </w:r>
            <w:r w:rsidRPr="002B061B">
              <w:rPr>
                <w:rFonts w:cs="Arial"/>
                <w:color w:val="000000"/>
                <w:lang w:val="es-CR"/>
              </w:rPr>
              <w:t>hipotecas u otros</w:t>
            </w:r>
            <w:r>
              <w:rPr>
                <w:rFonts w:cs="Arial"/>
                <w:color w:val="000000"/>
                <w:lang w:val="es-CR"/>
              </w:rPr>
              <w:t xml:space="preserve"> derechos de cobro).</w:t>
            </w:r>
          </w:p>
          <w:p w:rsidR="00F11E02" w:rsidRPr="002B061B" w:rsidRDefault="00F11E02"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0B066E"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color w:val="000000"/>
                <w:lang w:val="es-CR"/>
              </w:rPr>
              <w:t>Código Fondo</w:t>
            </w:r>
          </w:p>
        </w:tc>
        <w:tc>
          <w:tcPr>
            <w:tcW w:w="7655" w:type="dxa"/>
          </w:tcPr>
          <w:p w:rsidR="000B066E" w:rsidRPr="002B061B"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Código </w:t>
            </w:r>
            <w:r>
              <w:rPr>
                <w:rFonts w:cs="Arial"/>
                <w:color w:val="000000"/>
                <w:lang w:val="es-CR"/>
              </w:rPr>
              <w:t>asignado al Fondo de Inversión por</w:t>
            </w:r>
            <w:r w:rsidRPr="002B061B">
              <w:rPr>
                <w:rFonts w:cs="Arial"/>
                <w:color w:val="000000"/>
                <w:lang w:val="es-CR"/>
              </w:rPr>
              <w:t xml:space="preserve"> la Superintendencia General de Valores</w:t>
            </w:r>
            <w:r>
              <w:rPr>
                <w:rFonts w:cs="Arial"/>
                <w:color w:val="000000"/>
                <w:lang w:val="es-CR"/>
              </w:rPr>
              <w:t>,</w:t>
            </w:r>
            <w:r w:rsidRPr="002B061B">
              <w:rPr>
                <w:rFonts w:cs="Arial"/>
                <w:color w:val="000000"/>
                <w:lang w:val="es-CR"/>
              </w:rPr>
              <w:t xml:space="preserve"> </w:t>
            </w:r>
            <w:r>
              <w:rPr>
                <w:rFonts w:cs="Arial"/>
                <w:color w:val="000000"/>
                <w:lang w:val="es-CR"/>
              </w:rPr>
              <w:t xml:space="preserve">al </w:t>
            </w:r>
            <w:r w:rsidRPr="002B061B">
              <w:rPr>
                <w:rFonts w:cs="Arial"/>
                <w:color w:val="000000"/>
                <w:lang w:val="es-CR"/>
              </w:rPr>
              <w:t>inscrib</w:t>
            </w:r>
            <w:r>
              <w:rPr>
                <w:rFonts w:cs="Arial"/>
                <w:color w:val="000000"/>
                <w:lang w:val="es-CR"/>
              </w:rPr>
              <w:t>irs</w:t>
            </w:r>
            <w:r w:rsidRPr="002B061B">
              <w:rPr>
                <w:rFonts w:cs="Arial"/>
                <w:color w:val="000000"/>
                <w:lang w:val="es-CR"/>
              </w:rPr>
              <w:t xml:space="preserve">e </w:t>
            </w:r>
            <w:r>
              <w:rPr>
                <w:rFonts w:cs="Arial"/>
                <w:color w:val="000000"/>
                <w:lang w:val="es-CR"/>
              </w:rPr>
              <w:t>dicho fondo</w:t>
            </w:r>
            <w:r w:rsidRPr="002B061B">
              <w:rPr>
                <w:rFonts w:cs="Arial"/>
                <w:color w:val="000000"/>
                <w:lang w:val="es-CR"/>
              </w:rPr>
              <w:t>.</w:t>
            </w:r>
          </w:p>
        </w:tc>
      </w:tr>
      <w:tr w:rsidR="000B066E"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Código ISIN</w:t>
            </w:r>
          </w:p>
        </w:tc>
        <w:tc>
          <w:tcPr>
            <w:tcW w:w="7655" w:type="dxa"/>
          </w:tcPr>
          <w:p w:rsidR="000B066E" w:rsidRPr="002B061B"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A</w:t>
            </w:r>
            <w:r w:rsidRPr="002B061B">
              <w:rPr>
                <w:rFonts w:cs="Arial"/>
                <w:color w:val="000000"/>
                <w:lang w:val="es-CR"/>
              </w:rPr>
              <w:t xml:space="preserve">breviatura de </w:t>
            </w:r>
            <w:r w:rsidRPr="00204AA4">
              <w:rPr>
                <w:rFonts w:cs="Arial"/>
                <w:i/>
                <w:color w:val="000000"/>
                <w:lang w:val="es-CR"/>
              </w:rPr>
              <w:t xml:space="preserve">International </w:t>
            </w:r>
            <w:proofErr w:type="spellStart"/>
            <w:r>
              <w:rPr>
                <w:rFonts w:cs="Arial"/>
                <w:i/>
                <w:color w:val="000000"/>
                <w:lang w:val="es-CR"/>
              </w:rPr>
              <w:t>Securities</w:t>
            </w:r>
            <w:proofErr w:type="spellEnd"/>
            <w:r w:rsidRPr="00204AA4">
              <w:rPr>
                <w:rFonts w:cs="Arial"/>
                <w:i/>
                <w:color w:val="000000"/>
                <w:lang w:val="es-CR"/>
              </w:rPr>
              <w:t xml:space="preserve"> </w:t>
            </w:r>
            <w:proofErr w:type="spellStart"/>
            <w:r w:rsidRPr="00204AA4">
              <w:rPr>
                <w:rFonts w:cs="Arial"/>
                <w:i/>
                <w:color w:val="000000"/>
                <w:lang w:val="es-CR"/>
              </w:rPr>
              <w:t>Identification</w:t>
            </w:r>
            <w:proofErr w:type="spellEnd"/>
            <w:r w:rsidRPr="00204AA4">
              <w:rPr>
                <w:rFonts w:cs="Arial"/>
                <w:i/>
                <w:color w:val="000000"/>
                <w:lang w:val="es-CR"/>
              </w:rPr>
              <w:t xml:space="preserve"> </w:t>
            </w:r>
            <w:proofErr w:type="spellStart"/>
            <w:r w:rsidRPr="00204AA4">
              <w:rPr>
                <w:rFonts w:cs="Arial"/>
                <w:i/>
                <w:color w:val="000000"/>
                <w:lang w:val="es-CR"/>
              </w:rPr>
              <w:t>Number</w:t>
            </w:r>
            <w:proofErr w:type="spellEnd"/>
            <w:r w:rsidRPr="002B061B">
              <w:rPr>
                <w:rFonts w:cs="Arial"/>
                <w:color w:val="000000"/>
                <w:lang w:val="es-CR"/>
              </w:rPr>
              <w:t xml:space="preserve">, que se refiere al número de identificación de valores </w:t>
            </w:r>
            <w:r>
              <w:rPr>
                <w:rFonts w:cs="Arial"/>
                <w:color w:val="000000"/>
                <w:lang w:val="es-CR"/>
              </w:rPr>
              <w:t xml:space="preserve">a nivel </w:t>
            </w:r>
            <w:r w:rsidRPr="002B061B">
              <w:rPr>
                <w:rFonts w:cs="Arial"/>
                <w:color w:val="000000"/>
                <w:lang w:val="es-CR"/>
              </w:rPr>
              <w:t xml:space="preserve">internacional. </w:t>
            </w:r>
            <w:r>
              <w:rPr>
                <w:rFonts w:cs="Arial"/>
                <w:color w:val="000000"/>
                <w:lang w:val="es-CR"/>
              </w:rPr>
              <w:t>Para el caso de los valores locales,</w:t>
            </w:r>
            <w:r w:rsidRPr="002B061B">
              <w:rPr>
                <w:rFonts w:cs="Arial"/>
                <w:color w:val="000000"/>
                <w:lang w:val="es-CR"/>
              </w:rPr>
              <w:t xml:space="preserve"> es asignado por la Bolsa Nacional de Valores.</w:t>
            </w:r>
          </w:p>
        </w:tc>
      </w:tr>
      <w:tr w:rsidR="009F18AB"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9F18AB" w:rsidRPr="002B061B" w:rsidRDefault="009F18AB" w:rsidP="009F18AB">
            <w:pPr>
              <w:jc w:val="left"/>
              <w:rPr>
                <w:rFonts w:cs="Arial"/>
                <w:b/>
                <w:bCs/>
                <w:color w:val="000000"/>
                <w:lang w:val="es-CR"/>
              </w:rPr>
            </w:pPr>
            <w:r w:rsidRPr="002B061B">
              <w:rPr>
                <w:rFonts w:cs="Arial"/>
                <w:b/>
                <w:color w:val="000000"/>
                <w:lang w:val="es-CR"/>
              </w:rPr>
              <w:lastRenderedPageBreak/>
              <w:t>Código SFI</w:t>
            </w:r>
          </w:p>
        </w:tc>
        <w:tc>
          <w:tcPr>
            <w:tcW w:w="7655" w:type="dxa"/>
          </w:tcPr>
          <w:p w:rsidR="009F18AB" w:rsidRPr="002B061B" w:rsidRDefault="009F18AB" w:rsidP="009F18AB">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Código </w:t>
            </w:r>
            <w:r>
              <w:rPr>
                <w:rFonts w:cs="Arial"/>
                <w:color w:val="000000"/>
                <w:lang w:val="es-CR"/>
              </w:rPr>
              <w:t>asignado a la Sociedad Administradora de Fondos de Inversión por</w:t>
            </w:r>
            <w:r w:rsidRPr="002B061B">
              <w:rPr>
                <w:rFonts w:cs="Arial"/>
                <w:color w:val="000000"/>
                <w:lang w:val="es-CR"/>
              </w:rPr>
              <w:t xml:space="preserve"> la Superintendencia General de Valores</w:t>
            </w:r>
            <w:r>
              <w:rPr>
                <w:rFonts w:cs="Arial"/>
                <w:color w:val="000000"/>
                <w:lang w:val="es-CR"/>
              </w:rPr>
              <w:t>,</w:t>
            </w:r>
            <w:r w:rsidRPr="002B061B">
              <w:rPr>
                <w:rFonts w:cs="Arial"/>
                <w:color w:val="000000"/>
                <w:lang w:val="es-CR"/>
              </w:rPr>
              <w:t xml:space="preserve"> </w:t>
            </w:r>
            <w:r>
              <w:rPr>
                <w:rFonts w:cs="Arial"/>
                <w:color w:val="000000"/>
                <w:lang w:val="es-CR"/>
              </w:rPr>
              <w:t xml:space="preserve">al </w:t>
            </w:r>
            <w:r w:rsidRPr="002B061B">
              <w:rPr>
                <w:rFonts w:cs="Arial"/>
                <w:color w:val="000000"/>
                <w:lang w:val="es-CR"/>
              </w:rPr>
              <w:t>inscrib</w:t>
            </w:r>
            <w:r>
              <w:rPr>
                <w:rFonts w:cs="Arial"/>
                <w:color w:val="000000"/>
                <w:lang w:val="es-CR"/>
              </w:rPr>
              <w:t>irs</w:t>
            </w:r>
            <w:r w:rsidRPr="002B061B">
              <w:rPr>
                <w:rFonts w:cs="Arial"/>
                <w:color w:val="000000"/>
                <w:lang w:val="es-CR"/>
              </w:rPr>
              <w:t>e la sociedad.</w:t>
            </w:r>
          </w:p>
        </w:tc>
      </w:tr>
      <w:tr w:rsidR="000B066E" w:rsidRPr="00B60A8C" w:rsidTr="00F11E02">
        <w:trPr>
          <w:trHeight w:val="395"/>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Costo</w:t>
            </w:r>
          </w:p>
        </w:tc>
        <w:tc>
          <w:tcPr>
            <w:tcW w:w="7655" w:type="dxa"/>
          </w:tcPr>
          <w:p w:rsidR="000B066E" w:rsidRPr="002B061B"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Desembolso o pago por la adquisición del título.</w:t>
            </w:r>
          </w:p>
        </w:tc>
      </w:tr>
      <w:tr w:rsidR="000B066E"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Custodio</w:t>
            </w:r>
          </w:p>
        </w:tc>
        <w:tc>
          <w:tcPr>
            <w:tcW w:w="7655" w:type="dxa"/>
          </w:tcPr>
          <w:p w:rsidR="00F11E02" w:rsidRPr="002B061B" w:rsidRDefault="000B066E" w:rsidP="00F11E02">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Entidad que presta el servicio de custodia, para el cuidado y conservación de valores y el efectivo relacionado</w:t>
            </w:r>
            <w:r>
              <w:rPr>
                <w:rFonts w:cs="Arial"/>
                <w:color w:val="000000"/>
                <w:lang w:val="es-CR"/>
              </w:rPr>
              <w:t xml:space="preserve"> del fondo de inversión</w:t>
            </w:r>
            <w:r w:rsidRPr="002B061B">
              <w:rPr>
                <w:rFonts w:cs="Arial"/>
                <w:color w:val="000000"/>
                <w:lang w:val="es-CR"/>
              </w:rPr>
              <w:t>, así como el registro de su titularidad, lo cual implica identificar en todo momento al propietario de los valores.</w:t>
            </w:r>
            <w:r w:rsidR="00F11E02" w:rsidRPr="002B061B">
              <w:rPr>
                <w:rFonts w:cs="Arial"/>
                <w:color w:val="000000"/>
                <w:lang w:val="es-CR"/>
              </w:rPr>
              <w:t xml:space="preserve"> </w:t>
            </w:r>
          </w:p>
        </w:tc>
      </w:tr>
      <w:tr w:rsidR="000B066E" w:rsidRPr="00B60A8C" w:rsidTr="00F11E02">
        <w:trPr>
          <w:trHeight w:val="477"/>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Fecha Cartera</w:t>
            </w:r>
          </w:p>
        </w:tc>
        <w:tc>
          <w:tcPr>
            <w:tcW w:w="7655" w:type="dxa"/>
          </w:tcPr>
          <w:p w:rsidR="000B066E" w:rsidRPr="002B061B"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0B56F8">
              <w:rPr>
                <w:rFonts w:cs="Arial"/>
                <w:color w:val="000000"/>
                <w:lang w:val="es-CR"/>
              </w:rPr>
              <w:t xml:space="preserve">Fecha </w:t>
            </w:r>
            <w:r w:rsidRPr="002B061B">
              <w:rPr>
                <w:rFonts w:cs="Arial"/>
                <w:color w:val="000000"/>
                <w:lang w:val="es-CR"/>
              </w:rPr>
              <w:t>de corte a la cual se reflejan los datos.</w:t>
            </w:r>
          </w:p>
        </w:tc>
      </w:tr>
      <w:tr w:rsidR="000B066E" w:rsidRPr="00B60A8C" w:rsidTr="00F11E0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Fecha Operación</w:t>
            </w:r>
          </w:p>
        </w:tc>
        <w:tc>
          <w:tcPr>
            <w:tcW w:w="7655" w:type="dxa"/>
          </w:tcPr>
          <w:p w:rsidR="000B066E" w:rsidRPr="002B061B"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Fecha</w:t>
            </w:r>
            <w:r w:rsidRPr="002B061B">
              <w:rPr>
                <w:rFonts w:cs="Arial"/>
                <w:color w:val="000000"/>
                <w:lang w:val="es-CR"/>
              </w:rPr>
              <w:t xml:space="preserve"> en la cual se llevó a cabo la transacción.</w:t>
            </w:r>
          </w:p>
        </w:tc>
      </w:tr>
      <w:tr w:rsidR="000B066E"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Ganancias/Pérdidas no realizadas</w:t>
            </w:r>
          </w:p>
        </w:tc>
        <w:tc>
          <w:tcPr>
            <w:tcW w:w="7655" w:type="dxa"/>
          </w:tcPr>
          <w:p w:rsidR="000B066E"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Monto de las ganancias o pérdidas no realizadas en </w:t>
            </w:r>
            <w:hyperlink w:anchor="Valoracion" w:history="1">
              <w:r w:rsidRPr="00277953">
                <w:rPr>
                  <w:rStyle w:val="Hyperlink"/>
                  <w:rFonts w:cs="Arial"/>
                  <w:lang w:val="es-CR"/>
                </w:rPr>
                <w:t>valoración</w:t>
              </w:r>
            </w:hyperlink>
            <w:r w:rsidRPr="002B061B">
              <w:rPr>
                <w:rFonts w:cs="Arial"/>
                <w:color w:val="000000"/>
                <w:lang w:val="es-CR"/>
              </w:rPr>
              <w:t xml:space="preserve"> a precios de mercado</w:t>
            </w:r>
            <w:r>
              <w:rPr>
                <w:rFonts w:cs="Arial"/>
                <w:color w:val="000000"/>
                <w:lang w:val="es-CR"/>
              </w:rPr>
              <w:t>,</w:t>
            </w:r>
            <w:r w:rsidRPr="002B061B">
              <w:rPr>
                <w:rFonts w:cs="Arial"/>
                <w:color w:val="000000"/>
                <w:lang w:val="es-CR"/>
              </w:rPr>
              <w:t xml:space="preserve"> a la fecha </w:t>
            </w:r>
            <w:r>
              <w:rPr>
                <w:rFonts w:cs="Arial"/>
                <w:color w:val="000000"/>
                <w:lang w:val="es-CR"/>
              </w:rPr>
              <w:t xml:space="preserve">de corte </w:t>
            </w:r>
            <w:r w:rsidRPr="002B061B">
              <w:rPr>
                <w:rFonts w:cs="Arial"/>
                <w:color w:val="000000"/>
                <w:lang w:val="es-CR"/>
              </w:rPr>
              <w:t xml:space="preserve"> de la cartera. (</w:t>
            </w:r>
            <w:r>
              <w:rPr>
                <w:rFonts w:cs="Arial"/>
                <w:color w:val="000000"/>
                <w:lang w:val="es-CR"/>
              </w:rPr>
              <w:t>No</w:t>
            </w:r>
            <w:r w:rsidRPr="002B061B">
              <w:rPr>
                <w:rFonts w:cs="Arial"/>
                <w:color w:val="000000"/>
                <w:lang w:val="es-CR"/>
              </w:rPr>
              <w:t xml:space="preserve"> se han hecho efectivas, se trata de la valoración a mercado a la fecha de la cartera)</w:t>
            </w:r>
          </w:p>
          <w:p w:rsidR="00F11E02" w:rsidRPr="002B061B" w:rsidRDefault="00F11E02"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0B066E"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Indicador Estandarización</w:t>
            </w:r>
          </w:p>
        </w:tc>
        <w:tc>
          <w:tcPr>
            <w:tcW w:w="7655" w:type="dxa"/>
          </w:tcPr>
          <w:p w:rsidR="000B066E" w:rsidRDefault="000B066E" w:rsidP="000B066E">
            <w:pPr>
              <w:jc w:val="both"/>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 xml:space="preserve">(1): Estandarizadas: </w:t>
            </w:r>
            <w:r w:rsidRPr="002B061B">
              <w:rPr>
                <w:rFonts w:cs="Arial"/>
                <w:color w:val="000000"/>
                <w:lang w:val="es-CR"/>
              </w:rPr>
              <w:t>Se consideran emisiones de valores estandarizadas aquellas provenientes de un mismo emisor</w:t>
            </w:r>
            <w:r>
              <w:rPr>
                <w:rFonts w:cs="Arial"/>
                <w:color w:val="000000"/>
                <w:lang w:val="es-CR"/>
              </w:rPr>
              <w:t>,</w:t>
            </w:r>
            <w:r w:rsidRPr="002B061B">
              <w:rPr>
                <w:rFonts w:cs="Arial"/>
                <w:color w:val="000000"/>
                <w:lang w:val="es-CR"/>
              </w:rPr>
              <w:t xml:space="preserve"> en las </w:t>
            </w:r>
            <w:r>
              <w:rPr>
                <w:rFonts w:cs="Arial"/>
                <w:color w:val="000000"/>
                <w:lang w:val="es-CR"/>
              </w:rPr>
              <w:t xml:space="preserve">cuales </w:t>
            </w:r>
            <w:r w:rsidRPr="002B061B">
              <w:rPr>
                <w:rFonts w:cs="Arial"/>
                <w:color w:val="000000"/>
                <w:lang w:val="es-CR"/>
              </w:rPr>
              <w:t xml:space="preserve">todos los valores que las componen confieren a su tenedor idénticos derechos y obligaciones. </w:t>
            </w:r>
          </w:p>
          <w:p w:rsidR="000B066E"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(0): No Estandarizadas: Emisiones de valores que no cumplen con las condiciones establecidas para valores estandarizados.</w:t>
            </w:r>
          </w:p>
          <w:p w:rsidR="00F11E02" w:rsidRPr="002B061B" w:rsidRDefault="00F11E02"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0B066E" w:rsidRPr="006D62EE"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Indicador Reportos</w:t>
            </w:r>
          </w:p>
        </w:tc>
        <w:tc>
          <w:tcPr>
            <w:tcW w:w="7655" w:type="dxa"/>
          </w:tcPr>
          <w:p w:rsidR="000B066E" w:rsidRDefault="000B066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Identifica si el instrumento se encuentra:</w:t>
            </w:r>
          </w:p>
          <w:p w:rsidR="006D62EE" w:rsidRDefault="006D62E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p>
          <w:p w:rsidR="000B066E" w:rsidRPr="00CE3D64" w:rsidRDefault="000B066E" w:rsidP="000B066E">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(N): Disponible para la venta</w:t>
            </w:r>
          </w:p>
          <w:p w:rsidR="000B066E" w:rsidRPr="00CE3D64" w:rsidRDefault="000B066E" w:rsidP="000B066E">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(RC): Dado en garantía para solicitar financiamiento en una operación de reporto tripartito</w:t>
            </w:r>
            <w:r>
              <w:rPr>
                <w:rFonts w:cs="Arial"/>
                <w:color w:val="000000"/>
                <w:lang w:val="es-CR"/>
              </w:rPr>
              <w:t>, con posición compradora a plazo</w:t>
            </w:r>
          </w:p>
          <w:p w:rsidR="000B066E" w:rsidRDefault="000B066E" w:rsidP="000B066E">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color w:val="000000"/>
                <w:lang w:val="es-CR"/>
              </w:rPr>
              <w:t>(RV): Invertido en una operación de reporto tripartito (RV)</w:t>
            </w:r>
            <w:r>
              <w:rPr>
                <w:rFonts w:cs="Arial"/>
                <w:color w:val="000000"/>
                <w:lang w:val="es-CR"/>
              </w:rPr>
              <w:t>, con posición vendedora a plazo.</w:t>
            </w:r>
          </w:p>
          <w:p w:rsidR="000B066E" w:rsidRDefault="000B066E" w:rsidP="000B066E">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 xml:space="preserve">(P): En préstamo de valores. </w:t>
            </w:r>
          </w:p>
          <w:p w:rsidR="006D62EE" w:rsidRDefault="006D62E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p>
          <w:p w:rsidR="000B066E" w:rsidRDefault="006D62E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w:t>
            </w:r>
            <w:r w:rsidR="000B066E" w:rsidRPr="00CE3D64">
              <w:rPr>
                <w:rFonts w:cs="Arial"/>
                <w:color w:val="000000"/>
                <w:lang w:val="es-CR"/>
              </w:rPr>
              <w:t>Se consideran operaciones de reporto</w:t>
            </w:r>
            <w:r w:rsidR="000B066E">
              <w:rPr>
                <w:rFonts w:cs="Arial"/>
                <w:color w:val="000000"/>
                <w:lang w:val="es-CR"/>
              </w:rPr>
              <w:t xml:space="preserve"> tripartito,</w:t>
            </w:r>
            <w:r w:rsidR="000B066E" w:rsidRPr="00CE3D64">
              <w:rPr>
                <w:rFonts w:cs="Arial"/>
                <w:color w:val="000000"/>
                <w:lang w:val="es-CR"/>
              </w:rPr>
              <w:t xml:space="preserve"> aquellas en las cuales el reportado (vendedor a hoy y comprador </w:t>
            </w:r>
            <w:r w:rsidR="000B066E">
              <w:rPr>
                <w:rFonts w:cs="Arial"/>
                <w:color w:val="000000"/>
                <w:lang w:val="es-CR"/>
              </w:rPr>
              <w:t xml:space="preserve">al </w:t>
            </w:r>
            <w:r w:rsidR="000B066E" w:rsidRPr="00CE3D64">
              <w:rPr>
                <w:rFonts w:cs="Arial"/>
                <w:color w:val="000000"/>
                <w:lang w:val="es-CR"/>
              </w:rPr>
              <w:t xml:space="preserve">final </w:t>
            </w:r>
            <w:r w:rsidR="000B066E">
              <w:rPr>
                <w:rFonts w:cs="Arial"/>
                <w:color w:val="000000"/>
                <w:lang w:val="es-CR"/>
              </w:rPr>
              <w:t>del</w:t>
            </w:r>
            <w:r w:rsidR="000B066E" w:rsidRPr="00CE3D64">
              <w:rPr>
                <w:rFonts w:cs="Arial"/>
                <w:color w:val="000000"/>
                <w:lang w:val="es-CR"/>
              </w:rPr>
              <w:t xml:space="preserve"> plazo)</w:t>
            </w:r>
            <w:r w:rsidR="000B066E">
              <w:rPr>
                <w:rFonts w:cs="Arial"/>
                <w:color w:val="000000"/>
                <w:lang w:val="es-CR"/>
              </w:rPr>
              <w:t>,</w:t>
            </w:r>
            <w:r w:rsidR="000B066E" w:rsidRPr="00CE3D64">
              <w:rPr>
                <w:rFonts w:cs="Arial"/>
                <w:color w:val="000000"/>
                <w:lang w:val="es-CR"/>
              </w:rPr>
              <w:t xml:space="preserve"> mediante una operación de contado</w:t>
            </w:r>
            <w:r w:rsidR="000B066E">
              <w:rPr>
                <w:rFonts w:cs="Arial"/>
                <w:color w:val="000000"/>
                <w:lang w:val="es-CR"/>
              </w:rPr>
              <w:t>,</w:t>
            </w:r>
            <w:r w:rsidR="000B066E" w:rsidRPr="00CE3D64">
              <w:rPr>
                <w:rFonts w:cs="Arial"/>
                <w:color w:val="000000"/>
                <w:lang w:val="es-CR"/>
              </w:rPr>
              <w:t xml:space="preserve"> traspasa </w:t>
            </w:r>
            <w:r w:rsidR="000B066E">
              <w:rPr>
                <w:rFonts w:cs="Arial"/>
                <w:color w:val="000000"/>
                <w:lang w:val="es-CR"/>
              </w:rPr>
              <w:t>la</w:t>
            </w:r>
            <w:r w:rsidR="000B066E" w:rsidRPr="00CE3D64">
              <w:rPr>
                <w:rFonts w:cs="Arial"/>
                <w:color w:val="000000"/>
                <w:lang w:val="es-CR"/>
              </w:rPr>
              <w:t xml:space="preserve"> propiedad al reportador (comprador a hoy y vendedor </w:t>
            </w:r>
            <w:r w:rsidR="000B066E">
              <w:rPr>
                <w:rFonts w:cs="Arial"/>
                <w:color w:val="000000"/>
                <w:lang w:val="es-CR"/>
              </w:rPr>
              <w:t xml:space="preserve">al </w:t>
            </w:r>
            <w:r w:rsidR="000B066E" w:rsidRPr="00CE3D64">
              <w:rPr>
                <w:rFonts w:cs="Arial"/>
                <w:color w:val="000000"/>
                <w:lang w:val="es-CR"/>
              </w:rPr>
              <w:t>final a plazo), valores de una especie dada por un determinado precio</w:t>
            </w:r>
            <w:r w:rsidR="000B066E">
              <w:rPr>
                <w:rFonts w:cs="Arial"/>
                <w:color w:val="000000"/>
                <w:lang w:val="es-CR"/>
              </w:rPr>
              <w:t>. Con ello</w:t>
            </w:r>
            <w:r w:rsidR="000B066E" w:rsidRPr="00CE3D64">
              <w:rPr>
                <w:rFonts w:cs="Arial"/>
                <w:color w:val="000000"/>
                <w:lang w:val="es-CR"/>
              </w:rPr>
              <w:t>, el reportador asume la obligación de traspasar al reportado, al vencimiento del plazo establecido, la propiedad de otros tantos valores de la misma especie, contra el reembolso del precio, que puede ser aumentado o disminuido en la medida convenida</w:t>
            </w:r>
            <w:r>
              <w:rPr>
                <w:rFonts w:cs="Arial"/>
                <w:color w:val="000000"/>
                <w:lang w:val="es-CR"/>
              </w:rPr>
              <w:t>”</w:t>
            </w:r>
            <w:r w:rsidR="000B066E" w:rsidRPr="00CE3D64">
              <w:rPr>
                <w:rFonts w:cs="Arial"/>
                <w:color w:val="000000"/>
                <w:lang w:val="es-CR"/>
              </w:rPr>
              <w:t>. (</w:t>
            </w:r>
            <w:r w:rsidR="000B066E" w:rsidRPr="00524EEB">
              <w:rPr>
                <w:rFonts w:cs="Arial"/>
                <w:i/>
                <w:color w:val="000000"/>
                <w:lang w:val="es-CR"/>
              </w:rPr>
              <w:t>Reglamento Operaciones de Reporto BNV</w:t>
            </w:r>
            <w:r w:rsidR="00524EEB" w:rsidRPr="00524EEB">
              <w:rPr>
                <w:rFonts w:cs="Arial"/>
                <w:i/>
                <w:color w:val="000000"/>
                <w:lang w:val="es-CR"/>
              </w:rPr>
              <w:t>,</w:t>
            </w:r>
            <w:r w:rsidR="000B066E" w:rsidRPr="00524EEB">
              <w:rPr>
                <w:rFonts w:cs="Arial"/>
                <w:i/>
                <w:color w:val="000000"/>
                <w:lang w:val="es-CR"/>
              </w:rPr>
              <w:t xml:space="preserve"> art. 2</w:t>
            </w:r>
            <w:r w:rsidR="000B066E" w:rsidRPr="00CE3D64">
              <w:rPr>
                <w:rFonts w:cs="Arial"/>
                <w:color w:val="000000"/>
                <w:lang w:val="es-CR"/>
              </w:rPr>
              <w:t xml:space="preserve">). </w:t>
            </w:r>
          </w:p>
          <w:p w:rsidR="006D62EE" w:rsidRPr="00CE3D64" w:rsidRDefault="006D62E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w:t>
            </w:r>
            <w:r w:rsidRPr="006D62EE">
              <w:rPr>
                <w:rFonts w:cs="Arial"/>
                <w:color w:val="000000"/>
                <w:lang w:val="es-CR"/>
              </w:rPr>
              <w:t xml:space="preserve">Se consideran operaciones de reporto tripartito aquellas en las cuales el valor subyacente es traspasado por el reportado en la operación de contado al fideicomiso de garantías administrado por la Bolsa durante el transcurso del plazo de la operación, comprometiéndose a recomprarlo de nuevo en un plazo </w:t>
            </w:r>
            <w:r w:rsidRPr="006D62EE">
              <w:rPr>
                <w:rFonts w:cs="Arial"/>
                <w:color w:val="000000"/>
                <w:lang w:val="es-CR"/>
              </w:rPr>
              <w:lastRenderedPageBreak/>
              <w:t>determinado, contra el reembolso del precio al reportador, que puede ser aumentado o disminuido en la medida convenida.</w:t>
            </w:r>
            <w:r w:rsidRPr="006D62EE">
              <w:rPr>
                <w:lang w:val="es-CR"/>
              </w:rPr>
              <w:t xml:space="preserve"> </w:t>
            </w:r>
            <w:r w:rsidRPr="006D62EE">
              <w:rPr>
                <w:rFonts w:cs="Arial"/>
                <w:color w:val="000000"/>
                <w:lang w:val="es-CR"/>
              </w:rPr>
              <w:t xml:space="preserve">(Reglamento Operaciones de Reporto BNV, art. </w:t>
            </w:r>
            <w:r>
              <w:rPr>
                <w:rFonts w:cs="Arial"/>
                <w:color w:val="000000"/>
                <w:lang w:val="es-CR"/>
              </w:rPr>
              <w:t>17</w:t>
            </w:r>
            <w:r w:rsidRPr="006D62EE">
              <w:rPr>
                <w:rFonts w:cs="Arial"/>
                <w:color w:val="000000"/>
                <w:lang w:val="es-CR"/>
              </w:rPr>
              <w:t>)</w:t>
            </w:r>
            <w:r>
              <w:rPr>
                <w:rFonts w:cs="Arial"/>
                <w:color w:val="000000"/>
                <w:lang w:val="es-CR"/>
              </w:rPr>
              <w:t>”</w:t>
            </w:r>
            <w:r w:rsidRPr="006D62EE">
              <w:rPr>
                <w:rFonts w:cs="Arial"/>
                <w:color w:val="000000"/>
                <w:lang w:val="es-CR"/>
              </w:rPr>
              <w:t>.</w:t>
            </w:r>
          </w:p>
          <w:p w:rsidR="000B066E" w:rsidRPr="002B061B" w:rsidRDefault="000B066E" w:rsidP="000B066E">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0B066E"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lastRenderedPageBreak/>
              <w:t>Intereses Acumulados</w:t>
            </w:r>
          </w:p>
        </w:tc>
        <w:tc>
          <w:tcPr>
            <w:tcW w:w="7655" w:type="dxa"/>
          </w:tcPr>
          <w:p w:rsidR="000B066E" w:rsidRPr="002B061B" w:rsidRDefault="000B066E" w:rsidP="000B066E">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Intereses que ha devengado la inversión a la fecha valor de la cartera</w:t>
            </w:r>
            <w:r>
              <w:rPr>
                <w:rFonts w:cs="Arial"/>
                <w:color w:val="000000"/>
                <w:lang w:val="es-CR"/>
              </w:rPr>
              <w:t xml:space="preserve">, solamente para instrumentos de deuda. </w:t>
            </w:r>
          </w:p>
        </w:tc>
      </w:tr>
      <w:tr w:rsidR="000B066E"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0B066E" w:rsidRPr="002B061B" w:rsidRDefault="000B066E" w:rsidP="00A67DD3">
            <w:pPr>
              <w:jc w:val="left"/>
              <w:rPr>
                <w:rFonts w:cs="Arial"/>
                <w:b/>
                <w:color w:val="000000"/>
                <w:lang w:val="es-CR"/>
              </w:rPr>
            </w:pPr>
            <w:r w:rsidRPr="002B061B">
              <w:rPr>
                <w:rFonts w:cs="Arial"/>
                <w:b/>
                <w:bCs/>
                <w:color w:val="000000"/>
                <w:lang w:val="es-CR"/>
              </w:rPr>
              <w:t>Mecanismo de Reembolso</w:t>
            </w:r>
          </w:p>
        </w:tc>
        <w:tc>
          <w:tcPr>
            <w:tcW w:w="7655" w:type="dxa"/>
          </w:tcPr>
          <w:p w:rsidR="000B066E" w:rsidRDefault="000B066E" w:rsidP="000B066E">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 xml:space="preserve">Clasificación del </w:t>
            </w:r>
            <w:r w:rsidRPr="002B061B">
              <w:rPr>
                <w:rFonts w:cs="Arial"/>
                <w:color w:val="000000"/>
                <w:lang w:val="es-CR"/>
              </w:rPr>
              <w:t>fondo</w:t>
            </w:r>
            <w:r>
              <w:rPr>
                <w:rFonts w:cs="Arial"/>
                <w:color w:val="000000"/>
                <w:lang w:val="es-CR"/>
              </w:rPr>
              <w:t>, según la f</w:t>
            </w:r>
            <w:r w:rsidRPr="002B061B">
              <w:rPr>
                <w:rFonts w:cs="Arial"/>
                <w:color w:val="000000"/>
                <w:lang w:val="es-CR"/>
              </w:rPr>
              <w:t xml:space="preserve">orma en que se van a reembolsar </w:t>
            </w:r>
            <w:r>
              <w:rPr>
                <w:rFonts w:cs="Arial"/>
                <w:color w:val="000000"/>
                <w:lang w:val="es-CR"/>
              </w:rPr>
              <w:t xml:space="preserve">sus </w:t>
            </w:r>
            <w:r w:rsidRPr="002B061B">
              <w:rPr>
                <w:rFonts w:cs="Arial"/>
                <w:color w:val="000000"/>
                <w:lang w:val="es-CR"/>
              </w:rPr>
              <w:t xml:space="preserve">participaciones: </w:t>
            </w:r>
          </w:p>
          <w:p w:rsidR="000B066E" w:rsidRDefault="000B066E" w:rsidP="0075625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CE3D64">
              <w:rPr>
                <w:rFonts w:cs="Arial"/>
                <w:b/>
                <w:color w:val="000000"/>
                <w:lang w:val="es-CR"/>
              </w:rPr>
              <w:t>Fondos Abiertos</w:t>
            </w:r>
            <w:r w:rsidRPr="00CE3D64">
              <w:rPr>
                <w:rFonts w:cs="Arial"/>
                <w:color w:val="000000"/>
                <w:lang w:val="es-CR"/>
              </w:rPr>
              <w:t>: aquellos cuyo patrimonio es variable</w:t>
            </w:r>
            <w:r w:rsidR="00756253">
              <w:rPr>
                <w:rFonts w:cs="Arial"/>
                <w:color w:val="000000"/>
                <w:lang w:val="es-CR"/>
              </w:rPr>
              <w:t xml:space="preserve"> </w:t>
            </w:r>
            <w:r w:rsidR="00756253" w:rsidRPr="00756253">
              <w:rPr>
                <w:rFonts w:cs="Arial"/>
                <w:color w:val="000000"/>
                <w:lang w:val="es-CR"/>
              </w:rPr>
              <w:t>e ilimitado</w:t>
            </w:r>
            <w:r>
              <w:rPr>
                <w:rFonts w:cs="Arial"/>
                <w:color w:val="000000"/>
                <w:lang w:val="es-CR"/>
              </w:rPr>
              <w:t>, va a depender de la cantidad de participaciones colocadas</w:t>
            </w:r>
            <w:r w:rsidRPr="00CE3D64">
              <w:rPr>
                <w:rFonts w:cs="Arial"/>
                <w:color w:val="000000"/>
                <w:lang w:val="es-CR"/>
              </w:rPr>
              <w:t xml:space="preserve">; las participaciones colocadas entre el público son redimibles directamente por el fondo y su plazo de duración es indefinido.  En estos casos, las participaciones no podrán ser objeto de operaciones distintas de las de reembolso. </w:t>
            </w:r>
          </w:p>
          <w:p w:rsidR="000B066E" w:rsidRPr="006D62EE" w:rsidRDefault="000B066E" w:rsidP="00A67DD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A67DD3">
              <w:rPr>
                <w:rFonts w:cs="Arial"/>
                <w:b/>
                <w:color w:val="000000"/>
                <w:lang w:val="es-CR"/>
              </w:rPr>
              <w:t>Fondos Cerrados</w:t>
            </w:r>
            <w:r w:rsidRPr="00A67DD3">
              <w:rPr>
                <w:rFonts w:cs="Arial"/>
                <w:color w:val="000000"/>
                <w:lang w:val="es-CR"/>
              </w:rPr>
              <w:t>: aquellos cuyo patrimonio es fijo; las participaciones colocadas entre el público no son redimibles directamente por el fondo, salvo en las circunstancias y los procedimientos previstos en la Ley Reguladora del Mercado de Valores.</w:t>
            </w:r>
            <w:r w:rsidRPr="000B066E">
              <w:rPr>
                <w:lang w:val="es-CR"/>
              </w:rPr>
              <w:t xml:space="preserve"> </w:t>
            </w:r>
          </w:p>
          <w:p w:rsidR="006D62EE" w:rsidRPr="00A67DD3" w:rsidRDefault="006D62EE" w:rsidP="006D62EE">
            <w:pPr>
              <w:pStyle w:val="ListParagraph"/>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D456A8"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D456A8" w:rsidRPr="002B061B" w:rsidRDefault="00D456A8" w:rsidP="00A67DD3">
            <w:pPr>
              <w:jc w:val="left"/>
              <w:rPr>
                <w:rFonts w:cs="Arial"/>
                <w:b/>
                <w:color w:val="000000"/>
                <w:lang w:val="es-CR"/>
              </w:rPr>
            </w:pPr>
            <w:r w:rsidRPr="002B061B">
              <w:rPr>
                <w:rFonts w:cs="Arial"/>
                <w:b/>
                <w:bCs/>
                <w:color w:val="000000"/>
                <w:lang w:val="es-CR"/>
              </w:rPr>
              <w:t>Mercado Negociación</w:t>
            </w:r>
          </w:p>
        </w:tc>
        <w:tc>
          <w:tcPr>
            <w:tcW w:w="7655" w:type="dxa"/>
          </w:tcPr>
          <w:p w:rsidR="00D456A8" w:rsidRDefault="00D456A8" w:rsidP="00E9494B">
            <w:pPr>
              <w:pStyle w:val="ListParagraph"/>
              <w:jc w:val="both"/>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Identifica si la operación se llevó a cabo en</w:t>
            </w:r>
            <w:r>
              <w:rPr>
                <w:rFonts w:cs="Arial"/>
                <w:color w:val="000000"/>
                <w:lang w:val="es-CR"/>
              </w:rPr>
              <w:t>:</w:t>
            </w:r>
          </w:p>
          <w:p w:rsidR="00D456A8" w:rsidRDefault="00D456A8" w:rsidP="00E9494B">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M</w:t>
            </w:r>
            <w:r w:rsidRPr="00CE3D64">
              <w:rPr>
                <w:rFonts w:cs="Arial"/>
                <w:color w:val="000000"/>
                <w:lang w:val="es-CR"/>
              </w:rPr>
              <w:t xml:space="preserve">ercado primario (P):  </w:t>
            </w:r>
            <w:r>
              <w:rPr>
                <w:rFonts w:cs="Arial"/>
                <w:color w:val="000000"/>
                <w:lang w:val="es-CR"/>
              </w:rPr>
              <w:t>A</w:t>
            </w:r>
            <w:r w:rsidRPr="00CE3D64">
              <w:rPr>
                <w:rFonts w:cs="Arial"/>
                <w:color w:val="000000"/>
                <w:lang w:val="es-CR"/>
              </w:rPr>
              <w:t xml:space="preserve">quel en el cual se colocan los títulos de primera emisión </w:t>
            </w:r>
          </w:p>
          <w:p w:rsidR="00D456A8" w:rsidRDefault="00D456A8" w:rsidP="00E9494B">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M</w:t>
            </w:r>
            <w:r w:rsidRPr="002B061B">
              <w:rPr>
                <w:rFonts w:cs="Arial"/>
                <w:color w:val="000000"/>
                <w:lang w:val="es-CR"/>
              </w:rPr>
              <w:t>ercado secundario (S)</w:t>
            </w:r>
            <w:r>
              <w:rPr>
                <w:rFonts w:cs="Arial"/>
                <w:color w:val="000000"/>
                <w:lang w:val="es-CR"/>
              </w:rPr>
              <w:t>:</w:t>
            </w:r>
            <w:r w:rsidRPr="002B061B">
              <w:rPr>
                <w:rFonts w:cs="Arial"/>
                <w:color w:val="000000"/>
                <w:lang w:val="es-CR"/>
              </w:rPr>
              <w:t xml:space="preserve"> </w:t>
            </w:r>
            <w:r>
              <w:rPr>
                <w:rFonts w:cs="Arial"/>
                <w:color w:val="000000"/>
                <w:lang w:val="es-CR"/>
              </w:rPr>
              <w:t>E</w:t>
            </w:r>
            <w:r w:rsidRPr="002B061B">
              <w:rPr>
                <w:rFonts w:cs="Arial"/>
                <w:color w:val="000000"/>
                <w:lang w:val="es-CR"/>
              </w:rPr>
              <w:t>n el que se llevan a cabo operaciones de venta y reventa de títulos</w:t>
            </w:r>
            <w:r>
              <w:rPr>
                <w:rFonts w:cs="Arial"/>
                <w:color w:val="000000"/>
                <w:lang w:val="es-CR"/>
              </w:rPr>
              <w:t>, a través de una bolsa de valores.</w:t>
            </w:r>
          </w:p>
          <w:p w:rsidR="006D62EE" w:rsidRPr="002B061B" w:rsidRDefault="006D62EE" w:rsidP="006D62EE">
            <w:pPr>
              <w:pStyle w:val="ListParagraph"/>
              <w:jc w:val="both"/>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D456A8"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D456A8" w:rsidRPr="002B061B" w:rsidRDefault="00D456A8" w:rsidP="00A67DD3">
            <w:pPr>
              <w:jc w:val="left"/>
              <w:rPr>
                <w:rFonts w:cs="Arial"/>
                <w:b/>
                <w:color w:val="000000"/>
                <w:lang w:val="es-CR"/>
              </w:rPr>
            </w:pPr>
            <w:r w:rsidRPr="002B061B">
              <w:rPr>
                <w:rFonts w:cs="Arial"/>
                <w:b/>
                <w:bCs/>
                <w:color w:val="000000"/>
                <w:lang w:val="es-CR"/>
              </w:rPr>
              <w:t>Moneda de Suscripción y Reembolso</w:t>
            </w:r>
          </w:p>
        </w:tc>
        <w:tc>
          <w:tcPr>
            <w:tcW w:w="7655" w:type="dxa"/>
          </w:tcPr>
          <w:p w:rsidR="00D456A8" w:rsidRPr="002B061B" w:rsidRDefault="00D456A8" w:rsidP="00D456A8">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Se trata de la moneda en la cual el fondo va a recibir el monto de </w:t>
            </w:r>
            <w:r>
              <w:rPr>
                <w:rFonts w:cs="Arial"/>
                <w:color w:val="000000"/>
                <w:lang w:val="es-CR"/>
              </w:rPr>
              <w:t xml:space="preserve">la inversión </w:t>
            </w:r>
            <w:r w:rsidRPr="002B061B">
              <w:rPr>
                <w:rFonts w:cs="Arial"/>
                <w:color w:val="000000"/>
                <w:lang w:val="es-CR"/>
              </w:rPr>
              <w:t xml:space="preserve">y va a reembolsar </w:t>
            </w:r>
            <w:r>
              <w:rPr>
                <w:rFonts w:cs="Arial"/>
                <w:color w:val="000000"/>
                <w:lang w:val="es-CR"/>
              </w:rPr>
              <w:t xml:space="preserve">las participaciones </w:t>
            </w:r>
            <w:r w:rsidRPr="002B061B">
              <w:rPr>
                <w:rFonts w:cs="Arial"/>
                <w:color w:val="000000"/>
                <w:lang w:val="es-CR"/>
              </w:rPr>
              <w:t>cuando se liquiden.</w:t>
            </w:r>
          </w:p>
        </w:tc>
      </w:tr>
      <w:tr w:rsidR="00D456A8" w:rsidRPr="00CE3D64"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D456A8" w:rsidRPr="002B061B" w:rsidRDefault="00D456A8" w:rsidP="00A67DD3">
            <w:pPr>
              <w:jc w:val="left"/>
              <w:rPr>
                <w:rFonts w:cs="Arial"/>
                <w:b/>
                <w:color w:val="000000"/>
                <w:lang w:val="es-CR"/>
              </w:rPr>
            </w:pPr>
            <w:r w:rsidRPr="002B061B">
              <w:rPr>
                <w:rFonts w:cs="Arial"/>
                <w:b/>
                <w:bCs/>
                <w:color w:val="000000"/>
                <w:lang w:val="es-CR"/>
              </w:rPr>
              <w:t>Moneda título</w:t>
            </w:r>
          </w:p>
        </w:tc>
        <w:tc>
          <w:tcPr>
            <w:tcW w:w="7655" w:type="dxa"/>
          </w:tcPr>
          <w:p w:rsidR="00D456A8" w:rsidRDefault="00D456A8" w:rsidP="00D456A8">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Moneda </w:t>
            </w:r>
            <w:r>
              <w:rPr>
                <w:rFonts w:cs="Arial"/>
                <w:color w:val="000000"/>
                <w:lang w:val="es-CR"/>
              </w:rPr>
              <w:t>del</w:t>
            </w:r>
            <w:r w:rsidRPr="002B061B">
              <w:rPr>
                <w:rFonts w:cs="Arial"/>
                <w:color w:val="000000"/>
                <w:lang w:val="es-CR"/>
              </w:rPr>
              <w:t xml:space="preserve"> título valor. </w:t>
            </w:r>
          </w:p>
          <w:tbl>
            <w:tblPr>
              <w:tblW w:w="32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67"/>
              <w:gridCol w:w="2397"/>
            </w:tblGrid>
            <w:tr w:rsidR="00D456A8" w:rsidRPr="002B061B" w:rsidTr="00D456A8">
              <w:trPr>
                <w:trHeight w:val="369"/>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b/>
                      <w:bCs/>
                      <w:lang w:val="es-CR"/>
                    </w:rPr>
                  </w:pPr>
                  <w:r w:rsidRPr="002B061B">
                    <w:rPr>
                      <w:rFonts w:eastAsia="Times New Roman" w:cs="Arial"/>
                      <w:b/>
                      <w:bCs/>
                      <w:lang w:val="es-CR"/>
                    </w:rPr>
                    <w:t>Código</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b/>
                      <w:bCs/>
                      <w:lang w:val="es-CR"/>
                    </w:rPr>
                  </w:pPr>
                  <w:r w:rsidRPr="002B061B">
                    <w:rPr>
                      <w:rFonts w:eastAsia="Times New Roman" w:cs="Arial"/>
                      <w:b/>
                      <w:bCs/>
                      <w:lang w:val="es-CR"/>
                    </w:rPr>
                    <w:t>Descripción</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CRC</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Colón (Costa Rica)</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USD</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Dólar EU</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BRL</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Real Brasileño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CLP</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Peso Chileno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EUR</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EURO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GTQ</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Quetzal</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HNL</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Lempira</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MXN</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Nuevo Peso Mexicano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NIO</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Córdoba oro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PAB</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Balboa</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SVC</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Col</w:t>
                  </w:r>
                  <w:r>
                    <w:rPr>
                      <w:rFonts w:eastAsia="Times New Roman" w:cs="Arial"/>
                      <w:lang w:val="es-CR"/>
                    </w:rPr>
                    <w:t>ó</w:t>
                  </w:r>
                  <w:r w:rsidRPr="002B061B">
                    <w:rPr>
                      <w:rFonts w:eastAsia="Times New Roman" w:cs="Arial"/>
                      <w:lang w:val="es-CR"/>
                    </w:rPr>
                    <w:t>n Salvadoreño</w:t>
                  </w:r>
                </w:p>
              </w:tc>
            </w:tr>
            <w:tr w:rsidR="00D456A8" w:rsidRPr="002B061B" w:rsidTr="00D456A8">
              <w:trPr>
                <w:trHeight w:val="255"/>
              </w:trPr>
              <w:tc>
                <w:tcPr>
                  <w:tcW w:w="86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UND</w:t>
                  </w:r>
                </w:p>
              </w:tc>
              <w:tc>
                <w:tcPr>
                  <w:tcW w:w="2397" w:type="dxa"/>
                  <w:noWrap/>
                  <w:tcMar>
                    <w:top w:w="18" w:type="dxa"/>
                    <w:left w:w="18" w:type="dxa"/>
                    <w:bottom w:w="0" w:type="dxa"/>
                    <w:right w:w="18" w:type="dxa"/>
                  </w:tcMar>
                  <w:vAlign w:val="center"/>
                </w:tcPr>
                <w:p w:rsidR="00D456A8" w:rsidRPr="002B061B" w:rsidRDefault="00D456A8" w:rsidP="00D456A8">
                  <w:pPr>
                    <w:spacing w:after="0" w:line="240" w:lineRule="auto"/>
                    <w:rPr>
                      <w:rFonts w:eastAsia="Times New Roman" w:cs="Arial"/>
                      <w:lang w:val="es-CR"/>
                    </w:rPr>
                  </w:pPr>
                  <w:r w:rsidRPr="002B061B">
                    <w:rPr>
                      <w:rFonts w:eastAsia="Times New Roman" w:cs="Arial"/>
                      <w:lang w:val="es-CR"/>
                    </w:rPr>
                    <w:t>Unidades de desarrollo</w:t>
                  </w:r>
                </w:p>
              </w:tc>
            </w:tr>
          </w:tbl>
          <w:p w:rsidR="00D456A8" w:rsidRPr="002B061B" w:rsidRDefault="00D456A8" w:rsidP="00D456A8">
            <w:pPr>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D456A8"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D456A8" w:rsidRPr="002B061B" w:rsidRDefault="00D456A8" w:rsidP="00A67DD3">
            <w:pPr>
              <w:jc w:val="left"/>
              <w:rPr>
                <w:rFonts w:cs="Arial"/>
                <w:b/>
                <w:color w:val="000000"/>
                <w:lang w:val="es-CR"/>
              </w:rPr>
            </w:pPr>
            <w:r w:rsidRPr="002B061B">
              <w:rPr>
                <w:rFonts w:cs="Arial"/>
                <w:b/>
                <w:bCs/>
                <w:color w:val="000000"/>
                <w:lang w:val="es-CR"/>
              </w:rPr>
              <w:lastRenderedPageBreak/>
              <w:t>Nemotécnico Emisor</w:t>
            </w:r>
          </w:p>
        </w:tc>
        <w:tc>
          <w:tcPr>
            <w:tcW w:w="7655" w:type="dxa"/>
          </w:tcPr>
          <w:p w:rsidR="00D456A8" w:rsidRPr="002B061B" w:rsidRDefault="00D456A8" w:rsidP="00D456A8">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Código con el cual se identifica en forma </w:t>
            </w:r>
            <w:r>
              <w:rPr>
                <w:rFonts w:cs="Arial"/>
                <w:color w:val="000000"/>
                <w:lang w:val="es-CR"/>
              </w:rPr>
              <w:t xml:space="preserve">abreviada y de manera </w:t>
            </w:r>
            <w:r w:rsidRPr="002B061B">
              <w:rPr>
                <w:rFonts w:cs="Arial"/>
                <w:color w:val="000000"/>
                <w:lang w:val="es-CR"/>
              </w:rPr>
              <w:t>única la entidad emisora del título valor.</w:t>
            </w:r>
          </w:p>
        </w:tc>
      </w:tr>
      <w:tr w:rsidR="00D456A8" w:rsidRPr="00B60A8C" w:rsidTr="006D62E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25" w:type="dxa"/>
          </w:tcPr>
          <w:p w:rsidR="00D456A8" w:rsidRPr="002B061B" w:rsidRDefault="00D456A8" w:rsidP="00A67DD3">
            <w:pPr>
              <w:jc w:val="left"/>
              <w:rPr>
                <w:rFonts w:cs="Arial"/>
                <w:b/>
                <w:color w:val="000000"/>
                <w:lang w:val="es-CR"/>
              </w:rPr>
            </w:pPr>
            <w:r w:rsidRPr="002B061B">
              <w:rPr>
                <w:rFonts w:cs="Arial"/>
                <w:b/>
                <w:bCs/>
                <w:color w:val="000000"/>
                <w:lang w:val="es-CR"/>
              </w:rPr>
              <w:t>Nemotécnico Instrumento</w:t>
            </w:r>
          </w:p>
        </w:tc>
        <w:tc>
          <w:tcPr>
            <w:tcW w:w="7655" w:type="dxa"/>
          </w:tcPr>
          <w:p w:rsidR="00D456A8" w:rsidRPr="002B061B" w:rsidRDefault="00D456A8" w:rsidP="00D456A8">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Código con el que se identifica </w:t>
            </w:r>
            <w:r>
              <w:rPr>
                <w:rFonts w:cs="Arial"/>
                <w:color w:val="000000"/>
                <w:lang w:val="es-CR"/>
              </w:rPr>
              <w:t xml:space="preserve">en forma abreviada </w:t>
            </w:r>
            <w:r w:rsidRPr="002B061B">
              <w:rPr>
                <w:rFonts w:cs="Arial"/>
                <w:color w:val="000000"/>
                <w:lang w:val="es-CR"/>
              </w:rPr>
              <w:t>el instrumento.</w:t>
            </w:r>
          </w:p>
        </w:tc>
      </w:tr>
      <w:tr w:rsidR="00A67DD3"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Nombre Instrumento</w:t>
            </w:r>
          </w:p>
        </w:tc>
        <w:tc>
          <w:tcPr>
            <w:tcW w:w="7655" w:type="dxa"/>
          </w:tcPr>
          <w:p w:rsidR="00A67DD3"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Nombre que identifica al instrumento financiero, por ejemplo: bonos, títulos de propiedad, certificados de depósito a plazo, certificados de inversión, acciones, entre otros.</w:t>
            </w:r>
          </w:p>
          <w:p w:rsidR="006D62EE" w:rsidRPr="002B061B" w:rsidRDefault="006D62EE"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A67DD3" w:rsidRPr="00B60A8C" w:rsidTr="006D62E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Pr>
                <w:rFonts w:cs="Arial"/>
                <w:b/>
                <w:bCs/>
                <w:color w:val="000000"/>
                <w:lang w:val="es-CR"/>
              </w:rPr>
              <w:t xml:space="preserve">Número de </w:t>
            </w:r>
            <w:r w:rsidRPr="002B061B">
              <w:rPr>
                <w:rFonts w:cs="Arial"/>
                <w:b/>
                <w:bCs/>
                <w:color w:val="000000"/>
                <w:lang w:val="es-CR"/>
              </w:rPr>
              <w:t>Operación</w:t>
            </w:r>
          </w:p>
        </w:tc>
        <w:tc>
          <w:tcPr>
            <w:tcW w:w="7655" w:type="dxa"/>
          </w:tcPr>
          <w:p w:rsidR="00A67DD3" w:rsidRPr="002B061B"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Número de i</w:t>
            </w:r>
            <w:r w:rsidRPr="002B061B">
              <w:rPr>
                <w:rFonts w:cs="Arial"/>
                <w:color w:val="000000"/>
                <w:lang w:val="es-CR"/>
              </w:rPr>
              <w:t>dentificación de la transacción</w:t>
            </w:r>
            <w:r>
              <w:rPr>
                <w:rFonts w:cs="Arial"/>
                <w:color w:val="000000"/>
                <w:lang w:val="es-CR"/>
              </w:rPr>
              <w:t xml:space="preserve"> o contrato.</w:t>
            </w:r>
          </w:p>
        </w:tc>
      </w:tr>
      <w:tr w:rsidR="00A67DD3" w:rsidRPr="00CE3D64" w:rsidTr="00E9494B">
        <w:trPr>
          <w:trHeight w:val="3655"/>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Periodicidad</w:t>
            </w:r>
          </w:p>
        </w:tc>
        <w:tc>
          <w:tcPr>
            <w:tcW w:w="7655" w:type="dxa"/>
          </w:tcPr>
          <w:p w:rsidR="00A67DD3"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Número de veces al año </w:t>
            </w:r>
            <w:r>
              <w:rPr>
                <w:rFonts w:cs="Arial"/>
                <w:color w:val="000000"/>
                <w:lang w:val="es-CR"/>
              </w:rPr>
              <w:t>en que se</w:t>
            </w:r>
            <w:r w:rsidRPr="002B061B">
              <w:rPr>
                <w:rFonts w:cs="Arial"/>
                <w:color w:val="000000"/>
                <w:lang w:val="es-CR"/>
              </w:rPr>
              <w:t xml:space="preserve"> pag</w:t>
            </w:r>
            <w:r>
              <w:rPr>
                <w:rFonts w:cs="Arial"/>
                <w:color w:val="000000"/>
                <w:lang w:val="es-CR"/>
              </w:rPr>
              <w:t>a</w:t>
            </w:r>
            <w:r w:rsidRPr="002B061B">
              <w:rPr>
                <w:rFonts w:cs="Arial"/>
                <w:color w:val="000000"/>
                <w:lang w:val="es-CR"/>
              </w:rPr>
              <w:t xml:space="preserve"> intereses</w:t>
            </w:r>
            <w:r>
              <w:rPr>
                <w:rFonts w:cs="Arial"/>
                <w:color w:val="000000"/>
                <w:lang w:val="es-CR"/>
              </w:rPr>
              <w:t>, solo para instrumentos de deuda</w:t>
            </w:r>
            <w:r w:rsidRPr="002B061B">
              <w:rPr>
                <w:rFonts w:cs="Arial"/>
                <w:color w:val="000000"/>
                <w:lang w:val="es-CR"/>
              </w:rPr>
              <w:t xml:space="preserve">. </w:t>
            </w:r>
          </w:p>
          <w:tbl>
            <w:tblPr>
              <w:tblpPr w:leftFromText="180" w:rightFromText="180" w:vertAnchor="text" w:horzAnchor="page" w:tblpX="2134"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433"/>
            </w:tblGrid>
            <w:tr w:rsidR="00277953" w:rsidRPr="002B061B" w:rsidTr="0095250A">
              <w:trPr>
                <w:trHeight w:val="282"/>
              </w:trPr>
              <w:tc>
                <w:tcPr>
                  <w:tcW w:w="0" w:type="auto"/>
                  <w:vAlign w:val="center"/>
                </w:tcPr>
                <w:p w:rsidR="00277953" w:rsidRPr="00386E9D" w:rsidRDefault="00277953" w:rsidP="00A67DD3">
                  <w:pPr>
                    <w:spacing w:after="0" w:line="240" w:lineRule="auto"/>
                    <w:jc w:val="center"/>
                    <w:rPr>
                      <w:rFonts w:eastAsia="Times New Roman" w:cs="Arial"/>
                      <w:b/>
                      <w:lang w:val="es-CR"/>
                    </w:rPr>
                  </w:pPr>
                  <w:r w:rsidRPr="00386E9D">
                    <w:rPr>
                      <w:rFonts w:eastAsia="Times New Roman" w:cs="Arial"/>
                      <w:b/>
                      <w:lang w:val="es-CR"/>
                    </w:rPr>
                    <w:t>Código</w:t>
                  </w:r>
                </w:p>
              </w:tc>
              <w:tc>
                <w:tcPr>
                  <w:tcW w:w="0" w:type="auto"/>
                  <w:vAlign w:val="center"/>
                </w:tcPr>
                <w:p w:rsidR="00277953" w:rsidRPr="00386E9D" w:rsidRDefault="00277953" w:rsidP="00A67DD3">
                  <w:pPr>
                    <w:spacing w:after="0" w:line="240" w:lineRule="auto"/>
                    <w:rPr>
                      <w:rFonts w:eastAsia="Times New Roman" w:cs="Arial"/>
                      <w:b/>
                      <w:lang w:val="es-CR"/>
                    </w:rPr>
                  </w:pPr>
                  <w:r w:rsidRPr="00386E9D">
                    <w:rPr>
                      <w:rFonts w:eastAsia="Times New Roman" w:cs="Arial"/>
                      <w:b/>
                      <w:lang w:val="es-CR"/>
                    </w:rPr>
                    <w:t>Periodicidad</w:t>
                  </w:r>
                </w:p>
              </w:tc>
            </w:tr>
            <w:tr w:rsidR="00A67DD3" w:rsidRPr="002B061B" w:rsidTr="0095250A">
              <w:trPr>
                <w:trHeight w:val="282"/>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0</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Cero cupón</w:t>
                  </w:r>
                </w:p>
              </w:tc>
            </w:tr>
            <w:tr w:rsidR="00A67DD3" w:rsidRPr="002B061B" w:rsidTr="0095250A">
              <w:trPr>
                <w:trHeight w:val="282"/>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1</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Anual</w:t>
                  </w:r>
                </w:p>
              </w:tc>
            </w:tr>
            <w:tr w:rsidR="00A67DD3" w:rsidRPr="002B061B" w:rsidTr="0095250A">
              <w:trPr>
                <w:trHeight w:val="371"/>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2</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Semestral</w:t>
                  </w:r>
                </w:p>
              </w:tc>
            </w:tr>
            <w:tr w:rsidR="00A67DD3" w:rsidRPr="002B061B" w:rsidTr="0095250A">
              <w:trPr>
                <w:trHeight w:val="371"/>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3</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Cuatrimestral</w:t>
                  </w:r>
                </w:p>
              </w:tc>
            </w:tr>
            <w:tr w:rsidR="00A67DD3" w:rsidRPr="002B061B" w:rsidTr="0095250A">
              <w:trPr>
                <w:trHeight w:val="371"/>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4</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Trimestral</w:t>
                  </w:r>
                </w:p>
              </w:tc>
            </w:tr>
            <w:tr w:rsidR="00A67DD3" w:rsidRPr="002B061B" w:rsidTr="0095250A">
              <w:trPr>
                <w:trHeight w:val="371"/>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6</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Bimestral</w:t>
                  </w:r>
                </w:p>
              </w:tc>
            </w:tr>
            <w:tr w:rsidR="00A67DD3" w:rsidRPr="002B061B" w:rsidTr="0095250A">
              <w:trPr>
                <w:trHeight w:val="371"/>
              </w:trPr>
              <w:tc>
                <w:tcPr>
                  <w:tcW w:w="0" w:type="auto"/>
                  <w:vAlign w:val="center"/>
                </w:tcPr>
                <w:p w:rsidR="00A67DD3" w:rsidRPr="002B061B" w:rsidRDefault="00A67DD3" w:rsidP="00A67DD3">
                  <w:pPr>
                    <w:spacing w:after="0" w:line="240" w:lineRule="auto"/>
                    <w:jc w:val="center"/>
                    <w:rPr>
                      <w:rFonts w:eastAsia="Times New Roman" w:cs="Arial"/>
                      <w:lang w:val="es-CR"/>
                    </w:rPr>
                  </w:pPr>
                  <w:r w:rsidRPr="002B061B">
                    <w:rPr>
                      <w:rFonts w:eastAsia="Times New Roman" w:cs="Arial"/>
                      <w:lang w:val="es-CR"/>
                    </w:rPr>
                    <w:t>12</w:t>
                  </w:r>
                </w:p>
              </w:tc>
              <w:tc>
                <w:tcPr>
                  <w:tcW w:w="0" w:type="auto"/>
                  <w:vAlign w:val="center"/>
                </w:tcPr>
                <w:p w:rsidR="00A67DD3" w:rsidRPr="002B061B" w:rsidRDefault="00A67DD3" w:rsidP="00A67DD3">
                  <w:pPr>
                    <w:spacing w:after="0" w:line="240" w:lineRule="auto"/>
                    <w:rPr>
                      <w:rFonts w:eastAsia="Times New Roman" w:cs="Arial"/>
                      <w:lang w:val="es-CR"/>
                    </w:rPr>
                  </w:pPr>
                  <w:r w:rsidRPr="002B061B">
                    <w:rPr>
                      <w:rFonts w:eastAsia="Times New Roman" w:cs="Arial"/>
                      <w:lang w:val="es-CR"/>
                    </w:rPr>
                    <w:t>Mensual</w:t>
                  </w:r>
                </w:p>
              </w:tc>
            </w:tr>
          </w:tbl>
          <w:p w:rsidR="00A67DD3" w:rsidRPr="002B061B"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A67DD3" w:rsidRPr="00B60A8C" w:rsidTr="00B86933">
        <w:trPr>
          <w:cnfStyle w:val="000000100000" w:firstRow="0" w:lastRow="0" w:firstColumn="0" w:lastColumn="0" w:oddVBand="0" w:evenVBand="0" w:oddHBand="1" w:evenHBand="0" w:firstRowFirstColumn="0" w:firstRowLastColumn="0" w:lastRowFirstColumn="0" w:lastRowLastColumn="0"/>
          <w:trHeight w:val="2106"/>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Precio SFI</w:t>
            </w:r>
          </w:p>
        </w:tc>
        <w:tc>
          <w:tcPr>
            <w:tcW w:w="7655" w:type="dxa"/>
          </w:tcPr>
          <w:p w:rsidR="00A67DD3" w:rsidRPr="002B061B"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Precio</w:t>
            </w:r>
            <w:r w:rsidRPr="002B061B">
              <w:rPr>
                <w:rFonts w:cs="Arial"/>
                <w:color w:val="000000"/>
                <w:lang w:val="es-CR"/>
              </w:rPr>
              <w:t xml:space="preserve"> de mercado en que se estima la inversión</w:t>
            </w:r>
            <w:r>
              <w:rPr>
                <w:rFonts w:cs="Arial"/>
                <w:color w:val="000000"/>
                <w:lang w:val="es-CR"/>
              </w:rPr>
              <w:t>,</w:t>
            </w:r>
            <w:r w:rsidRPr="002B061B">
              <w:rPr>
                <w:rFonts w:cs="Arial"/>
                <w:color w:val="000000"/>
                <w:lang w:val="es-CR"/>
              </w:rPr>
              <w:t xml:space="preserve"> de acuerdo con la metodología de </w:t>
            </w:r>
            <w:hyperlink w:anchor="Valoracion" w:history="1">
              <w:r w:rsidRPr="006C2B7D">
                <w:rPr>
                  <w:rStyle w:val="Hyperlink"/>
                  <w:rFonts w:cs="Arial"/>
                  <w:lang w:val="es-CR"/>
                </w:rPr>
                <w:t>valoración</w:t>
              </w:r>
            </w:hyperlink>
            <w:r w:rsidRPr="002B061B">
              <w:rPr>
                <w:rFonts w:cs="Arial"/>
                <w:color w:val="000000"/>
                <w:lang w:val="es-CR"/>
              </w:rPr>
              <w:t xml:space="preserve"> </w:t>
            </w:r>
            <w:r>
              <w:rPr>
                <w:rFonts w:cs="Arial"/>
                <w:color w:val="000000"/>
                <w:lang w:val="es-CR"/>
              </w:rPr>
              <w:t>seleccionada por</w:t>
            </w:r>
            <w:r w:rsidRPr="002B061B">
              <w:rPr>
                <w:rFonts w:cs="Arial"/>
                <w:color w:val="000000"/>
                <w:lang w:val="es-CR"/>
              </w:rPr>
              <w:t xml:space="preserve"> la SAFI. </w:t>
            </w:r>
            <w:r>
              <w:rPr>
                <w:rFonts w:cs="Arial"/>
                <w:color w:val="000000"/>
                <w:lang w:val="es-CR"/>
              </w:rPr>
              <w:t xml:space="preserve">En el caso de instrumentos de deuda, se presenta en forma porcentual y para otros instrumentos se muestra el monto. </w:t>
            </w:r>
            <w:r w:rsidRPr="002B061B">
              <w:rPr>
                <w:rFonts w:cs="Arial"/>
                <w:color w:val="000000"/>
                <w:lang w:val="es-CR"/>
              </w:rPr>
              <w:t xml:space="preserve">El precio de valoración es el precio </w:t>
            </w:r>
            <w:r>
              <w:rPr>
                <w:rFonts w:cs="Arial"/>
                <w:color w:val="000000"/>
                <w:lang w:val="es-CR"/>
              </w:rPr>
              <w:t xml:space="preserve">observado de transacciones </w:t>
            </w:r>
            <w:r w:rsidRPr="002B061B">
              <w:rPr>
                <w:rFonts w:cs="Arial"/>
                <w:color w:val="000000"/>
                <w:lang w:val="es-CR"/>
              </w:rPr>
              <w:t>de mercado</w:t>
            </w:r>
            <w:r>
              <w:rPr>
                <w:rFonts w:cs="Arial"/>
                <w:color w:val="000000"/>
                <w:lang w:val="es-CR"/>
              </w:rPr>
              <w:t>, o en su ausencia,</w:t>
            </w:r>
            <w:r w:rsidRPr="002B061B">
              <w:rPr>
                <w:rFonts w:cs="Arial"/>
                <w:color w:val="000000"/>
                <w:lang w:val="es-CR"/>
              </w:rPr>
              <w:t xml:space="preserve"> </w:t>
            </w:r>
            <w:r>
              <w:rPr>
                <w:rFonts w:cs="Arial"/>
                <w:color w:val="000000"/>
                <w:lang w:val="es-CR"/>
              </w:rPr>
              <w:t>el precio</w:t>
            </w:r>
            <w:r w:rsidRPr="002B061B">
              <w:rPr>
                <w:rFonts w:cs="Arial"/>
                <w:color w:val="000000"/>
                <w:lang w:val="es-CR"/>
              </w:rPr>
              <w:t xml:space="preserve"> teórico obtenido con base en los algoritmos, criterios técnicos y estadísticos y en modelos de valoración, para cada uno de los instrumentos financieros. </w:t>
            </w:r>
          </w:p>
        </w:tc>
      </w:tr>
      <w:tr w:rsidR="00A67DD3"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Premio</w:t>
            </w:r>
          </w:p>
        </w:tc>
        <w:tc>
          <w:tcPr>
            <w:tcW w:w="7655" w:type="dxa"/>
          </w:tcPr>
          <w:p w:rsidR="00A67DD3" w:rsidRPr="002B061B"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Puntos adicionales </w:t>
            </w:r>
            <w:r>
              <w:rPr>
                <w:rFonts w:cs="Arial"/>
                <w:color w:val="000000"/>
                <w:lang w:val="es-CR"/>
              </w:rPr>
              <w:t xml:space="preserve">que se </w:t>
            </w:r>
            <w:r w:rsidRPr="002B061B">
              <w:rPr>
                <w:rFonts w:cs="Arial"/>
                <w:color w:val="000000"/>
                <w:lang w:val="es-CR"/>
              </w:rPr>
              <w:t>suma</w:t>
            </w:r>
            <w:r>
              <w:rPr>
                <w:rFonts w:cs="Arial"/>
                <w:color w:val="000000"/>
                <w:lang w:val="es-CR"/>
              </w:rPr>
              <w:t>n</w:t>
            </w:r>
            <w:r w:rsidRPr="002B061B">
              <w:rPr>
                <w:rFonts w:cs="Arial"/>
                <w:color w:val="000000"/>
                <w:lang w:val="es-CR"/>
              </w:rPr>
              <w:t xml:space="preserve"> a la tasa de referencia</w:t>
            </w:r>
            <w:r>
              <w:rPr>
                <w:rFonts w:cs="Arial"/>
                <w:color w:val="000000"/>
                <w:lang w:val="es-CR"/>
              </w:rPr>
              <w:t xml:space="preserve"> en instrumentos de deuda cuya tasa de cupón está </w:t>
            </w:r>
            <w:hyperlink w:anchor="Indexada" w:history="1">
              <w:r w:rsidRPr="00277953">
                <w:rPr>
                  <w:rStyle w:val="Hyperlink"/>
                  <w:rFonts w:cs="Arial"/>
                  <w:lang w:val="es-CR"/>
                </w:rPr>
                <w:t>indexada</w:t>
              </w:r>
            </w:hyperlink>
            <w:r>
              <w:rPr>
                <w:rFonts w:cs="Arial"/>
                <w:color w:val="000000"/>
                <w:lang w:val="es-CR"/>
              </w:rPr>
              <w:t>.</w:t>
            </w:r>
          </w:p>
        </w:tc>
      </w:tr>
      <w:tr w:rsidR="00A67DD3" w:rsidRPr="00CE3D64"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Primas Descuentos</w:t>
            </w:r>
          </w:p>
        </w:tc>
        <w:tc>
          <w:tcPr>
            <w:tcW w:w="7655" w:type="dxa"/>
          </w:tcPr>
          <w:p w:rsidR="00A67DD3" w:rsidRPr="002B061B"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 xml:space="preserve">Monto de las primas (sobreprecio que se paga en la compra de un título- valor, sobre su valor nominal) y descuentos (lo que se paga de menos en la compra de un título- valor, sobre su valor nominal), acumulados a la fecha </w:t>
            </w:r>
            <w:r>
              <w:rPr>
                <w:rFonts w:cs="Arial"/>
                <w:color w:val="000000"/>
                <w:lang w:val="es-CR"/>
              </w:rPr>
              <w:t>de corte</w:t>
            </w:r>
            <w:r w:rsidRPr="002B061B">
              <w:rPr>
                <w:rFonts w:cs="Arial"/>
                <w:color w:val="000000"/>
                <w:lang w:val="es-CR"/>
              </w:rPr>
              <w:t xml:space="preserve"> de la cartera.</w:t>
            </w:r>
            <w:r>
              <w:rPr>
                <w:rFonts w:cs="Arial"/>
                <w:color w:val="000000"/>
                <w:lang w:val="es-CR"/>
              </w:rPr>
              <w:t xml:space="preserve"> </w:t>
            </w:r>
            <w:r w:rsidRPr="00583AF5">
              <w:rPr>
                <w:rFonts w:cs="Arial"/>
                <w:color w:val="000000"/>
                <w:lang w:val="es-CR"/>
              </w:rPr>
              <w:t>Solo para instrumentos de deuda.</w:t>
            </w:r>
          </w:p>
        </w:tc>
      </w:tr>
      <w:tr w:rsidR="00A67DD3"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Sector Emisor</w:t>
            </w:r>
          </w:p>
        </w:tc>
        <w:tc>
          <w:tcPr>
            <w:tcW w:w="7655" w:type="dxa"/>
          </w:tcPr>
          <w:p w:rsidR="006D62EE" w:rsidRPr="006D62EE" w:rsidRDefault="006D62EE" w:rsidP="006D62E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 xml:space="preserve">Sector </w:t>
            </w:r>
            <w:r w:rsidRPr="00CE3D64">
              <w:rPr>
                <w:rFonts w:cs="Arial"/>
                <w:color w:val="000000"/>
                <w:lang w:val="es-CR"/>
              </w:rPr>
              <w:t>Público</w:t>
            </w:r>
            <w:r>
              <w:rPr>
                <w:rFonts w:cs="Arial"/>
                <w:color w:val="000000"/>
                <w:lang w:val="es-CR"/>
              </w:rPr>
              <w:t>:</w:t>
            </w:r>
            <w:r w:rsidRPr="006D62EE">
              <w:rPr>
                <w:rFonts w:cs="Arial"/>
                <w:color w:val="000000"/>
                <w:lang w:val="es-CR"/>
              </w:rPr>
              <w:t xml:space="preserve"> conjunto que forman las </w:t>
            </w:r>
            <w:r w:rsidR="004F727D">
              <w:rPr>
                <w:rFonts w:cs="Arial"/>
                <w:color w:val="000000"/>
                <w:lang w:val="es-CR"/>
              </w:rPr>
              <w:t>entidades e</w:t>
            </w:r>
            <w:r w:rsidRPr="006D62EE">
              <w:rPr>
                <w:rFonts w:cs="Arial"/>
                <w:color w:val="000000"/>
                <w:lang w:val="es-CR"/>
              </w:rPr>
              <w:t xml:space="preserve"> instituciones del Estado.</w:t>
            </w:r>
          </w:p>
          <w:p w:rsidR="006D62EE" w:rsidRPr="006D62EE" w:rsidRDefault="00A67DD3" w:rsidP="004F727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 xml:space="preserve"> </w:t>
            </w:r>
            <w:r w:rsidR="004F727D">
              <w:rPr>
                <w:rFonts w:cs="Arial"/>
                <w:color w:val="000000"/>
                <w:lang w:val="es-CR"/>
              </w:rPr>
              <w:t xml:space="preserve">Sector </w:t>
            </w:r>
            <w:r w:rsidRPr="00A67DD3">
              <w:rPr>
                <w:rFonts w:cs="Arial"/>
                <w:color w:val="000000"/>
                <w:lang w:val="es-CR"/>
              </w:rPr>
              <w:t>Privado</w:t>
            </w:r>
            <w:r w:rsidR="006D62EE">
              <w:rPr>
                <w:rFonts w:cs="Arial"/>
                <w:color w:val="000000"/>
                <w:lang w:val="es-CR"/>
              </w:rPr>
              <w:t xml:space="preserve">: </w:t>
            </w:r>
            <w:r w:rsidR="006D62EE" w:rsidRPr="006D62EE">
              <w:rPr>
                <w:rFonts w:cs="Arial"/>
                <w:color w:val="000000"/>
                <w:lang w:val="es-CR"/>
              </w:rPr>
              <w:t>las empresas y las organizaciones cuya propiedad no es estatal.</w:t>
            </w:r>
          </w:p>
          <w:p w:rsidR="00A67DD3" w:rsidRPr="00A67DD3" w:rsidRDefault="00A67DD3" w:rsidP="006D62EE">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277953" w:rsidRPr="00B60A8C" w:rsidTr="009413E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425" w:type="dxa"/>
          </w:tcPr>
          <w:p w:rsidR="00277953" w:rsidRPr="002B061B" w:rsidRDefault="00277953" w:rsidP="00386E9D">
            <w:pPr>
              <w:jc w:val="left"/>
              <w:rPr>
                <w:rFonts w:cs="Arial"/>
                <w:b/>
                <w:bCs/>
                <w:color w:val="000000"/>
                <w:lang w:val="es-CR"/>
              </w:rPr>
            </w:pPr>
            <w:bookmarkStart w:id="1" w:name="Indexada"/>
            <w:r>
              <w:rPr>
                <w:rFonts w:cs="Arial"/>
                <w:b/>
                <w:bCs/>
                <w:color w:val="000000"/>
                <w:lang w:val="es-CR"/>
              </w:rPr>
              <w:lastRenderedPageBreak/>
              <w:t xml:space="preserve">Tasa Indexada </w:t>
            </w:r>
            <w:bookmarkEnd w:id="1"/>
          </w:p>
        </w:tc>
        <w:tc>
          <w:tcPr>
            <w:tcW w:w="7655" w:type="dxa"/>
          </w:tcPr>
          <w:p w:rsidR="00277953" w:rsidRDefault="00AC1FA4" w:rsidP="00AC1FA4">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AC1FA4">
              <w:rPr>
                <w:rFonts w:cs="Arial"/>
                <w:color w:val="000000"/>
                <w:lang w:val="es-CR"/>
              </w:rPr>
              <w:t>Aquella tasa de Interés que depende de otro factor con el propósito de que responda a las circunstancias cambiantes.</w:t>
            </w:r>
          </w:p>
        </w:tc>
      </w:tr>
      <w:tr w:rsidR="00A67DD3"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RDefault="00A67DD3" w:rsidP="00A67DD3">
            <w:pPr>
              <w:jc w:val="left"/>
              <w:rPr>
                <w:rFonts w:cs="Arial"/>
                <w:b/>
                <w:color w:val="000000"/>
                <w:lang w:val="es-CR"/>
              </w:rPr>
            </w:pPr>
            <w:r w:rsidRPr="002B061B">
              <w:rPr>
                <w:rFonts w:cs="Arial"/>
                <w:b/>
                <w:bCs/>
                <w:color w:val="000000"/>
                <w:lang w:val="es-CR"/>
              </w:rPr>
              <w:t>Tasa Neta</w:t>
            </w:r>
          </w:p>
        </w:tc>
        <w:tc>
          <w:tcPr>
            <w:tcW w:w="7655" w:type="dxa"/>
          </w:tcPr>
          <w:p w:rsidR="00A67DD3"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 xml:space="preserve">Tasa </w:t>
            </w:r>
            <w:r w:rsidRPr="002B061B">
              <w:rPr>
                <w:rFonts w:cs="Arial"/>
                <w:color w:val="000000"/>
                <w:lang w:val="es-CR"/>
              </w:rPr>
              <w:t xml:space="preserve">de interés </w:t>
            </w:r>
            <w:r>
              <w:rPr>
                <w:rFonts w:cs="Arial"/>
                <w:color w:val="000000"/>
                <w:lang w:val="es-CR"/>
              </w:rPr>
              <w:t xml:space="preserve">del cupón, </w:t>
            </w:r>
            <w:r w:rsidRPr="002B061B">
              <w:rPr>
                <w:rFonts w:cs="Arial"/>
                <w:color w:val="000000"/>
                <w:lang w:val="es-CR"/>
              </w:rPr>
              <w:t xml:space="preserve">después de </w:t>
            </w:r>
            <w:r>
              <w:rPr>
                <w:rFonts w:cs="Arial"/>
                <w:color w:val="000000"/>
                <w:lang w:val="es-CR"/>
              </w:rPr>
              <w:t xml:space="preserve">reducido el </w:t>
            </w:r>
            <w:r w:rsidRPr="002B061B">
              <w:rPr>
                <w:rFonts w:cs="Arial"/>
                <w:color w:val="000000"/>
                <w:lang w:val="es-CR"/>
              </w:rPr>
              <w:t xml:space="preserve">impuesto </w:t>
            </w:r>
            <w:r>
              <w:rPr>
                <w:rFonts w:cs="Arial"/>
                <w:color w:val="000000"/>
                <w:lang w:val="es-CR"/>
              </w:rPr>
              <w:t>aplicable según la legislación tributaria</w:t>
            </w:r>
            <w:r w:rsidRPr="002B061B">
              <w:rPr>
                <w:rFonts w:cs="Arial"/>
                <w:color w:val="000000"/>
                <w:lang w:val="es-CR"/>
              </w:rPr>
              <w:t xml:space="preserve">. </w:t>
            </w:r>
            <w:r>
              <w:rPr>
                <w:rFonts w:cs="Arial"/>
                <w:color w:val="000000"/>
                <w:lang w:val="es-CR"/>
              </w:rPr>
              <w:t>También corresponde al r</w:t>
            </w:r>
            <w:r w:rsidRPr="002B061B">
              <w:rPr>
                <w:rFonts w:cs="Arial"/>
                <w:color w:val="000000"/>
                <w:lang w:val="es-CR"/>
              </w:rPr>
              <w:t xml:space="preserve">endimiento en caso de </w:t>
            </w:r>
            <w:r>
              <w:rPr>
                <w:rFonts w:cs="Arial"/>
                <w:color w:val="000000"/>
                <w:lang w:val="es-CR"/>
              </w:rPr>
              <w:t xml:space="preserve">reportos tripartitos </w:t>
            </w:r>
            <w:r w:rsidRPr="002B061B">
              <w:rPr>
                <w:rFonts w:cs="Arial"/>
                <w:color w:val="000000"/>
                <w:lang w:val="es-CR"/>
              </w:rPr>
              <w:t xml:space="preserve">o títulos que se negocien por </w:t>
            </w:r>
            <w:r>
              <w:rPr>
                <w:rFonts w:cs="Arial"/>
                <w:color w:val="000000"/>
                <w:lang w:val="es-CR"/>
              </w:rPr>
              <w:t>descuento (también denominados “cero cupón”)</w:t>
            </w:r>
            <w:r w:rsidRPr="002B061B">
              <w:rPr>
                <w:rFonts w:cs="Arial"/>
                <w:color w:val="000000"/>
                <w:lang w:val="es-CR"/>
              </w:rPr>
              <w:t>.</w:t>
            </w:r>
          </w:p>
          <w:p w:rsidR="00524EEB" w:rsidRDefault="00524EEB"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p w:rsidR="00524EEB" w:rsidRPr="002B061B" w:rsidRDefault="00524EEB"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A67DD3" w:rsidRPr="00CE3D64" w:rsidTr="00524EEB">
        <w:trPr>
          <w:cnfStyle w:val="000000100000" w:firstRow="0" w:lastRow="0" w:firstColumn="0" w:lastColumn="0" w:oddVBand="0" w:evenVBand="0" w:oddHBand="1" w:evenHBand="0" w:firstRowFirstColumn="0" w:firstRowLastColumn="0" w:lastRowFirstColumn="0" w:lastRowLastColumn="0"/>
          <w:trHeight w:val="3702"/>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Del="00A67DD3" w:rsidRDefault="00A67DD3" w:rsidP="00A67DD3">
            <w:pPr>
              <w:jc w:val="left"/>
              <w:rPr>
                <w:rFonts w:cs="Arial"/>
                <w:b/>
                <w:color w:val="000000"/>
                <w:lang w:val="es-CR"/>
              </w:rPr>
            </w:pPr>
            <w:r w:rsidRPr="002B061B">
              <w:rPr>
                <w:rFonts w:cs="Arial"/>
                <w:b/>
                <w:color w:val="000000"/>
                <w:lang w:val="es-CR"/>
              </w:rPr>
              <w:t>Tipo de Título</w:t>
            </w:r>
          </w:p>
        </w:tc>
        <w:tc>
          <w:tcPr>
            <w:tcW w:w="7655" w:type="dxa"/>
          </w:tcPr>
          <w:p w:rsidR="00A67DD3"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sidRPr="002B061B">
              <w:rPr>
                <w:rFonts w:cs="Arial"/>
                <w:color w:val="000000"/>
                <w:lang w:val="es-CR"/>
              </w:rPr>
              <w:t>Indica la clase de título valor adquirido</w:t>
            </w:r>
            <w:r>
              <w:rPr>
                <w:rFonts w:cs="Arial"/>
                <w:color w:val="000000"/>
                <w:lang w:val="es-CR"/>
              </w:rPr>
              <w:t xml:space="preserve">, de acuerdo con los códigos de la cartera se describe la clase de título a continuación: </w:t>
            </w:r>
          </w:p>
          <w:p w:rsidR="00524EEB" w:rsidRDefault="00524EEB"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p>
          <w:tbl>
            <w:tblPr>
              <w:tblStyle w:val="TableGrid"/>
              <w:tblW w:w="0" w:type="auto"/>
              <w:tblInd w:w="720" w:type="dxa"/>
              <w:tblLook w:val="04A0" w:firstRow="1" w:lastRow="0" w:firstColumn="1" w:lastColumn="0" w:noHBand="0" w:noVBand="1"/>
            </w:tblPr>
            <w:tblGrid>
              <w:gridCol w:w="846"/>
              <w:gridCol w:w="4536"/>
            </w:tblGrid>
            <w:tr w:rsidR="00A67DD3" w:rsidRPr="00C842C4" w:rsidTr="0095250A">
              <w:tc>
                <w:tcPr>
                  <w:tcW w:w="678" w:type="dxa"/>
                </w:tcPr>
                <w:p w:rsidR="00A67DD3" w:rsidRPr="00386E9D" w:rsidRDefault="00A67DD3" w:rsidP="00A67DD3">
                  <w:pPr>
                    <w:rPr>
                      <w:rFonts w:cs="Arial"/>
                      <w:b/>
                      <w:color w:val="000000"/>
                      <w:lang w:val="es-CR"/>
                    </w:rPr>
                  </w:pPr>
                  <w:r w:rsidRPr="00386E9D">
                    <w:rPr>
                      <w:rFonts w:cs="Arial"/>
                      <w:b/>
                      <w:color w:val="000000"/>
                      <w:lang w:val="es-CR"/>
                    </w:rPr>
                    <w:t xml:space="preserve">Código </w:t>
                  </w:r>
                </w:p>
              </w:tc>
              <w:tc>
                <w:tcPr>
                  <w:tcW w:w="4536" w:type="dxa"/>
                </w:tcPr>
                <w:p w:rsidR="00A67DD3" w:rsidRPr="00386E9D" w:rsidRDefault="00A67DD3" w:rsidP="00A67DD3">
                  <w:pPr>
                    <w:rPr>
                      <w:rFonts w:cs="Arial"/>
                      <w:b/>
                      <w:color w:val="000000"/>
                      <w:lang w:val="es-CR"/>
                    </w:rPr>
                  </w:pPr>
                  <w:r w:rsidRPr="00386E9D">
                    <w:rPr>
                      <w:rFonts w:cs="Arial"/>
                      <w:b/>
                      <w:color w:val="000000"/>
                      <w:lang w:val="es-CR"/>
                    </w:rPr>
                    <w:t>Clase de título</w:t>
                  </w:r>
                </w:p>
              </w:tc>
            </w:tr>
            <w:tr w:rsidR="00A67DD3" w:rsidRPr="00C842C4" w:rsidTr="0095250A">
              <w:tc>
                <w:tcPr>
                  <w:tcW w:w="678" w:type="dxa"/>
                </w:tcPr>
                <w:p w:rsidR="00A67DD3" w:rsidRPr="00C842C4" w:rsidRDefault="00A67DD3" w:rsidP="00A67DD3">
                  <w:pPr>
                    <w:rPr>
                      <w:rFonts w:cs="Arial"/>
                      <w:color w:val="000000"/>
                      <w:lang w:val="es-CR"/>
                    </w:rPr>
                  </w:pPr>
                  <w:r w:rsidRPr="00C842C4">
                    <w:rPr>
                      <w:rFonts w:cs="Arial"/>
                      <w:color w:val="000000"/>
                      <w:lang w:val="es-CR"/>
                    </w:rPr>
                    <w:t>1</w:t>
                  </w:r>
                </w:p>
              </w:tc>
              <w:tc>
                <w:tcPr>
                  <w:tcW w:w="4536" w:type="dxa"/>
                </w:tcPr>
                <w:p w:rsidR="00A67DD3" w:rsidRPr="00C842C4" w:rsidRDefault="00A67DD3" w:rsidP="00A67DD3">
                  <w:pPr>
                    <w:rPr>
                      <w:rFonts w:cs="Arial"/>
                      <w:color w:val="000000"/>
                      <w:lang w:val="es-CR"/>
                    </w:rPr>
                  </w:pPr>
                  <w:r w:rsidRPr="00C842C4">
                    <w:rPr>
                      <w:rFonts w:cs="Arial"/>
                      <w:color w:val="000000"/>
                      <w:lang w:val="es-CR"/>
                    </w:rPr>
                    <w:t>Renta Fija (deuda)</w:t>
                  </w:r>
                </w:p>
              </w:tc>
            </w:tr>
            <w:tr w:rsidR="00A67DD3" w:rsidRPr="00C842C4" w:rsidTr="0095250A">
              <w:tc>
                <w:tcPr>
                  <w:tcW w:w="678" w:type="dxa"/>
                </w:tcPr>
                <w:p w:rsidR="00A67DD3" w:rsidRPr="00C842C4" w:rsidRDefault="00A67DD3" w:rsidP="00A67DD3">
                  <w:pPr>
                    <w:rPr>
                      <w:rFonts w:cs="Arial"/>
                      <w:color w:val="000000"/>
                      <w:lang w:val="es-CR"/>
                    </w:rPr>
                  </w:pPr>
                  <w:r w:rsidRPr="00C842C4">
                    <w:rPr>
                      <w:rFonts w:cs="Arial"/>
                      <w:color w:val="000000"/>
                      <w:lang w:val="es-CR"/>
                    </w:rPr>
                    <w:t>2</w:t>
                  </w:r>
                </w:p>
              </w:tc>
              <w:tc>
                <w:tcPr>
                  <w:tcW w:w="4536" w:type="dxa"/>
                </w:tcPr>
                <w:p w:rsidR="00A67DD3" w:rsidRPr="00C842C4" w:rsidRDefault="00A67DD3" w:rsidP="00A67DD3">
                  <w:pPr>
                    <w:rPr>
                      <w:rFonts w:cs="Arial"/>
                      <w:color w:val="000000"/>
                      <w:lang w:val="es-CR"/>
                    </w:rPr>
                  </w:pPr>
                  <w:r w:rsidRPr="00C842C4">
                    <w:rPr>
                      <w:rFonts w:cs="Arial"/>
                      <w:color w:val="000000"/>
                      <w:lang w:val="es-CR"/>
                    </w:rPr>
                    <w:t>Renta Variable (acciones)</w:t>
                  </w:r>
                </w:p>
              </w:tc>
            </w:tr>
            <w:tr w:rsidR="00A67DD3" w:rsidRPr="00B60A8C" w:rsidTr="0095250A">
              <w:tc>
                <w:tcPr>
                  <w:tcW w:w="678" w:type="dxa"/>
                </w:tcPr>
                <w:p w:rsidR="00A67DD3" w:rsidRPr="00C842C4" w:rsidRDefault="00A67DD3" w:rsidP="00A67DD3">
                  <w:pPr>
                    <w:rPr>
                      <w:rFonts w:cs="Arial"/>
                      <w:color w:val="000000"/>
                      <w:lang w:val="es-CR"/>
                    </w:rPr>
                  </w:pPr>
                  <w:r w:rsidRPr="00C842C4">
                    <w:rPr>
                      <w:rFonts w:cs="Arial"/>
                      <w:color w:val="000000"/>
                      <w:lang w:val="es-CR"/>
                    </w:rPr>
                    <w:t>3</w:t>
                  </w:r>
                </w:p>
              </w:tc>
              <w:tc>
                <w:tcPr>
                  <w:tcW w:w="4536" w:type="dxa"/>
                </w:tcPr>
                <w:p w:rsidR="00A67DD3" w:rsidRPr="00C842C4" w:rsidRDefault="00A67DD3" w:rsidP="00A67DD3">
                  <w:pPr>
                    <w:rPr>
                      <w:rFonts w:cs="Arial"/>
                      <w:color w:val="000000"/>
                      <w:lang w:val="es-CR"/>
                    </w:rPr>
                  </w:pPr>
                  <w:r w:rsidRPr="00C842C4">
                    <w:rPr>
                      <w:rFonts w:cs="Arial"/>
                      <w:color w:val="000000"/>
                      <w:lang w:val="es-CR"/>
                    </w:rPr>
                    <w:t>Valores de participación fondos cerrados</w:t>
                  </w:r>
                </w:p>
              </w:tc>
            </w:tr>
            <w:tr w:rsidR="00A67DD3" w:rsidRPr="00B60A8C" w:rsidTr="0095250A">
              <w:tc>
                <w:tcPr>
                  <w:tcW w:w="678" w:type="dxa"/>
                </w:tcPr>
                <w:p w:rsidR="00A67DD3" w:rsidRPr="00C842C4" w:rsidRDefault="00A67DD3" w:rsidP="00A67DD3">
                  <w:pPr>
                    <w:rPr>
                      <w:rFonts w:cs="Arial"/>
                      <w:color w:val="000000"/>
                      <w:lang w:val="es-CR"/>
                    </w:rPr>
                  </w:pPr>
                  <w:r w:rsidRPr="00C842C4">
                    <w:rPr>
                      <w:rFonts w:cs="Arial"/>
                      <w:color w:val="000000"/>
                      <w:lang w:val="es-CR"/>
                    </w:rPr>
                    <w:t>4</w:t>
                  </w:r>
                </w:p>
              </w:tc>
              <w:tc>
                <w:tcPr>
                  <w:tcW w:w="4536" w:type="dxa"/>
                </w:tcPr>
                <w:p w:rsidR="00A67DD3" w:rsidRPr="00C842C4" w:rsidRDefault="00A67DD3" w:rsidP="00A67DD3">
                  <w:pPr>
                    <w:rPr>
                      <w:rFonts w:cs="Arial"/>
                      <w:color w:val="000000"/>
                      <w:lang w:val="es-CR"/>
                    </w:rPr>
                  </w:pPr>
                  <w:r w:rsidRPr="00C842C4">
                    <w:rPr>
                      <w:rFonts w:cs="Arial"/>
                      <w:color w:val="000000"/>
                      <w:lang w:val="es-CR"/>
                    </w:rPr>
                    <w:t>Valores de participación fondos abiertos</w:t>
                  </w:r>
                </w:p>
              </w:tc>
            </w:tr>
            <w:tr w:rsidR="00A67DD3" w:rsidRPr="00B60A8C" w:rsidTr="0095250A">
              <w:tc>
                <w:tcPr>
                  <w:tcW w:w="678" w:type="dxa"/>
                </w:tcPr>
                <w:p w:rsidR="00A67DD3" w:rsidRPr="00C842C4" w:rsidRDefault="00A67DD3" w:rsidP="00A67DD3">
                  <w:pPr>
                    <w:rPr>
                      <w:rFonts w:cs="Arial"/>
                      <w:color w:val="000000"/>
                      <w:lang w:val="es-CR"/>
                    </w:rPr>
                  </w:pPr>
                  <w:r w:rsidRPr="00C842C4">
                    <w:rPr>
                      <w:rFonts w:cs="Arial"/>
                      <w:color w:val="000000"/>
                      <w:lang w:val="es-CR"/>
                    </w:rPr>
                    <w:t>5</w:t>
                  </w:r>
                </w:p>
              </w:tc>
              <w:tc>
                <w:tcPr>
                  <w:tcW w:w="4536" w:type="dxa"/>
                </w:tcPr>
                <w:p w:rsidR="00A67DD3" w:rsidRPr="00C842C4" w:rsidRDefault="00A67DD3" w:rsidP="00A67DD3">
                  <w:pPr>
                    <w:rPr>
                      <w:rFonts w:cs="Arial"/>
                      <w:color w:val="000000"/>
                      <w:lang w:val="es-CR"/>
                    </w:rPr>
                  </w:pPr>
                  <w:r w:rsidRPr="00C842C4">
                    <w:rPr>
                      <w:rFonts w:cs="Arial"/>
                      <w:color w:val="000000"/>
                      <w:lang w:val="es-CR"/>
                    </w:rPr>
                    <w:t>Fideicomiso de Titularización de deuda</w:t>
                  </w:r>
                </w:p>
              </w:tc>
            </w:tr>
            <w:tr w:rsidR="00A67DD3" w:rsidRPr="00B60A8C" w:rsidTr="0095250A">
              <w:tc>
                <w:tcPr>
                  <w:tcW w:w="678" w:type="dxa"/>
                </w:tcPr>
                <w:p w:rsidR="00A67DD3" w:rsidRPr="00C842C4" w:rsidRDefault="00A67DD3" w:rsidP="00A67DD3">
                  <w:pPr>
                    <w:rPr>
                      <w:rFonts w:cs="Arial"/>
                      <w:color w:val="000000"/>
                      <w:lang w:val="es-CR"/>
                    </w:rPr>
                  </w:pPr>
                  <w:r w:rsidRPr="00C842C4">
                    <w:rPr>
                      <w:rFonts w:cs="Arial"/>
                      <w:color w:val="000000"/>
                      <w:lang w:val="es-CR"/>
                    </w:rPr>
                    <w:t>6</w:t>
                  </w:r>
                </w:p>
              </w:tc>
              <w:tc>
                <w:tcPr>
                  <w:tcW w:w="4536" w:type="dxa"/>
                </w:tcPr>
                <w:p w:rsidR="00A67DD3" w:rsidRPr="00C842C4" w:rsidRDefault="00A67DD3" w:rsidP="00A67DD3">
                  <w:pPr>
                    <w:rPr>
                      <w:rFonts w:cs="Arial"/>
                      <w:color w:val="000000"/>
                      <w:lang w:val="es-CR"/>
                    </w:rPr>
                  </w:pPr>
                  <w:r w:rsidRPr="00C842C4">
                    <w:rPr>
                      <w:rFonts w:cs="Arial"/>
                      <w:color w:val="000000"/>
                      <w:lang w:val="es-CR"/>
                    </w:rPr>
                    <w:t>Fideicomiso de Titularización de participación</w:t>
                  </w:r>
                </w:p>
              </w:tc>
            </w:tr>
            <w:tr w:rsidR="00A67DD3" w:rsidRPr="00B60A8C" w:rsidTr="0095250A">
              <w:tc>
                <w:tcPr>
                  <w:tcW w:w="678" w:type="dxa"/>
                </w:tcPr>
                <w:p w:rsidR="00A67DD3" w:rsidRPr="00C842C4" w:rsidRDefault="00A67DD3" w:rsidP="00A67DD3">
                  <w:pPr>
                    <w:rPr>
                      <w:rFonts w:cs="Arial"/>
                      <w:color w:val="000000"/>
                      <w:lang w:val="es-CR"/>
                    </w:rPr>
                  </w:pPr>
                  <w:r w:rsidRPr="00C842C4">
                    <w:rPr>
                      <w:rFonts w:cs="Arial"/>
                      <w:color w:val="000000"/>
                      <w:lang w:val="es-CR"/>
                    </w:rPr>
                    <w:t>7</w:t>
                  </w:r>
                </w:p>
              </w:tc>
              <w:tc>
                <w:tcPr>
                  <w:tcW w:w="4536" w:type="dxa"/>
                </w:tcPr>
                <w:p w:rsidR="00A67DD3" w:rsidRPr="00C842C4" w:rsidRDefault="00A67DD3" w:rsidP="00A67DD3">
                  <w:pPr>
                    <w:rPr>
                      <w:rFonts w:cs="Arial"/>
                      <w:color w:val="000000"/>
                      <w:lang w:val="es-CR"/>
                    </w:rPr>
                  </w:pPr>
                  <w:r w:rsidRPr="00C842C4">
                    <w:rPr>
                      <w:rFonts w:cs="Arial"/>
                      <w:color w:val="000000"/>
                      <w:lang w:val="es-CR"/>
                    </w:rPr>
                    <w:t>Fideicomiso de Titularización valores mixtos</w:t>
                  </w:r>
                </w:p>
              </w:tc>
            </w:tr>
            <w:tr w:rsidR="00A67DD3" w:rsidRPr="002B061B" w:rsidTr="0095250A">
              <w:tc>
                <w:tcPr>
                  <w:tcW w:w="678" w:type="dxa"/>
                </w:tcPr>
                <w:p w:rsidR="00A67DD3" w:rsidRPr="00C842C4" w:rsidRDefault="00A67DD3" w:rsidP="00A67DD3">
                  <w:pPr>
                    <w:rPr>
                      <w:rFonts w:cs="Arial"/>
                      <w:color w:val="000000"/>
                      <w:lang w:val="es-CR"/>
                    </w:rPr>
                  </w:pPr>
                  <w:r w:rsidRPr="00C842C4">
                    <w:rPr>
                      <w:rFonts w:cs="Arial"/>
                      <w:color w:val="000000"/>
                      <w:lang w:val="es-CR"/>
                    </w:rPr>
                    <w:t>8</w:t>
                  </w:r>
                </w:p>
              </w:tc>
              <w:tc>
                <w:tcPr>
                  <w:tcW w:w="4536" w:type="dxa"/>
                </w:tcPr>
                <w:p w:rsidR="00A67DD3" w:rsidRPr="002B061B" w:rsidRDefault="00A67DD3" w:rsidP="00A67DD3">
                  <w:pPr>
                    <w:rPr>
                      <w:rFonts w:cs="Arial"/>
                      <w:color w:val="000000"/>
                      <w:lang w:val="es-CR"/>
                    </w:rPr>
                  </w:pPr>
                  <w:r w:rsidRPr="00C842C4">
                    <w:rPr>
                      <w:rFonts w:cs="Arial"/>
                      <w:color w:val="000000"/>
                      <w:lang w:val="es-CR"/>
                    </w:rPr>
                    <w:t>Productos Estructurados</w:t>
                  </w:r>
                </w:p>
              </w:tc>
            </w:tr>
          </w:tbl>
          <w:p w:rsidR="00A67DD3" w:rsidRPr="002B061B" w:rsidDel="00A67DD3"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p>
        </w:tc>
      </w:tr>
      <w:tr w:rsidR="00A67DD3" w:rsidRPr="00386E9D" w:rsidTr="00AD78B9">
        <w:trPr>
          <w:trHeight w:val="7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Del="00A67DD3" w:rsidRDefault="00A67DD3" w:rsidP="00A67DD3">
            <w:pPr>
              <w:jc w:val="left"/>
              <w:rPr>
                <w:rFonts w:cs="Arial"/>
                <w:b/>
                <w:color w:val="000000"/>
                <w:lang w:val="es-CR"/>
              </w:rPr>
            </w:pPr>
            <w:bookmarkStart w:id="2" w:name="Valoracion"/>
            <w:r w:rsidRPr="002B061B">
              <w:rPr>
                <w:rFonts w:cs="Arial"/>
                <w:b/>
                <w:bCs/>
                <w:color w:val="000000"/>
                <w:lang w:val="es-CR"/>
              </w:rPr>
              <w:t>Valor</w:t>
            </w:r>
            <w:r w:rsidR="001F193E">
              <w:rPr>
                <w:rFonts w:cs="Arial"/>
                <w:b/>
                <w:bCs/>
                <w:color w:val="000000"/>
                <w:lang w:val="es-CR"/>
              </w:rPr>
              <w:t>ación</w:t>
            </w:r>
            <w:r w:rsidRPr="002B061B">
              <w:rPr>
                <w:rFonts w:cs="Arial"/>
                <w:b/>
                <w:bCs/>
                <w:color w:val="000000"/>
                <w:lang w:val="es-CR"/>
              </w:rPr>
              <w:t xml:space="preserve"> de mercado</w:t>
            </w:r>
            <w:bookmarkEnd w:id="2"/>
          </w:p>
        </w:tc>
        <w:tc>
          <w:tcPr>
            <w:tcW w:w="7655" w:type="dxa"/>
          </w:tcPr>
          <w:p w:rsidR="006A2D66" w:rsidRDefault="00A67DD3" w:rsidP="001F193E">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Pr>
                <w:rFonts w:cs="Arial"/>
                <w:color w:val="000000"/>
                <w:lang w:val="es-CR"/>
              </w:rPr>
              <w:t>Registro contable</w:t>
            </w:r>
            <w:r w:rsidRPr="002B061B">
              <w:rPr>
                <w:rFonts w:cs="Arial"/>
                <w:color w:val="000000"/>
                <w:lang w:val="es-CR"/>
              </w:rPr>
              <w:t xml:space="preserve"> sujeto al proceso de valoración de mercado</w:t>
            </w:r>
            <w:r w:rsidR="006A2D66">
              <w:rPr>
                <w:rFonts w:cs="Arial"/>
                <w:color w:val="000000"/>
                <w:lang w:val="es-CR"/>
              </w:rPr>
              <w:t>:</w:t>
            </w:r>
          </w:p>
          <w:p w:rsidR="001F193E" w:rsidRDefault="006A2D66" w:rsidP="00386E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R" w:eastAsia="es-CR"/>
              </w:rPr>
            </w:pPr>
            <w:r>
              <w:rPr>
                <w:rFonts w:cs="Arial"/>
                <w:color w:val="000000"/>
                <w:lang w:val="es-CR"/>
              </w:rPr>
              <w:t xml:space="preserve"> </w:t>
            </w:r>
            <w:r w:rsidR="001F193E">
              <w:rPr>
                <w:rFonts w:cs="Arial"/>
                <w:color w:val="000000"/>
                <w:lang w:val="es-CR"/>
              </w:rPr>
              <w:t xml:space="preserve">Proceso por el cual se determina el precio de valoración de un título, con base en el precio observado de las transacciones de mercado. En ausencia de estas observaciones del mercado, se calcula el precio teórico de cada uno de los instrumentos financieros, obtenido con base en algoritmos, criterios técnicos y estadísticos y en modelos de valoración, </w:t>
            </w:r>
            <w:r w:rsidR="006920B5">
              <w:rPr>
                <w:rFonts w:cs="Arial"/>
                <w:color w:val="000000"/>
                <w:lang w:val="es-CR"/>
              </w:rPr>
              <w:t>entre los que se puede mencionar</w:t>
            </w:r>
            <w:r w:rsidR="001F193E">
              <w:rPr>
                <w:rFonts w:cs="Arial"/>
                <w:color w:val="000000"/>
                <w:lang w:val="es-CR"/>
              </w:rPr>
              <w:t xml:space="preserve">: </w:t>
            </w:r>
            <w:r w:rsidR="001F193E" w:rsidRPr="001F193E">
              <w:rPr>
                <w:rFonts w:cs="Arial"/>
                <w:color w:val="000000"/>
                <w:lang w:val="es-CR"/>
              </w:rPr>
              <w:t>sondeos que consideren las opiniones de diversos participantes del mercado, información de posturas u ofertas del mercado</w:t>
            </w:r>
            <w:r w:rsidR="006920B5">
              <w:rPr>
                <w:rFonts w:cs="Arial"/>
                <w:color w:val="000000"/>
                <w:lang w:val="es-CR"/>
              </w:rPr>
              <w:t>,</w:t>
            </w:r>
            <w:r w:rsidR="001F193E" w:rsidRPr="001F193E">
              <w:rPr>
                <w:rFonts w:cs="Arial"/>
                <w:color w:val="000000"/>
                <w:lang w:val="es-CR"/>
              </w:rPr>
              <w:t xml:space="preserve"> una combinación de estos mecanismos, e</w:t>
            </w:r>
            <w:r w:rsidR="006920B5">
              <w:rPr>
                <w:rFonts w:cs="Arial"/>
                <w:color w:val="000000"/>
                <w:lang w:val="es-CR"/>
              </w:rPr>
              <w:t>tc</w:t>
            </w:r>
            <w:r w:rsidR="001F193E">
              <w:rPr>
                <w:rFonts w:cs="Arial"/>
                <w:color w:val="000000"/>
                <w:lang w:val="es-CR"/>
              </w:rPr>
              <w:t xml:space="preserve">. </w:t>
            </w:r>
            <w:r w:rsidR="001F193E">
              <w:rPr>
                <w:rFonts w:ascii="Times New Roman" w:hAnsi="Times New Roman" w:cs="Times New Roman"/>
                <w:sz w:val="24"/>
                <w:szCs w:val="24"/>
                <w:lang w:val="es-CR" w:eastAsia="es-CR"/>
              </w:rPr>
              <w:t xml:space="preserve"> </w:t>
            </w:r>
          </w:p>
          <w:p w:rsidR="00AD78B9" w:rsidRDefault="00AD78B9" w:rsidP="00AD78B9">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p>
          <w:p w:rsidR="001F193E" w:rsidRDefault="001F193E" w:rsidP="00AD78B9">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1F193E">
              <w:rPr>
                <w:rFonts w:cs="Arial"/>
                <w:color w:val="000000"/>
                <w:lang w:val="es-CR"/>
              </w:rPr>
              <w:t>Las metodologías registradas en SUGEVAL deben buscar que la determinación de los precios de valoración de los instrumentos de deuda guarde consistencia con el principio del valor presente neto, así como otros elementos que puedan incidir en la estimación del precio (riesgo de crédito, volatilidad, riesgo de prepago, entre otros).</w:t>
            </w:r>
            <w:r w:rsidR="00524EEB">
              <w:rPr>
                <w:rFonts w:cs="Arial"/>
                <w:color w:val="000000"/>
                <w:lang w:val="es-CR"/>
              </w:rPr>
              <w:t xml:space="preserve"> (</w:t>
            </w:r>
            <w:r w:rsidR="00524EEB" w:rsidRPr="00524EEB">
              <w:rPr>
                <w:rFonts w:cs="Arial"/>
                <w:i/>
                <w:color w:val="000000"/>
                <w:lang w:val="es-CR"/>
              </w:rPr>
              <w:t>Reglamento sobre Valoración de Instrumentos Financieros, art. 1 y 3</w:t>
            </w:r>
            <w:r w:rsidR="00524EEB">
              <w:rPr>
                <w:rFonts w:cs="Arial"/>
                <w:color w:val="000000"/>
                <w:lang w:val="es-CR"/>
              </w:rPr>
              <w:t>)</w:t>
            </w:r>
          </w:p>
          <w:p w:rsidR="00AD78B9" w:rsidRPr="002B061B" w:rsidDel="00A67DD3" w:rsidRDefault="00AD78B9" w:rsidP="00AD78B9">
            <w:pPr>
              <w:jc w:val="both"/>
              <w:cnfStyle w:val="000000000000" w:firstRow="0" w:lastRow="0" w:firstColumn="0" w:lastColumn="0" w:oddVBand="0" w:evenVBand="0" w:oddHBand="0" w:evenHBand="0" w:firstRowFirstColumn="0" w:firstRowLastColumn="0" w:lastRowFirstColumn="0" w:lastRowLastColumn="0"/>
              <w:rPr>
                <w:rFonts w:cs="Arial"/>
                <w:color w:val="000000"/>
                <w:lang w:val="es-CR"/>
              </w:rPr>
            </w:pPr>
          </w:p>
        </w:tc>
      </w:tr>
      <w:tr w:rsidR="00A67DD3" w:rsidRPr="00B60A8C" w:rsidTr="00524EE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Del="00A67DD3" w:rsidRDefault="00A67DD3" w:rsidP="00A67DD3">
            <w:pPr>
              <w:jc w:val="left"/>
              <w:rPr>
                <w:rFonts w:cs="Arial"/>
                <w:b/>
                <w:color w:val="000000"/>
                <w:lang w:val="es-CR"/>
              </w:rPr>
            </w:pPr>
            <w:r w:rsidRPr="002B061B">
              <w:rPr>
                <w:rFonts w:cs="Arial"/>
                <w:b/>
                <w:bCs/>
                <w:color w:val="000000"/>
                <w:lang w:val="es-CR"/>
              </w:rPr>
              <w:t>Valor facial</w:t>
            </w:r>
          </w:p>
        </w:tc>
        <w:tc>
          <w:tcPr>
            <w:tcW w:w="7655" w:type="dxa"/>
          </w:tcPr>
          <w:p w:rsidR="00A67DD3" w:rsidRPr="002B061B" w:rsidDel="00A67DD3" w:rsidRDefault="00A67DD3" w:rsidP="00A67DD3">
            <w:pPr>
              <w:cnfStyle w:val="000000100000" w:firstRow="0" w:lastRow="0" w:firstColumn="0" w:lastColumn="0" w:oddVBand="0" w:evenVBand="0" w:oddHBand="1" w:evenHBand="0" w:firstRowFirstColumn="0" w:firstRowLastColumn="0" w:lastRowFirstColumn="0" w:lastRowLastColumn="0"/>
              <w:rPr>
                <w:rFonts w:cs="Arial"/>
                <w:color w:val="000000"/>
                <w:lang w:val="es-CR"/>
              </w:rPr>
            </w:pPr>
            <w:r>
              <w:rPr>
                <w:rFonts w:cs="Arial"/>
                <w:color w:val="000000"/>
                <w:lang w:val="es-CR"/>
              </w:rPr>
              <w:t xml:space="preserve">Es el </w:t>
            </w:r>
            <w:r w:rsidRPr="00F4626B">
              <w:rPr>
                <w:rFonts w:cs="Arial"/>
                <w:color w:val="000000"/>
                <w:lang w:val="es-CR"/>
              </w:rPr>
              <w:t xml:space="preserve"> valor nominal sobre el cual se emite un valor</w:t>
            </w:r>
            <w:r w:rsidRPr="002B061B">
              <w:rPr>
                <w:rFonts w:cs="Arial"/>
                <w:color w:val="000000"/>
                <w:lang w:val="es-CR"/>
              </w:rPr>
              <w:t>.</w:t>
            </w:r>
          </w:p>
        </w:tc>
      </w:tr>
      <w:tr w:rsidR="00A67DD3" w:rsidRPr="00B60A8C" w:rsidTr="009413E1">
        <w:trPr>
          <w:trHeight w:val="750"/>
        </w:trPr>
        <w:tc>
          <w:tcPr>
            <w:cnfStyle w:val="001000000000" w:firstRow="0" w:lastRow="0" w:firstColumn="1" w:lastColumn="0" w:oddVBand="0" w:evenVBand="0" w:oddHBand="0" w:evenHBand="0" w:firstRowFirstColumn="0" w:firstRowLastColumn="0" w:lastRowFirstColumn="0" w:lastRowLastColumn="0"/>
            <w:tcW w:w="2425" w:type="dxa"/>
          </w:tcPr>
          <w:p w:rsidR="00A67DD3" w:rsidRPr="002B061B" w:rsidDel="00A67DD3" w:rsidRDefault="00A67DD3" w:rsidP="00A67DD3">
            <w:pPr>
              <w:jc w:val="left"/>
              <w:rPr>
                <w:rFonts w:cs="Arial"/>
                <w:b/>
                <w:color w:val="000000"/>
                <w:lang w:val="es-CR"/>
              </w:rPr>
            </w:pPr>
            <w:r w:rsidRPr="002B061B">
              <w:rPr>
                <w:rFonts w:cs="Arial"/>
                <w:b/>
                <w:bCs/>
                <w:color w:val="000000"/>
                <w:lang w:val="es-CR"/>
              </w:rPr>
              <w:t>Vencimiento</w:t>
            </w:r>
          </w:p>
        </w:tc>
        <w:tc>
          <w:tcPr>
            <w:tcW w:w="7655" w:type="dxa"/>
          </w:tcPr>
          <w:p w:rsidR="00A67DD3" w:rsidRPr="002B061B" w:rsidDel="00A67DD3" w:rsidRDefault="00A67DD3" w:rsidP="00A67DD3">
            <w:pPr>
              <w:cnfStyle w:val="000000000000" w:firstRow="0" w:lastRow="0" w:firstColumn="0" w:lastColumn="0" w:oddVBand="0" w:evenVBand="0" w:oddHBand="0" w:evenHBand="0" w:firstRowFirstColumn="0" w:firstRowLastColumn="0" w:lastRowFirstColumn="0" w:lastRowLastColumn="0"/>
              <w:rPr>
                <w:rFonts w:cs="Arial"/>
                <w:color w:val="000000"/>
                <w:lang w:val="es-CR"/>
              </w:rPr>
            </w:pPr>
            <w:r w:rsidRPr="002B061B">
              <w:rPr>
                <w:rFonts w:cs="Arial"/>
                <w:color w:val="000000"/>
                <w:lang w:val="es-CR"/>
              </w:rPr>
              <w:t xml:space="preserve">Fecha en que </w:t>
            </w:r>
            <w:r>
              <w:rPr>
                <w:rFonts w:cs="Arial"/>
                <w:color w:val="000000"/>
                <w:lang w:val="es-CR"/>
              </w:rPr>
              <w:t xml:space="preserve">el valor va a ser reembolsado por </w:t>
            </w:r>
            <w:r w:rsidRPr="002B061B">
              <w:rPr>
                <w:rFonts w:cs="Arial"/>
                <w:color w:val="000000"/>
                <w:lang w:val="es-CR"/>
              </w:rPr>
              <w:t>el emisor.</w:t>
            </w:r>
            <w:r>
              <w:rPr>
                <w:rFonts w:cs="Arial"/>
                <w:color w:val="000000"/>
                <w:lang w:val="es-CR"/>
              </w:rPr>
              <w:t xml:space="preserve"> Solo para instrumentos de deuda.</w:t>
            </w:r>
          </w:p>
        </w:tc>
      </w:tr>
      <w:bookmarkEnd w:id="0"/>
    </w:tbl>
    <w:p w:rsidR="00915AD5" w:rsidRPr="002B061B" w:rsidRDefault="00915AD5" w:rsidP="00AD78B9">
      <w:pPr>
        <w:rPr>
          <w:lang w:val="es-CR"/>
        </w:rPr>
      </w:pPr>
    </w:p>
    <w:sectPr w:rsidR="00915AD5" w:rsidRPr="002B061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60F" w:rsidRDefault="0056760F" w:rsidP="00D24247">
      <w:pPr>
        <w:spacing w:after="0" w:line="240" w:lineRule="auto"/>
      </w:pPr>
      <w:r>
        <w:separator/>
      </w:r>
    </w:p>
  </w:endnote>
  <w:endnote w:type="continuationSeparator" w:id="0">
    <w:p w:rsidR="0056760F" w:rsidRDefault="0056760F" w:rsidP="00D2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60F" w:rsidRDefault="0056760F" w:rsidP="00D24247">
      <w:pPr>
        <w:spacing w:after="0" w:line="240" w:lineRule="auto"/>
      </w:pPr>
      <w:r>
        <w:separator/>
      </w:r>
    </w:p>
  </w:footnote>
  <w:footnote w:type="continuationSeparator" w:id="0">
    <w:p w:rsidR="0056760F" w:rsidRDefault="0056760F" w:rsidP="00D24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theme="majorBidi"/>
        <w:b/>
        <w:color w:val="1F497D" w:themeColor="text2"/>
        <w:sz w:val="36"/>
        <w:szCs w:val="36"/>
      </w:rPr>
      <w:alias w:val="Title"/>
      <w:id w:val="77738743"/>
      <w:placeholder>
        <w:docPart w:val="0061A973B18F40AD9516AC08147EC46F"/>
      </w:placeholder>
      <w:dataBinding w:prefixMappings="xmlns:ns0='http://schemas.openxmlformats.org/package/2006/metadata/core-properties' xmlns:ns1='http://purl.org/dc/elements/1.1/'" w:xpath="/ns0:coreProperties[1]/ns1:title[1]" w:storeItemID="{6C3C8BC8-F283-45AE-878A-BAB7291924A1}"/>
      <w:text/>
    </w:sdtPr>
    <w:sdtEndPr/>
    <w:sdtContent>
      <w:p w:rsidR="00D456A8" w:rsidRPr="008E3397" w:rsidRDefault="00D456A8">
        <w:pPr>
          <w:pStyle w:val="Header"/>
          <w:pBdr>
            <w:bottom w:val="thickThinSmallGap" w:sz="24" w:space="1" w:color="622423" w:themeColor="accent2" w:themeShade="7F"/>
          </w:pBdr>
          <w:jc w:val="center"/>
          <w:rPr>
            <w:rFonts w:eastAsiaTheme="majorEastAsia" w:cstheme="majorBidi"/>
            <w:b/>
            <w:color w:val="1F497D" w:themeColor="text2"/>
            <w:sz w:val="36"/>
            <w:szCs w:val="36"/>
          </w:rPr>
        </w:pPr>
        <w:proofErr w:type="spellStart"/>
        <w:r w:rsidRPr="008E3397">
          <w:rPr>
            <w:rFonts w:eastAsiaTheme="majorEastAsia" w:cstheme="majorBidi"/>
            <w:b/>
            <w:color w:val="1F497D" w:themeColor="text2"/>
            <w:sz w:val="36"/>
            <w:szCs w:val="36"/>
          </w:rPr>
          <w:t>Glosario</w:t>
        </w:r>
        <w:proofErr w:type="spellEnd"/>
      </w:p>
    </w:sdtContent>
  </w:sdt>
  <w:p w:rsidR="00D456A8" w:rsidRDefault="00D456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63E"/>
    <w:multiLevelType w:val="hybridMultilevel"/>
    <w:tmpl w:val="82E04E8C"/>
    <w:lvl w:ilvl="0" w:tplc="68145A0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001168C"/>
    <w:multiLevelType w:val="hybridMultilevel"/>
    <w:tmpl w:val="FC2E31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D9E677A"/>
    <w:multiLevelType w:val="hybridMultilevel"/>
    <w:tmpl w:val="19CE6F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54E6566"/>
    <w:multiLevelType w:val="hybridMultilevel"/>
    <w:tmpl w:val="A9A25C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D5642AD"/>
    <w:multiLevelType w:val="hybridMultilevel"/>
    <w:tmpl w:val="3FB0BB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15C25A5"/>
    <w:multiLevelType w:val="hybridMultilevel"/>
    <w:tmpl w:val="AC083B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ED"/>
    <w:rsid w:val="000374CF"/>
    <w:rsid w:val="00056355"/>
    <w:rsid w:val="000700BB"/>
    <w:rsid w:val="00073CBC"/>
    <w:rsid w:val="000B066E"/>
    <w:rsid w:val="000B56F8"/>
    <w:rsid w:val="000C0845"/>
    <w:rsid w:val="000C6C47"/>
    <w:rsid w:val="000E4433"/>
    <w:rsid w:val="00100339"/>
    <w:rsid w:val="001426B8"/>
    <w:rsid w:val="001435CE"/>
    <w:rsid w:val="001466F3"/>
    <w:rsid w:val="0016168A"/>
    <w:rsid w:val="00161FC8"/>
    <w:rsid w:val="001A0B9C"/>
    <w:rsid w:val="001B3C53"/>
    <w:rsid w:val="001D30A0"/>
    <w:rsid w:val="001D5D20"/>
    <w:rsid w:val="001F1913"/>
    <w:rsid w:val="001F193E"/>
    <w:rsid w:val="00204AA4"/>
    <w:rsid w:val="00215BE6"/>
    <w:rsid w:val="00223B91"/>
    <w:rsid w:val="00226430"/>
    <w:rsid w:val="00245F4F"/>
    <w:rsid w:val="0024653D"/>
    <w:rsid w:val="00277953"/>
    <w:rsid w:val="002B061B"/>
    <w:rsid w:val="002B0659"/>
    <w:rsid w:val="002E565A"/>
    <w:rsid w:val="00345624"/>
    <w:rsid w:val="00347FF5"/>
    <w:rsid w:val="00372F21"/>
    <w:rsid w:val="003760D3"/>
    <w:rsid w:val="00386E9D"/>
    <w:rsid w:val="003B2CD8"/>
    <w:rsid w:val="00442AAC"/>
    <w:rsid w:val="00472A51"/>
    <w:rsid w:val="004C6E14"/>
    <w:rsid w:val="004D2086"/>
    <w:rsid w:val="004F727D"/>
    <w:rsid w:val="0050562E"/>
    <w:rsid w:val="00513A36"/>
    <w:rsid w:val="00524EEB"/>
    <w:rsid w:val="0052652F"/>
    <w:rsid w:val="00526A77"/>
    <w:rsid w:val="00563265"/>
    <w:rsid w:val="0056760F"/>
    <w:rsid w:val="00583AF5"/>
    <w:rsid w:val="0059271A"/>
    <w:rsid w:val="005D02E3"/>
    <w:rsid w:val="005D6084"/>
    <w:rsid w:val="005D73A2"/>
    <w:rsid w:val="005E22C3"/>
    <w:rsid w:val="005F7C2C"/>
    <w:rsid w:val="006038ED"/>
    <w:rsid w:val="00624382"/>
    <w:rsid w:val="00626E75"/>
    <w:rsid w:val="00634F14"/>
    <w:rsid w:val="006618B7"/>
    <w:rsid w:val="00683EF4"/>
    <w:rsid w:val="006920B5"/>
    <w:rsid w:val="006A2D66"/>
    <w:rsid w:val="006A3329"/>
    <w:rsid w:val="006C2B7D"/>
    <w:rsid w:val="006D62EE"/>
    <w:rsid w:val="006E13BD"/>
    <w:rsid w:val="006E2183"/>
    <w:rsid w:val="00730079"/>
    <w:rsid w:val="00756253"/>
    <w:rsid w:val="007827FD"/>
    <w:rsid w:val="00793A12"/>
    <w:rsid w:val="007B79CA"/>
    <w:rsid w:val="007E5D41"/>
    <w:rsid w:val="00827C78"/>
    <w:rsid w:val="00833CC2"/>
    <w:rsid w:val="008732B2"/>
    <w:rsid w:val="008862FC"/>
    <w:rsid w:val="00897042"/>
    <w:rsid w:val="008A1C19"/>
    <w:rsid w:val="008C7310"/>
    <w:rsid w:val="008E3397"/>
    <w:rsid w:val="008F26EB"/>
    <w:rsid w:val="008F61AC"/>
    <w:rsid w:val="00915AD5"/>
    <w:rsid w:val="0092504D"/>
    <w:rsid w:val="009412B7"/>
    <w:rsid w:val="009413E1"/>
    <w:rsid w:val="0094435C"/>
    <w:rsid w:val="0097737C"/>
    <w:rsid w:val="009B1DF8"/>
    <w:rsid w:val="009D1912"/>
    <w:rsid w:val="009F18AB"/>
    <w:rsid w:val="00A02B3D"/>
    <w:rsid w:val="00A02C2E"/>
    <w:rsid w:val="00A2118E"/>
    <w:rsid w:val="00A5059C"/>
    <w:rsid w:val="00A570BA"/>
    <w:rsid w:val="00A67DD3"/>
    <w:rsid w:val="00AA5E31"/>
    <w:rsid w:val="00AB2221"/>
    <w:rsid w:val="00AC1FA4"/>
    <w:rsid w:val="00AD78B9"/>
    <w:rsid w:val="00AE56B2"/>
    <w:rsid w:val="00B24FCF"/>
    <w:rsid w:val="00B60A8C"/>
    <w:rsid w:val="00B84266"/>
    <w:rsid w:val="00B86933"/>
    <w:rsid w:val="00B87EE7"/>
    <w:rsid w:val="00C118D0"/>
    <w:rsid w:val="00C5755B"/>
    <w:rsid w:val="00CA3404"/>
    <w:rsid w:val="00CC2C74"/>
    <w:rsid w:val="00CE3D64"/>
    <w:rsid w:val="00D10C75"/>
    <w:rsid w:val="00D14BC3"/>
    <w:rsid w:val="00D24247"/>
    <w:rsid w:val="00D456A8"/>
    <w:rsid w:val="00D478C4"/>
    <w:rsid w:val="00D57834"/>
    <w:rsid w:val="00D86922"/>
    <w:rsid w:val="00DA205A"/>
    <w:rsid w:val="00DF6549"/>
    <w:rsid w:val="00E25037"/>
    <w:rsid w:val="00E30749"/>
    <w:rsid w:val="00E35068"/>
    <w:rsid w:val="00E945B2"/>
    <w:rsid w:val="00E9494B"/>
    <w:rsid w:val="00E9576E"/>
    <w:rsid w:val="00EA657E"/>
    <w:rsid w:val="00EA7D89"/>
    <w:rsid w:val="00F11E02"/>
    <w:rsid w:val="00F25709"/>
    <w:rsid w:val="00F4626B"/>
    <w:rsid w:val="00F665A9"/>
    <w:rsid w:val="00F67E77"/>
    <w:rsid w:val="00F8673F"/>
    <w:rsid w:val="00FA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1F388-5910-4BCD-8B4A-922A08DE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AA5E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AA5E3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2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47"/>
  </w:style>
  <w:style w:type="paragraph" w:styleId="Footer">
    <w:name w:val="footer"/>
    <w:basedOn w:val="Normal"/>
    <w:link w:val="FooterChar"/>
    <w:uiPriority w:val="99"/>
    <w:unhideWhenUsed/>
    <w:rsid w:val="00D2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247"/>
  </w:style>
  <w:style w:type="paragraph" w:styleId="BalloonText">
    <w:name w:val="Balloon Text"/>
    <w:basedOn w:val="Normal"/>
    <w:link w:val="BalloonTextChar"/>
    <w:uiPriority w:val="99"/>
    <w:semiHidden/>
    <w:unhideWhenUsed/>
    <w:rsid w:val="00D2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47"/>
    <w:rPr>
      <w:rFonts w:ascii="Tahoma" w:hAnsi="Tahoma" w:cs="Tahoma"/>
      <w:sz w:val="16"/>
      <w:szCs w:val="16"/>
    </w:rPr>
  </w:style>
  <w:style w:type="paragraph" w:styleId="FootnoteText">
    <w:name w:val="footnote text"/>
    <w:basedOn w:val="Normal"/>
    <w:link w:val="FootnoteTextChar"/>
    <w:uiPriority w:val="99"/>
    <w:semiHidden/>
    <w:unhideWhenUsed/>
    <w:rsid w:val="00347F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7FF5"/>
    <w:rPr>
      <w:sz w:val="20"/>
      <w:szCs w:val="20"/>
    </w:rPr>
  </w:style>
  <w:style w:type="character" w:styleId="FootnoteReference">
    <w:name w:val="footnote reference"/>
    <w:basedOn w:val="DefaultParagraphFont"/>
    <w:uiPriority w:val="99"/>
    <w:semiHidden/>
    <w:unhideWhenUsed/>
    <w:rsid w:val="00347FF5"/>
    <w:rPr>
      <w:vertAlign w:val="superscript"/>
    </w:rPr>
  </w:style>
  <w:style w:type="table" w:styleId="TableGridLight">
    <w:name w:val="Grid Table Light"/>
    <w:basedOn w:val="TableNormal"/>
    <w:uiPriority w:val="40"/>
    <w:rsid w:val="00925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1">
    <w:name w:val="Grid Table 7 Colorful Accent 1"/>
    <w:basedOn w:val="TableNormal"/>
    <w:uiPriority w:val="52"/>
    <w:rsid w:val="009413E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ListParagraph">
    <w:name w:val="List Paragraph"/>
    <w:basedOn w:val="Normal"/>
    <w:uiPriority w:val="34"/>
    <w:qFormat/>
    <w:rsid w:val="009B1DF8"/>
    <w:pPr>
      <w:ind w:left="720"/>
      <w:contextualSpacing/>
    </w:pPr>
  </w:style>
  <w:style w:type="character" w:styleId="CommentReference">
    <w:name w:val="annotation reference"/>
    <w:basedOn w:val="DefaultParagraphFont"/>
    <w:uiPriority w:val="99"/>
    <w:semiHidden/>
    <w:unhideWhenUsed/>
    <w:rsid w:val="00E25037"/>
    <w:rPr>
      <w:sz w:val="16"/>
      <w:szCs w:val="16"/>
    </w:rPr>
  </w:style>
  <w:style w:type="paragraph" w:styleId="CommentText">
    <w:name w:val="annotation text"/>
    <w:basedOn w:val="Normal"/>
    <w:link w:val="CommentTextChar"/>
    <w:uiPriority w:val="99"/>
    <w:semiHidden/>
    <w:unhideWhenUsed/>
    <w:rsid w:val="00E25037"/>
    <w:pPr>
      <w:spacing w:line="240" w:lineRule="auto"/>
    </w:pPr>
    <w:rPr>
      <w:sz w:val="20"/>
      <w:szCs w:val="20"/>
    </w:rPr>
  </w:style>
  <w:style w:type="character" w:customStyle="1" w:styleId="CommentTextChar">
    <w:name w:val="Comment Text Char"/>
    <w:basedOn w:val="DefaultParagraphFont"/>
    <w:link w:val="CommentText"/>
    <w:uiPriority w:val="99"/>
    <w:semiHidden/>
    <w:rsid w:val="00E25037"/>
    <w:rPr>
      <w:sz w:val="20"/>
      <w:szCs w:val="20"/>
    </w:rPr>
  </w:style>
  <w:style w:type="paragraph" w:styleId="CommentSubject">
    <w:name w:val="annotation subject"/>
    <w:basedOn w:val="CommentText"/>
    <w:next w:val="CommentText"/>
    <w:link w:val="CommentSubjectChar"/>
    <w:uiPriority w:val="99"/>
    <w:semiHidden/>
    <w:unhideWhenUsed/>
    <w:rsid w:val="00E25037"/>
    <w:rPr>
      <w:b/>
      <w:bCs/>
    </w:rPr>
  </w:style>
  <w:style w:type="character" w:customStyle="1" w:styleId="CommentSubjectChar">
    <w:name w:val="Comment Subject Char"/>
    <w:basedOn w:val="CommentTextChar"/>
    <w:link w:val="CommentSubject"/>
    <w:uiPriority w:val="99"/>
    <w:semiHidden/>
    <w:rsid w:val="00E25037"/>
    <w:rPr>
      <w:b/>
      <w:bCs/>
      <w:sz w:val="20"/>
      <w:szCs w:val="20"/>
    </w:rPr>
  </w:style>
  <w:style w:type="paragraph" w:styleId="Revision">
    <w:name w:val="Revision"/>
    <w:hidden/>
    <w:uiPriority w:val="99"/>
    <w:semiHidden/>
    <w:rsid w:val="00E25037"/>
    <w:pPr>
      <w:spacing w:after="0" w:line="240" w:lineRule="auto"/>
    </w:pPr>
  </w:style>
  <w:style w:type="character" w:styleId="Hyperlink">
    <w:name w:val="Hyperlink"/>
    <w:basedOn w:val="DefaultParagraphFont"/>
    <w:uiPriority w:val="99"/>
    <w:unhideWhenUsed/>
    <w:rsid w:val="006C2B7D"/>
    <w:rPr>
      <w:color w:val="0000FF" w:themeColor="hyperlink"/>
      <w:u w:val="single"/>
    </w:rPr>
  </w:style>
  <w:style w:type="character" w:styleId="FollowedHyperlink">
    <w:name w:val="FollowedHyperlink"/>
    <w:basedOn w:val="DefaultParagraphFont"/>
    <w:uiPriority w:val="99"/>
    <w:semiHidden/>
    <w:unhideWhenUsed/>
    <w:rsid w:val="007562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68430">
      <w:bodyDiv w:val="1"/>
      <w:marLeft w:val="0"/>
      <w:marRight w:val="0"/>
      <w:marTop w:val="0"/>
      <w:marBottom w:val="0"/>
      <w:divBdr>
        <w:top w:val="none" w:sz="0" w:space="0" w:color="auto"/>
        <w:left w:val="none" w:sz="0" w:space="0" w:color="auto"/>
        <w:bottom w:val="none" w:sz="0" w:space="0" w:color="auto"/>
        <w:right w:val="none" w:sz="0" w:space="0" w:color="auto"/>
      </w:divBdr>
    </w:div>
    <w:div w:id="1117020702">
      <w:bodyDiv w:val="1"/>
      <w:marLeft w:val="0"/>
      <w:marRight w:val="0"/>
      <w:marTop w:val="0"/>
      <w:marBottom w:val="0"/>
      <w:divBdr>
        <w:top w:val="none" w:sz="0" w:space="0" w:color="auto"/>
        <w:left w:val="none" w:sz="0" w:space="0" w:color="auto"/>
        <w:bottom w:val="none" w:sz="0" w:space="0" w:color="auto"/>
        <w:right w:val="none" w:sz="0" w:space="0" w:color="auto"/>
      </w:divBdr>
    </w:div>
    <w:div w:id="1612475919">
      <w:bodyDiv w:val="1"/>
      <w:marLeft w:val="0"/>
      <w:marRight w:val="0"/>
      <w:marTop w:val="0"/>
      <w:marBottom w:val="0"/>
      <w:divBdr>
        <w:top w:val="none" w:sz="0" w:space="0" w:color="auto"/>
        <w:left w:val="none" w:sz="0" w:space="0" w:color="auto"/>
        <w:bottom w:val="none" w:sz="0" w:space="0" w:color="auto"/>
        <w:right w:val="none" w:sz="0" w:space="0" w:color="auto"/>
      </w:divBdr>
    </w:div>
    <w:div w:id="16460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61A973B18F40AD9516AC08147EC46F"/>
        <w:category>
          <w:name w:val="General"/>
          <w:gallery w:val="placeholder"/>
        </w:category>
        <w:types>
          <w:type w:val="bbPlcHdr"/>
        </w:types>
        <w:behaviors>
          <w:behavior w:val="content"/>
        </w:behaviors>
        <w:guid w:val="{F00CA53A-222A-4631-884A-DA08C8EB0732}"/>
      </w:docPartPr>
      <w:docPartBody>
        <w:p w:rsidR="007750AB" w:rsidRDefault="00676BFE" w:rsidP="00676BFE">
          <w:pPr>
            <w:pStyle w:val="0061A973B18F40AD9516AC08147EC4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BFE"/>
    <w:rsid w:val="0031683E"/>
    <w:rsid w:val="00576DA1"/>
    <w:rsid w:val="00661AC0"/>
    <w:rsid w:val="00676BFE"/>
    <w:rsid w:val="007750AB"/>
    <w:rsid w:val="008F3F8C"/>
    <w:rsid w:val="009E7AB1"/>
    <w:rsid w:val="00B22A35"/>
    <w:rsid w:val="00B84DA1"/>
    <w:rsid w:val="00D51FF2"/>
    <w:rsid w:val="00D93C8A"/>
    <w:rsid w:val="00E43B6B"/>
    <w:rsid w:val="00E46B5D"/>
    <w:rsid w:val="00FB7AA3"/>
    <w:rsid w:val="00FC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1A973B18F40AD9516AC08147EC46F">
    <w:name w:val="0061A973B18F40AD9516AC08147EC46F"/>
    <w:rsid w:val="00676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BEFCCDD0C924A42962D1A36BFC18D5F" ma:contentTypeVersion="3" ma:contentTypeDescription="Crear nuevo documento." ma:contentTypeScope="" ma:versionID="4edf5f75a705d416efee060edd862e4e">
  <xsd:schema xmlns:xsd="http://www.w3.org/2001/XMLSchema" xmlns:xs="http://www.w3.org/2001/XMLSchema" xmlns:p="http://schemas.microsoft.com/office/2006/metadata/properties" xmlns:ns1="http://schemas.microsoft.com/sharepoint/v3" xmlns:ns3="fc66ef79-2d66-4fa3-90bd-e4f186d8d369" targetNamespace="http://schemas.microsoft.com/office/2006/metadata/properties" ma:root="true" ma:fieldsID="a2da73bf06650dde7965a33057988b48" ns1:_="" ns3:_="">
    <xsd:import namespace="http://schemas.microsoft.com/sharepoint/v3"/>
    <xsd:import namespace="fc66ef79-2d66-4fa3-90bd-e4f186d8d369"/>
    <xsd:element name="properties">
      <xsd:complexType>
        <xsd:sequence>
          <xsd:element name="documentManagement">
            <xsd:complexType>
              <xsd:all>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internalName="PublishingStartDate">
      <xsd:simpleType>
        <xsd:restriction base="dms:Unknown"/>
      </xsd:simpleType>
    </xsd:element>
    <xsd:element name="PublishingExpirationDate" ma:index="9" nillable="true" ma:displayName="Fecha de finalización programada"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6ef79-2d66-4fa3-90bd-e4f186d8d369"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F6705-A581-416B-BF8F-5F712C015418}"/>
</file>

<file path=customXml/itemProps2.xml><?xml version="1.0" encoding="utf-8"?>
<ds:datastoreItem xmlns:ds="http://schemas.openxmlformats.org/officeDocument/2006/customXml" ds:itemID="{524C9B9D-5DCD-445D-8B63-0B7215EEF647}"/>
</file>

<file path=customXml/itemProps3.xml><?xml version="1.0" encoding="utf-8"?>
<ds:datastoreItem xmlns:ds="http://schemas.openxmlformats.org/officeDocument/2006/customXml" ds:itemID="{7F7C2E87-0FAF-48D0-8B8C-C7CC506CD2A8}"/>
</file>

<file path=customXml/itemProps4.xml><?xml version="1.0" encoding="utf-8"?>
<ds:datastoreItem xmlns:ds="http://schemas.openxmlformats.org/officeDocument/2006/customXml" ds:itemID="{2AD56083-D828-4D6C-8800-847C937ECA8A}"/>
</file>

<file path=docProps/app.xml><?xml version="1.0" encoding="utf-8"?>
<Properties xmlns="http://schemas.openxmlformats.org/officeDocument/2006/extended-properties" xmlns:vt="http://schemas.openxmlformats.org/officeDocument/2006/docPropsVTypes">
  <Template>Normal</Template>
  <TotalTime>1</TotalTime>
  <Pages>5</Pages>
  <Words>1566</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Glosario</vt:lpstr>
    </vt:vector>
  </TitlesOfParts>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creator>Rosario Zúñiga Montero</dc:creator>
  <cp:lastModifiedBy>Isabel Tan Chan</cp:lastModifiedBy>
  <cp:revision>2</cp:revision>
  <dcterms:created xsi:type="dcterms:W3CDTF">2016-04-20T00:30:00Z</dcterms:created>
  <dcterms:modified xsi:type="dcterms:W3CDTF">2016-04-20T00:30:00Z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0x0101007BEFCCDD0C924A42962D1A36BFC18D5F</vt:lpwstr>
  </property>
</Properties>
</file>