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</w:pPr>
      <w:r>
        <w:rPr>
          <w:rFonts w:ascii="Aptos" w:hAnsi="Aptos"/>
          <w:b/>
          <w:i w:val="0"/>
          <w:color w:val="7F4A99"/>
          <w:sz w:val="20"/>
        </w:rPr>
        <w:t>CLIENT SETUP GUIDE</w:t>
      </w:r>
    </w:p>
    <w:p>
      <w:pPr>
        <w:spacing w:after="80"/>
      </w:pPr>
      <w:r>
        <w:rPr>
          <w:rFonts w:ascii="Aptos" w:hAnsi="Aptos"/>
          <w:b/>
          <w:i w:val="0"/>
          <w:color w:val="4B2C58"/>
          <w:sz w:val="56"/>
        </w:rPr>
        <w:t>Connect Your Accounts to Cerqle</w:t>
      </w:r>
    </w:p>
    <w:p>
      <w:pPr>
        <w:spacing w:after="360"/>
      </w:pPr>
      <w:r>
        <w:rPr>
          <w:rFonts w:ascii="Aptos" w:hAnsi="Aptos"/>
          <w:b w:val="0"/>
          <w:i w:val="0"/>
          <w:color w:val="667085"/>
          <w:sz w:val="26"/>
        </w:rPr>
        <w:t>Google, YouTube, TikTok and Microsoft 365 OAuth setup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color="D8DCE2"/>
          <w:left w:val="single" w:sz="4" w:color="D8DCE2"/>
          <w:bottom w:val="single" w:sz="4" w:color="D8DCE2"/>
          <w:right w:val="single" w:sz="4" w:color="D8DCE2"/>
          <w:insideH w:val="single" w:sz="4" w:color="D8DCE2"/>
          <w:insideV w:val="single" w:sz="4" w:color="D8DCE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7F0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6794A"/>
                <w:sz w:val="22"/>
              </w:rPr>
              <w:t xml:space="preserve">Start here  </w:t>
            </w:r>
            <w:r>
              <w:rPr>
                <w:rFonts w:ascii="Aptos" w:hAnsi="Aptos"/>
                <w:b w:val="0"/>
                <w:i w:val="0"/>
                <w:color w:val="202124"/>
                <w:sz w:val="22"/>
              </w:rPr>
              <w:t>For the main Cerqle SaaS, you normally do not create developer applications. Your administrator configures the Cerqle platform once; you simply use each Connect button and approve access to your own account.</w:t>
            </w:r>
          </w:p>
        </w:tc>
      </w:tr>
    </w:tbl>
    <w:p>
      <w:pPr>
        <w:spacing w:after="0"/>
      </w:pPr>
    </w:p>
    <w:p>
      <w:r>
        <w:rPr>
          <w:rFonts w:ascii="Aptos" w:hAnsi="Aptos"/>
          <w:b w:val="0"/>
          <w:i w:val="0"/>
          <w:color w:val="202124"/>
          <w:sz w:val="22"/>
        </w:rPr>
        <w:t>Create a client-owned developer application only when your organization has a dedicated, private-label or separately hosted Cerqle installation.</w:t>
      </w:r>
    </w:p>
    <w:p>
      <w:pPr>
        <w:pStyle w:val="Heading1"/>
        <w:keepNext/>
      </w:pPr>
      <w:r>
        <w:t>Choose the correct setup path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color="D8DCE2"/>
          <w:left w:val="single" w:sz="4" w:color="D8DCE2"/>
          <w:bottom w:val="single" w:sz="4" w:color="D8DCE2"/>
          <w:right w:val="single" w:sz="4" w:color="D8DCE2"/>
          <w:insideH w:val="single" w:sz="4" w:color="D8DCE2"/>
          <w:insideV w:val="single" w:sz="4" w:color="D8DCE2"/>
        </w:tblBorders>
      </w:tblPr>
      <w:tblGrid>
        <w:gridCol w:w="2200"/>
        <w:gridCol w:w="3480"/>
        <w:gridCol w:w="3680"/>
      </w:tblGrid>
      <w:tr>
        <w:trPr>
          <w:tblHeader w:val="true"/>
          <w:cantSplit/>
        </w:trPr>
        <w:tc>
          <w:tcPr>
            <w:tcW w:type="dxa" w:w="2200"/>
            <w:shd w:fill="7F4A9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Situation</w:t>
            </w:r>
          </w:p>
        </w:tc>
        <w:tc>
          <w:tcPr>
            <w:tcW w:type="dxa" w:w="3480"/>
            <w:shd w:fill="7F4A9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What your organization does</w:t>
            </w:r>
          </w:p>
        </w:tc>
        <w:tc>
          <w:tcPr>
            <w:tcW w:type="dxa" w:w="3680"/>
            <w:shd w:fill="7F4A9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What the user does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02124"/>
                <w:sz w:val="19"/>
              </w:rPr>
              <w:t>Standard Cerqle SaaS</w:t>
            </w:r>
          </w:p>
        </w:tc>
        <w:tc>
          <w:tcPr>
            <w:tcW w:type="dxa" w:w="3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No developer-console setup is needed. Use the Cerqle application already configured by the platform administrator.</w:t>
            </w:r>
          </w:p>
        </w:tc>
        <w:tc>
          <w:tcPr>
            <w:tcW w:type="dxa" w:w="3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Sign in through Cerqle and approve the requested access.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02124"/>
                <w:sz w:val="19"/>
              </w:rPr>
              <w:t>Dedicated deployment</w:t>
            </w:r>
          </w:p>
        </w:tc>
        <w:tc>
          <w:tcPr>
            <w:tcW w:type="dxa" w:w="3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Create platform developer applications using the steps in this guide, then add the credentials in Cerqle Super Admin.</w:t>
            </w:r>
          </w:p>
        </w:tc>
        <w:tc>
          <w:tcPr>
            <w:tcW w:type="dxa" w:w="3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After configuration, each mailbox or social account owner authorizes their own account.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Google OAuth and YouTube</w:t>
      </w:r>
    </w:p>
    <w:p>
      <w:r>
        <w:rPr>
          <w:rFonts w:ascii="Aptos" w:hAnsi="Aptos"/>
          <w:b w:val="0"/>
          <w:i w:val="0"/>
          <w:color w:val="202124"/>
          <w:sz w:val="22"/>
        </w:rPr>
        <w:t>Google Login, Gmail and YouTube can use the same Google Cloud project. Cerqle uses different callback URLs for mailbox and YouTube connections.</w:t>
      </w:r>
    </w:p>
    <w:p>
      <w:pPr>
        <w:pStyle w:val="Heading2"/>
        <w:keepNext/>
      </w:pPr>
      <w:r>
        <w:t>Create and configure the Google project</w:t>
      </w:r>
    </w:p>
    <w:p>
      <w:pPr>
        <w:pStyle w:val="ListNumber"/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2"/>
        </w:rPr>
        <w:t>Open the Google Cloud Console at https://console.cloud.google.com/ and sign in with an organization-controlled Google account.</w:t>
      </w:r>
    </w:p>
    <w:p>
      <w:pPr>
        <w:pStyle w:val="ListNumber"/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2"/>
        </w:rPr>
        <w:t>Create a project named Cerqle Integration, or select the dedicated project your organization already created.</w:t>
      </w:r>
    </w:p>
    <w:p>
      <w:pPr>
        <w:pStyle w:val="ListNumber"/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2"/>
        </w:rPr>
        <w:t>Open APIs &amp; Services → Library and enable Gmail API and YouTube Data API v3.</w:t>
      </w:r>
    </w:p>
    <w:p>
      <w:pPr>
        <w:pStyle w:val="ListNumber"/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2"/>
        </w:rPr>
        <w:t>Open Google Auth Platform and complete Branding with your application name, support email, homepage, privacy policy, terms and the authorized domain cerqle.ai.</w:t>
      </w:r>
    </w:p>
    <w:p>
      <w:pPr>
        <w:pStyle w:val="ListNumber"/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2"/>
        </w:rPr>
        <w:t>Set Audience to External for regular Gmail and YouTube accounts. Select Internal only when every intended user belongs to the same Google Workspace organization.</w:t>
      </w:r>
    </w:p>
    <w:p>
      <w:pPr>
        <w:pStyle w:val="ListNumber"/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2"/>
        </w:rPr>
        <w:t>Configure Data Access using only the permissions listed below.</w:t>
      </w:r>
    </w:p>
    <w:p>
      <w:pPr>
        <w:pStyle w:val="ListNumber"/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2"/>
        </w:rPr>
        <w:t>Open Clients → Create client, choose Web application and add the exact callback URLs below.</w:t>
      </w:r>
    </w:p>
    <w:p>
      <w:pPr>
        <w:pStyle w:val="ListNumber"/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2"/>
        </w:rPr>
        <w:t>Copy the Client ID and Client secret into Cerqle Super Admin → Integrations. Do not send the secret in email or chat.</w:t>
      </w:r>
    </w:p>
    <w:p>
      <w:pPr>
        <w:pStyle w:val="Heading3"/>
        <w:keepNext/>
      </w:pPr>
      <w:r>
        <w:t>Required Google permissions</w:t>
      </w:r>
    </w:p>
    <w:p>
      <w:pPr>
        <w:pStyle w:val="ListBullet"/>
      </w:pPr>
      <w:r>
        <w:rPr>
          <w:rFonts w:ascii="Aptos" w:hAnsi="Aptos"/>
          <w:b w:val="0"/>
          <w:i w:val="0"/>
          <w:color w:val="202124"/>
          <w:sz w:val="22"/>
        </w:rPr>
        <w:t>Gmail: openid, email, profile, gmail.readonly and gmail.send</w:t>
      </w:r>
    </w:p>
    <w:p>
      <w:pPr>
        <w:pStyle w:val="ListBullet"/>
      </w:pPr>
      <w:r>
        <w:rPr>
          <w:rFonts w:ascii="Aptos" w:hAnsi="Aptos"/>
          <w:b w:val="0"/>
          <w:i w:val="0"/>
          <w:color w:val="202124"/>
          <w:sz w:val="22"/>
        </w:rPr>
        <w:t>YouTube: youtube.readonly and youtube.upload</w:t>
      </w:r>
    </w:p>
    <w:p>
      <w:pPr>
        <w:pStyle w:val="Heading3"/>
        <w:keepNext/>
      </w:pPr>
      <w:r>
        <w:t>Authorized redirect URLs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color="D8DCE2"/>
          <w:left w:val="single" w:sz="4" w:color="D8DCE2"/>
          <w:bottom w:val="single" w:sz="4" w:color="D8DCE2"/>
          <w:right w:val="single" w:sz="4" w:color="D8DCE2"/>
          <w:insideH w:val="single" w:sz="4" w:color="D8DCE2"/>
          <w:insideV w:val="single" w:sz="4" w:color="D8DCE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EEF5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 w:val="0"/>
                <w:i w:val="0"/>
                <w:color w:val="4B2C58"/>
                <w:sz w:val="19"/>
              </w:rPr>
              <w:t>https://cerqle.ai/app/inbox/email-setup/google/callback</w:t>
            </w:r>
            <w:r>
              <w:br/>
            </w:r>
            <w:r>
              <w:rPr>
                <w:rFonts w:ascii="Aptos Mono" w:hAnsi="Aptos Mono"/>
                <w:b w:val="0"/>
                <w:i w:val="0"/>
                <w:color w:val="4B2C58"/>
                <w:sz w:val="19"/>
              </w:rPr>
              <w:t>https://cerqle.ai/app/social/accounts/callback/youtube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color="D8DCE2"/>
          <w:left w:val="single" w:sz="4" w:color="D8DCE2"/>
          <w:bottom w:val="single" w:sz="4" w:color="D8DCE2"/>
          <w:right w:val="single" w:sz="4" w:color="D8DCE2"/>
          <w:insideH w:val="single" w:sz="4" w:color="D8DCE2"/>
          <w:insideV w:val="single" w:sz="4" w:color="D8DCE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7E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8A5A00"/>
                <w:sz w:val="22"/>
              </w:rPr>
              <w:t xml:space="preserve">Testing mode  </w:t>
            </w:r>
            <w:r>
              <w:rPr>
                <w:rFonts w:ascii="Aptos" w:hAnsi="Aptos"/>
                <w:b w:val="0"/>
                <w:i w:val="0"/>
                <w:color w:val="202124"/>
                <w:sz w:val="22"/>
              </w:rPr>
              <w:t>Add the intended Google accounts under Test users while the OAuth application remains in testing. Complete Google verification before making the application broadly available.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Connect the actual Gmail or YouTube account</w:t>
      </w:r>
    </w:p>
    <w:p>
      <w:pPr>
        <w:pStyle w:val="ListNumber"/>
        <w:numPr>
          <w:ilvl w:val="0"/>
          <w:numId w:val="11"/>
        </w:numPr>
      </w:pPr>
      <w:r>
        <w:rPr>
          <w:rFonts w:ascii="Aptos" w:hAnsi="Aptos"/>
          <w:b w:val="0"/>
          <w:i w:val="0"/>
          <w:color w:val="202124"/>
          <w:sz w:val="22"/>
        </w:rPr>
        <w:t>For Gmail, open Cerqle → Inbox Channel Setup → Email Setup → Connect Gmail mailbox.</w:t>
      </w:r>
    </w:p>
    <w:p>
      <w:pPr>
        <w:pStyle w:val="ListNumber"/>
        <w:numPr>
          <w:ilvl w:val="0"/>
          <w:numId w:val="11"/>
        </w:numPr>
      </w:pPr>
      <w:r>
        <w:rPr>
          <w:rFonts w:ascii="Aptos" w:hAnsi="Aptos"/>
          <w:b w:val="0"/>
          <w:i w:val="0"/>
          <w:color w:val="202124"/>
          <w:sz w:val="22"/>
        </w:rPr>
        <w:t>For YouTube, open Cerqle → Connected Social Media → Connect YouTube.</w:t>
      </w:r>
    </w:p>
    <w:p>
      <w:pPr>
        <w:pStyle w:val="ListNumber"/>
        <w:numPr>
          <w:ilvl w:val="0"/>
          <w:numId w:val="11"/>
        </w:numPr>
      </w:pPr>
      <w:r>
        <w:rPr>
          <w:rFonts w:ascii="Aptos" w:hAnsi="Aptos"/>
          <w:b w:val="0"/>
          <w:i w:val="0"/>
          <w:color w:val="202124"/>
          <w:sz w:val="22"/>
        </w:rPr>
        <w:t>Sign in with the actual mailbox owner or YouTube channel owner account.</w:t>
      </w:r>
    </w:p>
    <w:p>
      <w:pPr>
        <w:pStyle w:val="ListNumber"/>
        <w:numPr>
          <w:ilvl w:val="0"/>
          <w:numId w:val="11"/>
        </w:numPr>
      </w:pPr>
      <w:r>
        <w:rPr>
          <w:rFonts w:ascii="Aptos" w:hAnsi="Aptos"/>
          <w:b w:val="0"/>
          <w:i w:val="0"/>
          <w:color w:val="202124"/>
          <w:sz w:val="22"/>
        </w:rPr>
        <w:t>Review the requested permissions, select the correct YouTube channel if prompted, and approve access.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color="D8DCE2"/>
          <w:left w:val="single" w:sz="4" w:color="D8DCE2"/>
          <w:bottom w:val="single" w:sz="4" w:color="D8DCE2"/>
          <w:right w:val="single" w:sz="4" w:color="D8DCE2"/>
          <w:insideH w:val="single" w:sz="4" w:color="D8DCE2"/>
          <w:insideV w:val="single" w:sz="4" w:color="D8DCE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5EF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F4A99"/>
                <w:sz w:val="22"/>
              </w:rPr>
              <w:t xml:space="preserve">No password sharing  </w:t>
            </w:r>
            <w:r>
              <w:rPr>
                <w:rFonts w:ascii="Aptos" w:hAnsi="Aptos"/>
                <w:b w:val="0"/>
                <w:i w:val="0"/>
                <w:color w:val="202124"/>
                <w:sz w:val="22"/>
              </w:rPr>
              <w:t>The account owner completes authorization in Google's own consent screen. Do not share passwords, two-factor codes or recovery codes with the developer.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TikTok</w:t>
      </w:r>
    </w:p>
    <w:p>
      <w:r>
        <w:rPr>
          <w:rFonts w:ascii="Aptos" w:hAnsi="Aptos"/>
          <w:b w:val="0"/>
          <w:i w:val="0"/>
          <w:color w:val="202124"/>
          <w:sz w:val="22"/>
        </w:rPr>
        <w:t>Use a TikTok Developer Organization for production ownership and continuity. Avoid registering the production app under an employee's personal developer account.</w:t>
      </w:r>
    </w:p>
    <w:p>
      <w:pPr>
        <w:pStyle w:val="Heading2"/>
        <w:keepNext/>
      </w:pPr>
      <w:r>
        <w:t>Create and configure the TikTok application</w:t>
      </w:r>
    </w:p>
    <w:p>
      <w:pPr>
        <w:pStyle w:val="ListNumber"/>
        <w:numPr>
          <w:ilvl w:val="0"/>
          <w:numId w:val="12"/>
        </w:numPr>
      </w:pPr>
      <w:r>
        <w:rPr>
          <w:rFonts w:ascii="Aptos" w:hAnsi="Aptos"/>
          <w:b w:val="0"/>
          <w:i w:val="0"/>
          <w:color w:val="202124"/>
          <w:sz w:val="22"/>
        </w:rPr>
        <w:t>Open TikTok for Developers at https://developers.tiktok.com/ and create a developer account using an organization-controlled email.</w:t>
      </w:r>
    </w:p>
    <w:p>
      <w:pPr>
        <w:pStyle w:val="ListNumber"/>
        <w:numPr>
          <w:ilvl w:val="0"/>
          <w:numId w:val="12"/>
        </w:numPr>
      </w:pPr>
      <w:r>
        <w:rPr>
          <w:rFonts w:ascii="Aptos" w:hAnsi="Aptos"/>
          <w:b w:val="0"/>
          <w:i w:val="0"/>
          <w:color w:val="202124"/>
          <w:sz w:val="22"/>
        </w:rPr>
        <w:t>Open My organizations and create an organization owned by your company.</w:t>
      </w:r>
    </w:p>
    <w:p>
      <w:pPr>
        <w:pStyle w:val="ListNumber"/>
        <w:numPr>
          <w:ilvl w:val="0"/>
          <w:numId w:val="12"/>
        </w:numPr>
      </w:pPr>
      <w:r>
        <w:rPr>
          <w:rFonts w:ascii="Aptos" w:hAnsi="Aptos"/>
          <w:b w:val="0"/>
          <w:i w:val="0"/>
          <w:color w:val="202124"/>
          <w:sz w:val="22"/>
        </w:rPr>
        <w:t>Open Manage apps → Connect an app and select the company organization as the app owner.</w:t>
      </w:r>
    </w:p>
    <w:p>
      <w:pPr>
        <w:pStyle w:val="ListNumber"/>
        <w:numPr>
          <w:ilvl w:val="0"/>
          <w:numId w:val="12"/>
        </w:numPr>
      </w:pPr>
      <w:r>
        <w:rPr>
          <w:rFonts w:ascii="Aptos" w:hAnsi="Aptos"/>
          <w:b w:val="0"/>
          <w:i w:val="0"/>
          <w:color w:val="202124"/>
          <w:sz w:val="22"/>
        </w:rPr>
        <w:t>Add Login Kit and Content Posting API to the application.</w:t>
      </w:r>
    </w:p>
    <w:p>
      <w:pPr>
        <w:pStyle w:val="ListNumber"/>
        <w:numPr>
          <w:ilvl w:val="0"/>
          <w:numId w:val="12"/>
        </w:numPr>
      </w:pPr>
      <w:r>
        <w:rPr>
          <w:rFonts w:ascii="Aptos" w:hAnsi="Aptos"/>
          <w:b w:val="0"/>
          <w:i w:val="0"/>
          <w:color w:val="202124"/>
          <w:sz w:val="22"/>
        </w:rPr>
        <w:t>Set the exact redirect URL shown below.</w:t>
      </w:r>
    </w:p>
    <w:p>
      <w:pPr>
        <w:pStyle w:val="ListNumber"/>
        <w:numPr>
          <w:ilvl w:val="0"/>
          <w:numId w:val="12"/>
        </w:numPr>
      </w:pPr>
      <w:r>
        <w:rPr>
          <w:rFonts w:ascii="Aptos" w:hAnsi="Aptos"/>
          <w:b w:val="0"/>
          <w:i w:val="0"/>
          <w:color w:val="202124"/>
          <w:sz w:val="22"/>
        </w:rPr>
        <w:t>Request user.info.basic and video.publish permissions.</w:t>
      </w:r>
    </w:p>
    <w:p>
      <w:pPr>
        <w:pStyle w:val="ListNumber"/>
        <w:numPr>
          <w:ilvl w:val="0"/>
          <w:numId w:val="12"/>
        </w:numPr>
      </w:pPr>
      <w:r>
        <w:rPr>
          <w:rFonts w:ascii="Aptos" w:hAnsi="Aptos"/>
          <w:b w:val="0"/>
          <w:i w:val="0"/>
          <w:color w:val="202124"/>
          <w:sz w:val="22"/>
        </w:rPr>
        <w:t>Add cerqle.ai as the application website and complete domain verification if TikTok requests it.</w:t>
      </w:r>
    </w:p>
    <w:p>
      <w:pPr>
        <w:pStyle w:val="ListNumber"/>
        <w:numPr>
          <w:ilvl w:val="0"/>
          <w:numId w:val="12"/>
        </w:numPr>
      </w:pPr>
      <w:r>
        <w:rPr>
          <w:rFonts w:ascii="Aptos" w:hAnsi="Aptos"/>
          <w:b w:val="0"/>
          <w:i w:val="0"/>
          <w:color w:val="202124"/>
          <w:sz w:val="22"/>
        </w:rPr>
        <w:t>Complete the privacy policy, terms, application description, demonstration video and production review submission.</w:t>
      </w:r>
    </w:p>
    <w:p>
      <w:pPr>
        <w:pStyle w:val="ListNumber"/>
        <w:numPr>
          <w:ilvl w:val="0"/>
          <w:numId w:val="12"/>
        </w:numPr>
      </w:pPr>
      <w:r>
        <w:rPr>
          <w:rFonts w:ascii="Aptos" w:hAnsi="Aptos"/>
          <w:b w:val="0"/>
          <w:i w:val="0"/>
          <w:color w:val="202124"/>
          <w:sz w:val="22"/>
        </w:rPr>
        <w:t>Copy the Client key and Client secret into Cerqle Super Admin → Integrations → TikTok.</w:t>
      </w:r>
    </w:p>
    <w:p>
      <w:pPr>
        <w:pStyle w:val="Heading3"/>
        <w:keepNext/>
      </w:pPr>
      <w:r>
        <w:t>Authorized redirect URL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color="D8DCE2"/>
          <w:left w:val="single" w:sz="4" w:color="D8DCE2"/>
          <w:bottom w:val="single" w:sz="4" w:color="D8DCE2"/>
          <w:right w:val="single" w:sz="4" w:color="D8DCE2"/>
          <w:insideH w:val="single" w:sz="4" w:color="D8DCE2"/>
          <w:insideV w:val="single" w:sz="4" w:color="D8DCE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EEF5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 w:val="0"/>
                <w:i w:val="0"/>
                <w:color w:val="4B2C58"/>
                <w:sz w:val="19"/>
              </w:rPr>
              <w:t>https://cerqle.ai/app/social/accounts/callback/tiktok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Connect the actual TikTok account</w:t>
      </w:r>
    </w:p>
    <w:p>
      <w:pPr>
        <w:pStyle w:val="ListNumber"/>
        <w:numPr>
          <w:ilvl w:val="0"/>
          <w:numId w:val="13"/>
        </w:numPr>
      </w:pPr>
      <w:r>
        <w:rPr>
          <w:rFonts w:ascii="Aptos" w:hAnsi="Aptos"/>
          <w:b w:val="0"/>
          <w:i w:val="0"/>
          <w:color w:val="202124"/>
          <w:sz w:val="22"/>
        </w:rPr>
        <w:t>Open Cerqle → Connected Social Media → Connect TikTok.</w:t>
      </w:r>
    </w:p>
    <w:p>
      <w:pPr>
        <w:pStyle w:val="ListNumber"/>
        <w:numPr>
          <w:ilvl w:val="0"/>
          <w:numId w:val="13"/>
        </w:numPr>
      </w:pPr>
      <w:r>
        <w:rPr>
          <w:rFonts w:ascii="Aptos" w:hAnsi="Aptos"/>
          <w:b w:val="0"/>
          <w:i w:val="0"/>
          <w:color w:val="202124"/>
          <w:sz w:val="22"/>
        </w:rPr>
        <w:t>Sign in to the TikTok account that should publish content.</w:t>
      </w:r>
    </w:p>
    <w:p>
      <w:pPr>
        <w:pStyle w:val="ListNumber"/>
        <w:numPr>
          <w:ilvl w:val="0"/>
          <w:numId w:val="13"/>
        </w:numPr>
      </w:pPr>
      <w:r>
        <w:rPr>
          <w:rFonts w:ascii="Aptos" w:hAnsi="Aptos"/>
          <w:b w:val="0"/>
          <w:i w:val="0"/>
          <w:color w:val="202124"/>
          <w:sz w:val="22"/>
        </w:rPr>
        <w:t>Review and approve the requested profile and publishing access.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color="D8DCE2"/>
          <w:left w:val="single" w:sz="4" w:color="D8DCE2"/>
          <w:bottom w:val="single" w:sz="4" w:color="D8DCE2"/>
          <w:right w:val="single" w:sz="4" w:color="D8DCE2"/>
          <w:insideH w:val="single" w:sz="4" w:color="D8DCE2"/>
          <w:insideV w:val="single" w:sz="4" w:color="D8DCE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7E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8A5A00"/>
                <w:sz w:val="22"/>
              </w:rPr>
              <w:t xml:space="preserve">Approval requirement  </w:t>
            </w:r>
            <w:r>
              <w:rPr>
                <w:rFonts w:ascii="Aptos" w:hAnsi="Aptos"/>
                <w:b w:val="0"/>
                <w:i w:val="0"/>
                <w:color w:val="202124"/>
                <w:sz w:val="22"/>
              </w:rPr>
              <w:t>Direct publishing depends on TikTok approving the application and the video.publish permission. Unapproved applications may be restricted during testing.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3. Microsoft 365 OAuth</w:t>
      </w:r>
    </w:p>
    <w:p>
      <w:r>
        <w:rPr>
          <w:rFonts w:ascii="Aptos" w:hAnsi="Aptos"/>
          <w:b w:val="0"/>
          <w:i w:val="0"/>
          <w:color w:val="202124"/>
          <w:sz w:val="22"/>
        </w:rPr>
        <w:t>Microsoft 365 mailbox connections use Microsoft Entra and Microsoft Graph. A dedicated client installation normally uses a single-tenant application; a central SaaS integration normally uses a multitenant application.</w:t>
      </w:r>
    </w:p>
    <w:p>
      <w:pPr>
        <w:pStyle w:val="Heading2"/>
        <w:keepNext/>
      </w:pPr>
      <w:r>
        <w:t>Register the Microsoft Entra application</w:t>
      </w:r>
    </w:p>
    <w:p>
      <w:pPr>
        <w:pStyle w:val="ListNumber"/>
        <w:numPr>
          <w:ilvl w:val="0"/>
          <w:numId w:val="14"/>
        </w:numPr>
      </w:pPr>
      <w:r>
        <w:rPr>
          <w:rFonts w:ascii="Aptos" w:hAnsi="Aptos"/>
          <w:b w:val="0"/>
          <w:i w:val="0"/>
          <w:color w:val="202124"/>
          <w:sz w:val="22"/>
        </w:rPr>
        <w:t>Open the Microsoft Entra admin center at https://entra.microsoft.com/ and select the correct Microsoft 365 tenant.</w:t>
      </w:r>
    </w:p>
    <w:p>
      <w:pPr>
        <w:pStyle w:val="ListNumber"/>
        <w:numPr>
          <w:ilvl w:val="0"/>
          <w:numId w:val="14"/>
        </w:numPr>
      </w:pPr>
      <w:r>
        <w:rPr>
          <w:rFonts w:ascii="Aptos" w:hAnsi="Aptos"/>
          <w:b w:val="0"/>
          <w:i w:val="0"/>
          <w:color w:val="202124"/>
          <w:sz w:val="22"/>
        </w:rPr>
        <w:t>Open Identity → Applications → App registrations and select New registration.</w:t>
      </w:r>
    </w:p>
    <w:p>
      <w:pPr>
        <w:pStyle w:val="ListNumber"/>
        <w:numPr>
          <w:ilvl w:val="0"/>
          <w:numId w:val="14"/>
        </w:numPr>
      </w:pPr>
      <w:r>
        <w:rPr>
          <w:rFonts w:ascii="Aptos" w:hAnsi="Aptos"/>
          <w:b w:val="0"/>
          <w:i w:val="0"/>
          <w:color w:val="202124"/>
          <w:sz w:val="22"/>
        </w:rPr>
        <w:t>Name the application Cerqle Email Integration.</w:t>
      </w:r>
    </w:p>
    <w:p>
      <w:pPr>
        <w:pStyle w:val="ListNumber"/>
        <w:numPr>
          <w:ilvl w:val="0"/>
          <w:numId w:val="14"/>
        </w:numPr>
      </w:pPr>
      <w:r>
        <w:rPr>
          <w:rFonts w:ascii="Aptos" w:hAnsi="Aptos"/>
          <w:b w:val="0"/>
          <w:i w:val="0"/>
          <w:color w:val="202124"/>
          <w:sz w:val="22"/>
        </w:rPr>
        <w:t>Choose Single tenant for a dedicated client installation. Choose Multitenant only for a centrally operated SaaS application serving different organizations.</w:t>
      </w:r>
    </w:p>
    <w:p>
      <w:pPr>
        <w:pStyle w:val="ListNumber"/>
        <w:numPr>
          <w:ilvl w:val="0"/>
          <w:numId w:val="14"/>
        </w:numPr>
      </w:pPr>
      <w:r>
        <w:rPr>
          <w:rFonts w:ascii="Aptos" w:hAnsi="Aptos"/>
          <w:b w:val="0"/>
          <w:i w:val="0"/>
          <w:color w:val="202124"/>
          <w:sz w:val="22"/>
        </w:rPr>
        <w:t>Under Redirect URI, select Web and enter the exact callback URL shown below.</w:t>
      </w:r>
    </w:p>
    <w:p>
      <w:pPr>
        <w:pStyle w:val="ListNumber"/>
        <w:numPr>
          <w:ilvl w:val="0"/>
          <w:numId w:val="14"/>
        </w:numPr>
      </w:pPr>
      <w:r>
        <w:rPr>
          <w:rFonts w:ascii="Aptos" w:hAnsi="Aptos"/>
          <w:b w:val="0"/>
          <w:i w:val="0"/>
          <w:color w:val="202124"/>
          <w:sz w:val="22"/>
        </w:rPr>
        <w:t>Open API permissions → Add a permission → Microsoft Graph → Delegated permissions and add the permissions listed below.</w:t>
      </w:r>
    </w:p>
    <w:p>
      <w:pPr>
        <w:pStyle w:val="ListNumber"/>
        <w:numPr>
          <w:ilvl w:val="0"/>
          <w:numId w:val="14"/>
        </w:numPr>
      </w:pPr>
      <w:r>
        <w:rPr>
          <w:rFonts w:ascii="Aptos" w:hAnsi="Aptos"/>
          <w:b w:val="0"/>
          <w:i w:val="0"/>
          <w:color w:val="202124"/>
          <w:sz w:val="22"/>
        </w:rPr>
        <w:t>Ask an authorized Microsoft 365 administrator to grant admin consent if the tenant's policy requires it.</w:t>
      </w:r>
    </w:p>
    <w:p>
      <w:pPr>
        <w:pStyle w:val="ListNumber"/>
        <w:numPr>
          <w:ilvl w:val="0"/>
          <w:numId w:val="14"/>
        </w:numPr>
      </w:pPr>
      <w:r>
        <w:rPr>
          <w:rFonts w:ascii="Aptos" w:hAnsi="Aptos"/>
          <w:b w:val="0"/>
          <w:i w:val="0"/>
          <w:color w:val="202124"/>
          <w:sz w:val="22"/>
        </w:rPr>
        <w:t>Open Certificates &amp; secrets → Client secrets → New client secret. Copy the secret Value immediately; Microsoft does not display it again.</w:t>
      </w:r>
    </w:p>
    <w:p>
      <w:pPr>
        <w:pStyle w:val="ListNumber"/>
        <w:numPr>
          <w:ilvl w:val="0"/>
          <w:numId w:val="14"/>
        </w:numPr>
      </w:pPr>
      <w:r>
        <w:rPr>
          <w:rFonts w:ascii="Aptos" w:hAnsi="Aptos"/>
          <w:b w:val="0"/>
          <w:i w:val="0"/>
          <w:color w:val="202124"/>
          <w:sz w:val="22"/>
        </w:rPr>
        <w:t>Copy the Application (client) ID, Directory (tenant) ID and client secret value into Cerqle Super Admin → Integrations → Microsoft 365 OAuth.</w:t>
      </w:r>
    </w:p>
    <w:p>
      <w:pPr>
        <w:pStyle w:val="Heading3"/>
        <w:keepNext/>
      </w:pPr>
      <w:r>
        <w:t>Required delegated permissions</w:t>
      </w:r>
    </w:p>
    <w:p>
      <w:pPr>
        <w:pStyle w:val="ListBullet"/>
      </w:pPr>
      <w:r>
        <w:rPr>
          <w:rFonts w:ascii="Aptos" w:hAnsi="Aptos"/>
          <w:b w:val="0"/>
          <w:i w:val="0"/>
          <w:color w:val="202124"/>
          <w:sz w:val="22"/>
        </w:rPr>
        <w:t>openid</w:t>
      </w:r>
    </w:p>
    <w:p>
      <w:pPr>
        <w:pStyle w:val="ListBullet"/>
      </w:pPr>
      <w:r>
        <w:rPr>
          <w:rFonts w:ascii="Aptos" w:hAnsi="Aptos"/>
          <w:b w:val="0"/>
          <w:i w:val="0"/>
          <w:color w:val="202124"/>
          <w:sz w:val="22"/>
        </w:rPr>
        <w:t>profile</w:t>
      </w:r>
    </w:p>
    <w:p>
      <w:pPr>
        <w:pStyle w:val="ListBullet"/>
      </w:pPr>
      <w:r>
        <w:rPr>
          <w:rFonts w:ascii="Aptos" w:hAnsi="Aptos"/>
          <w:b w:val="0"/>
          <w:i w:val="0"/>
          <w:color w:val="202124"/>
          <w:sz w:val="22"/>
        </w:rPr>
        <w:t>email</w:t>
      </w:r>
    </w:p>
    <w:p>
      <w:pPr>
        <w:pStyle w:val="ListBullet"/>
      </w:pPr>
      <w:r>
        <w:rPr>
          <w:rFonts w:ascii="Aptos" w:hAnsi="Aptos"/>
          <w:b w:val="0"/>
          <w:i w:val="0"/>
          <w:color w:val="202124"/>
          <w:sz w:val="22"/>
        </w:rPr>
        <w:t>offline_access</w:t>
      </w:r>
    </w:p>
    <w:p>
      <w:pPr>
        <w:pStyle w:val="ListBullet"/>
      </w:pPr>
      <w:r>
        <w:rPr>
          <w:rFonts w:ascii="Aptos" w:hAnsi="Aptos"/>
          <w:b w:val="0"/>
          <w:i w:val="0"/>
          <w:color w:val="202124"/>
          <w:sz w:val="22"/>
        </w:rPr>
        <w:t>User.Read</w:t>
      </w:r>
    </w:p>
    <w:p>
      <w:pPr>
        <w:pStyle w:val="ListBullet"/>
      </w:pPr>
      <w:r>
        <w:rPr>
          <w:rFonts w:ascii="Aptos" w:hAnsi="Aptos"/>
          <w:b w:val="0"/>
          <w:i w:val="0"/>
          <w:color w:val="202124"/>
          <w:sz w:val="22"/>
        </w:rPr>
        <w:t>Mail.ReadWrite</w:t>
      </w:r>
    </w:p>
    <w:p>
      <w:pPr>
        <w:pStyle w:val="ListBullet"/>
      </w:pPr>
      <w:r>
        <w:rPr>
          <w:rFonts w:ascii="Aptos" w:hAnsi="Aptos"/>
          <w:b w:val="0"/>
          <w:i w:val="0"/>
          <w:color w:val="202124"/>
          <w:sz w:val="22"/>
        </w:rPr>
        <w:t>Mail.Send</w:t>
      </w:r>
    </w:p>
    <w:p>
      <w:pPr>
        <w:pStyle w:val="Heading3"/>
        <w:keepNext/>
      </w:pPr>
      <w:r>
        <w:t>Authorized redirect URL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color="D8DCE2"/>
          <w:left w:val="single" w:sz="4" w:color="D8DCE2"/>
          <w:bottom w:val="single" w:sz="4" w:color="D8DCE2"/>
          <w:right w:val="single" w:sz="4" w:color="D8DCE2"/>
          <w:insideH w:val="single" w:sz="4" w:color="D8DCE2"/>
          <w:insideV w:val="single" w:sz="4" w:color="D8DCE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EEF5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 w:val="0"/>
                <w:i w:val="0"/>
                <w:color w:val="4B2C58"/>
                <w:sz w:val="19"/>
              </w:rPr>
              <w:t>https://cerqle.ai/app/inbox/email-setup/microsoft/callback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Connect the actual Microsoft mailbox</w:t>
      </w:r>
    </w:p>
    <w:p>
      <w:pPr>
        <w:pStyle w:val="ListNumber"/>
        <w:numPr>
          <w:ilvl w:val="0"/>
          <w:numId w:val="15"/>
        </w:numPr>
      </w:pPr>
      <w:r>
        <w:rPr>
          <w:rFonts w:ascii="Aptos" w:hAnsi="Aptos"/>
          <w:b w:val="0"/>
          <w:i w:val="0"/>
          <w:color w:val="202124"/>
          <w:sz w:val="22"/>
        </w:rPr>
        <w:t>Open Cerqle → Inbox Channel Setup → Email Setup → Connect Microsoft mailbox.</w:t>
      </w:r>
    </w:p>
    <w:p>
      <w:pPr>
        <w:pStyle w:val="ListNumber"/>
        <w:numPr>
          <w:ilvl w:val="0"/>
          <w:numId w:val="15"/>
        </w:numPr>
      </w:pPr>
      <w:r>
        <w:rPr>
          <w:rFonts w:ascii="Aptos" w:hAnsi="Aptos"/>
          <w:b w:val="0"/>
          <w:i w:val="0"/>
          <w:color w:val="202124"/>
          <w:sz w:val="22"/>
        </w:rPr>
        <w:t>The mailbox owner signs in using Microsoft's authorization page.</w:t>
      </w:r>
    </w:p>
    <w:p>
      <w:pPr>
        <w:pStyle w:val="ListNumber"/>
        <w:numPr>
          <w:ilvl w:val="0"/>
          <w:numId w:val="15"/>
        </w:numPr>
      </w:pPr>
      <w:r>
        <w:rPr>
          <w:rFonts w:ascii="Aptos" w:hAnsi="Aptos"/>
          <w:b w:val="0"/>
          <w:i w:val="0"/>
          <w:color w:val="202124"/>
          <w:sz w:val="22"/>
        </w:rPr>
        <w:t>Review and approve the requested permissions. If an approval-required message appears, ask the Microsoft 365 administrator to approve it.</w:t>
      </w:r>
    </w:p>
    <w:p>
      <w:r>
        <w:br w:type="page"/>
      </w:r>
    </w:p>
    <w:p>
      <w:pPr>
        <w:pStyle w:val="Heading1"/>
        <w:keepNext/>
      </w:pPr>
      <w:r>
        <w:t>4. Secure handoff checklist</w:t>
      </w:r>
    </w:p>
    <w:p>
      <w:r>
        <w:rPr>
          <w:rFonts w:ascii="Aptos" w:hAnsi="Aptos"/>
          <w:b w:val="0"/>
          <w:i w:val="0"/>
          <w:color w:val="202124"/>
          <w:sz w:val="22"/>
        </w:rPr>
        <w:t>Complete this checklist before considering the integration ready for production.</w:t>
      </w:r>
    </w:p>
    <w:p>
      <w:pPr>
        <w:pStyle w:val="ListBullet"/>
      </w:pPr>
      <w:r>
        <w:rPr>
          <w:rFonts w:ascii="Aptos" w:hAnsi="Aptos"/>
          <w:b w:val="0"/>
          <w:i w:val="0"/>
          <w:color w:val="202124"/>
          <w:sz w:val="22"/>
        </w:rPr>
        <w:t>☐ The developer was invited through a named account; no shared administrator account was created.</w:t>
      </w:r>
    </w:p>
    <w:p>
      <w:pPr>
        <w:pStyle w:val="ListBullet"/>
      </w:pPr>
      <w:r>
        <w:rPr>
          <w:rFonts w:ascii="Aptos" w:hAnsi="Aptos"/>
          <w:b w:val="0"/>
          <w:i w:val="0"/>
          <w:color w:val="202124"/>
          <w:sz w:val="22"/>
        </w:rPr>
        <w:t>☐ The client remains the primary owner or administrator of every cloud project, developer organization and Entra tenant.</w:t>
      </w:r>
    </w:p>
    <w:p>
      <w:pPr>
        <w:pStyle w:val="ListBullet"/>
      </w:pPr>
      <w:r>
        <w:rPr>
          <w:rFonts w:ascii="Aptos" w:hAnsi="Aptos"/>
          <w:b w:val="0"/>
          <w:i w:val="0"/>
          <w:color w:val="202124"/>
          <w:sz w:val="22"/>
        </w:rPr>
        <w:t>☐ Every callback URL uses HTTPS and exactly matches the value configured in Cerqle.</w:t>
      </w:r>
    </w:p>
    <w:p>
      <w:pPr>
        <w:pStyle w:val="ListBullet"/>
      </w:pPr>
      <w:r>
        <w:rPr>
          <w:rFonts w:ascii="Aptos" w:hAnsi="Aptos"/>
          <w:b w:val="0"/>
          <w:i w:val="0"/>
          <w:color w:val="202124"/>
          <w:sz w:val="22"/>
        </w:rPr>
        <w:t>☐ Only the permissions required by Cerqle are enabled.</w:t>
      </w:r>
    </w:p>
    <w:p>
      <w:pPr>
        <w:pStyle w:val="ListBullet"/>
      </w:pPr>
      <w:r>
        <w:rPr>
          <w:rFonts w:ascii="Aptos" w:hAnsi="Aptos"/>
          <w:b w:val="0"/>
          <w:i w:val="0"/>
          <w:color w:val="202124"/>
          <w:sz w:val="22"/>
        </w:rPr>
        <w:t>☐ Client secrets were entered directly in Cerqle or transferred through an approved password manager.</w:t>
      </w:r>
    </w:p>
    <w:p>
      <w:pPr>
        <w:pStyle w:val="ListBullet"/>
      </w:pPr>
      <w:r>
        <w:rPr>
          <w:rFonts w:ascii="Aptos" w:hAnsi="Aptos"/>
          <w:b w:val="0"/>
          <w:i w:val="0"/>
          <w:color w:val="202124"/>
          <w:sz w:val="22"/>
        </w:rPr>
        <w:t>☐ Test users and test accounts have been removed or reviewed before production release.</w:t>
      </w:r>
    </w:p>
    <w:p>
      <w:pPr>
        <w:pStyle w:val="ListBullet"/>
      </w:pPr>
      <w:r>
        <w:rPr>
          <w:rFonts w:ascii="Aptos" w:hAnsi="Aptos"/>
          <w:b w:val="0"/>
          <w:i w:val="0"/>
          <w:color w:val="202124"/>
          <w:sz w:val="22"/>
        </w:rPr>
        <w:t>☐ The application review or verification required by Google or TikTok is complete.</w:t>
      </w:r>
    </w:p>
    <w:p>
      <w:pPr>
        <w:pStyle w:val="ListBullet"/>
      </w:pPr>
      <w:r>
        <w:rPr>
          <w:rFonts w:ascii="Aptos" w:hAnsi="Aptos"/>
          <w:b w:val="0"/>
          <w:i w:val="0"/>
          <w:color w:val="202124"/>
          <w:sz w:val="22"/>
        </w:rPr>
        <w:t>☐ One Gmail, YouTube, TikTok and Microsoft test connection has been completed successfully where applicable.</w:t>
      </w:r>
    </w:p>
    <w:p>
      <w:pPr>
        <w:pStyle w:val="ListBullet"/>
      </w:pPr>
      <w:r>
        <w:rPr>
          <w:rFonts w:ascii="Aptos" w:hAnsi="Aptos"/>
          <w:b w:val="0"/>
          <w:i w:val="0"/>
          <w:color w:val="202124"/>
          <w:sz w:val="22"/>
        </w:rPr>
        <w:t>☐ A test sync and a test publish/send action have been verified.</w:t>
      </w:r>
    </w:p>
    <w:p>
      <w:pPr>
        <w:pStyle w:val="ListBullet"/>
      </w:pPr>
      <w:r>
        <w:rPr>
          <w:rFonts w:ascii="Aptos" w:hAnsi="Aptos"/>
          <w:b w:val="0"/>
          <w:i w:val="0"/>
          <w:color w:val="202124"/>
          <w:sz w:val="22"/>
        </w:rPr>
        <w:t>☐ Temporary developer access has been removed or reduced after handoff.</w:t>
      </w:r>
    </w:p>
    <w:p>
      <w:pPr>
        <w:pStyle w:val="Heading1"/>
        <w:keepNext/>
      </w:pPr>
      <w:r>
        <w:t>Common connection problems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color="D8DCE2"/>
          <w:left w:val="single" w:sz="4" w:color="D8DCE2"/>
          <w:bottom w:val="single" w:sz="4" w:color="D8DCE2"/>
          <w:right w:val="single" w:sz="4" w:color="D8DCE2"/>
          <w:insideH w:val="single" w:sz="4" w:color="D8DCE2"/>
          <w:insideV w:val="single" w:sz="4" w:color="D8DCE2"/>
        </w:tblBorders>
      </w:tblPr>
      <w:tblGrid>
        <w:gridCol w:w="2500"/>
        <w:gridCol w:w="3220"/>
        <w:gridCol w:w="3640"/>
      </w:tblGrid>
      <w:tr>
        <w:trPr>
          <w:tblHeader w:val="true"/>
          <w:cantSplit/>
        </w:trPr>
        <w:tc>
          <w:tcPr>
            <w:tcW w:type="dxa" w:w="2500"/>
            <w:shd w:fill="7F4A9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Symptom</w:t>
            </w:r>
          </w:p>
        </w:tc>
        <w:tc>
          <w:tcPr>
            <w:tcW w:type="dxa" w:w="3220"/>
            <w:shd w:fill="7F4A9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Likely cause</w:t>
            </w:r>
          </w:p>
        </w:tc>
        <w:tc>
          <w:tcPr>
            <w:tcW w:type="dxa" w:w="3640"/>
            <w:shd w:fill="7F4A9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What to check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02124"/>
                <w:sz w:val="18"/>
              </w:rPr>
              <w:t>Redirect URI mismatch</w:t>
            </w:r>
          </w:p>
        </w:tc>
        <w:tc>
          <w:tcPr>
            <w:tcW w:type="dxa" w:w="32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The callback URL differs by scheme, domain, path or trailing slash.</w:t>
            </w:r>
          </w:p>
        </w:tc>
        <w:tc>
          <w:tcPr>
            <w:tcW w:type="dxa" w:w="3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Copy the exact Cerqle callback URL into the provider console.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02124"/>
                <w:sz w:val="18"/>
              </w:rPr>
              <w:t>App not configured / access blocked</w:t>
            </w:r>
          </w:p>
        </w:tc>
        <w:tc>
          <w:tcPr>
            <w:tcW w:type="dxa" w:w="32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Credentials are missing, disabled, in testing mode or restricted by organization policy.</w:t>
            </w:r>
          </w:p>
        </w:tc>
        <w:tc>
          <w:tcPr>
            <w:tcW w:type="dxa" w:w="3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Verify credentials, enabled status, test users and administrator consent.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02124"/>
                <w:sz w:val="18"/>
              </w:rPr>
              <w:t>No refresh token</w:t>
            </w:r>
          </w:p>
        </w:tc>
        <w:tc>
          <w:tcPr>
            <w:tcW w:type="dxa" w:w="32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Offline access was not approved or previously granted consent was reused.</w:t>
            </w:r>
          </w:p>
        </w:tc>
        <w:tc>
          <w:tcPr>
            <w:tcW w:type="dxa" w:w="3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Disconnect, revoke the old grant and reconnect with the appropriate offline-access prompt.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02124"/>
                <w:sz w:val="18"/>
              </w:rPr>
              <w:t>Wrong YouTube channel</w:t>
            </w:r>
          </w:p>
        </w:tc>
        <w:tc>
          <w:tcPr>
            <w:tcW w:type="dxa" w:w="32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The Google account controls multiple channels or the wrong channel was selected.</w:t>
            </w:r>
          </w:p>
        </w:tc>
        <w:tc>
          <w:tcPr>
            <w:tcW w:type="dxa" w:w="3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Disconnect and reconnect using the channel owner's account, then select the correct channel.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02124"/>
                <w:sz w:val="18"/>
              </w:rPr>
              <w:t>TikTok publishing unavailable</w:t>
            </w:r>
          </w:p>
        </w:tc>
        <w:tc>
          <w:tcPr>
            <w:tcW w:type="dxa" w:w="32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Content Posting API or video.publish has not been approved.</w:t>
            </w:r>
          </w:p>
        </w:tc>
        <w:tc>
          <w:tcPr>
            <w:tcW w:type="dxa" w:w="3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Check application products, scopes, review status and the user's authorization.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02124"/>
                <w:sz w:val="18"/>
              </w:rPr>
              <w:t>Microsoft admin approval required</w:t>
            </w:r>
          </w:p>
        </w:tc>
        <w:tc>
          <w:tcPr>
            <w:tcW w:type="dxa" w:w="32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Tenant policy blocks user consent or the requested permissions require admin consent.</w:t>
            </w:r>
          </w:p>
        </w:tc>
        <w:tc>
          <w:tcPr>
            <w:tcW w:type="dxa" w:w="3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Ask the client's Entra administrator to review and approve the application.</w:t>
            </w:r>
          </w:p>
        </w:tc>
      </w:tr>
    </w:tbl>
    <w:p>
      <w:pPr>
        <w:pStyle w:val="Heading1"/>
        <w:keepNext/>
      </w:pPr>
      <w:r>
        <w:t>Information that must never be shared</w:t>
      </w:r>
    </w:p>
    <w:p>
      <w:pPr>
        <w:pStyle w:val="ListBullet"/>
      </w:pPr>
      <w:r>
        <w:rPr>
          <w:rFonts w:ascii="Aptos" w:hAnsi="Aptos"/>
          <w:b w:val="0"/>
          <w:i w:val="0"/>
          <w:color w:val="202124"/>
          <w:sz w:val="22"/>
        </w:rPr>
        <w:t>Account passwords</w:t>
      </w:r>
    </w:p>
    <w:p>
      <w:pPr>
        <w:pStyle w:val="ListBullet"/>
      </w:pPr>
      <w:r>
        <w:rPr>
          <w:rFonts w:ascii="Aptos" w:hAnsi="Aptos"/>
          <w:b w:val="0"/>
          <w:i w:val="0"/>
          <w:color w:val="202124"/>
          <w:sz w:val="22"/>
        </w:rPr>
        <w:t>Two-factor authentication codes</w:t>
      </w:r>
    </w:p>
    <w:p>
      <w:pPr>
        <w:pStyle w:val="ListBullet"/>
      </w:pPr>
      <w:r>
        <w:rPr>
          <w:rFonts w:ascii="Aptos" w:hAnsi="Aptos"/>
          <w:b w:val="0"/>
          <w:i w:val="0"/>
          <w:color w:val="202124"/>
          <w:sz w:val="22"/>
        </w:rPr>
        <w:t>Recovery codes</w:t>
      </w:r>
    </w:p>
    <w:p>
      <w:pPr>
        <w:pStyle w:val="ListBullet"/>
      </w:pPr>
      <w:r>
        <w:rPr>
          <w:rFonts w:ascii="Aptos" w:hAnsi="Aptos"/>
          <w:b w:val="0"/>
          <w:i w:val="0"/>
          <w:color w:val="202124"/>
          <w:sz w:val="22"/>
        </w:rPr>
        <w:t>Personal browser sessions</w:t>
      </w:r>
    </w:p>
    <w:p>
      <w:pPr>
        <w:pStyle w:val="ListBullet"/>
      </w:pPr>
      <w:r>
        <w:rPr>
          <w:rFonts w:ascii="Aptos" w:hAnsi="Aptos"/>
          <w:b w:val="0"/>
          <w:i w:val="0"/>
          <w:color w:val="202124"/>
          <w:sz w:val="22"/>
        </w:rPr>
        <w:t>Primary account ownership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color="D8DCE2"/>
          <w:left w:val="single" w:sz="4" w:color="D8DCE2"/>
          <w:bottom w:val="single" w:sz="4" w:color="D8DCE2"/>
          <w:right w:val="single" w:sz="4" w:color="D8DCE2"/>
          <w:insideH w:val="single" w:sz="4" w:color="D8DCE2"/>
          <w:insideV w:val="single" w:sz="4" w:color="D8DCE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DEEE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A12622"/>
                <w:sz w:val="22"/>
              </w:rPr>
              <w:t xml:space="preserve">Recommended practice  </w:t>
            </w:r>
            <w:r>
              <w:rPr>
                <w:rFonts w:ascii="Aptos" w:hAnsi="Aptos"/>
                <w:b w:val="0"/>
                <w:i w:val="0"/>
                <w:color w:val="202124"/>
                <w:sz w:val="22"/>
              </w:rPr>
              <w:t>The client should enter generated secrets directly into Cerqle during a supervised setup session. Each account owner then completes OAuth authorization using the provider's official consent screen.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Official references</w:t>
      </w:r>
    </w:p>
    <w:p>
      <w:pPr>
        <w:pStyle w:val="ListBullet"/>
      </w:pPr>
      <w:hyperlink r:id="rId11">
        <w:r>
          <w:rPr>
            <w:color w:val="7F4A99"/>
            <w:u w:val="single"/>
            <w:rFonts w:ascii="Aptos" w:hAnsi="Aptos"/>
            <w:sz w:val="22"/>
          </w:rPr>
          <w:t>Google — YouTube OAuth for web-server applications</w:t>
        </w:r>
      </w:hyperlink>
    </w:p>
    <w:p>
      <w:pPr>
        <w:pStyle w:val="ListBullet"/>
      </w:pPr>
      <w:hyperlink r:id="rId12">
        <w:r>
          <w:rPr>
            <w:color w:val="7F4A99"/>
            <w:u w:val="single"/>
            <w:rFonts w:ascii="Aptos" w:hAnsi="Aptos"/>
            <w:sz w:val="22"/>
          </w:rPr>
          <w:t>Google — YouTube channel permissions</w:t>
        </w:r>
      </w:hyperlink>
    </w:p>
    <w:p>
      <w:pPr>
        <w:pStyle w:val="ListBullet"/>
      </w:pPr>
      <w:hyperlink r:id="rId13">
        <w:r>
          <w:rPr>
            <w:color w:val="7F4A99"/>
            <w:u w:val="single"/>
            <w:rFonts w:ascii="Aptos" w:hAnsi="Aptos"/>
            <w:sz w:val="22"/>
          </w:rPr>
          <w:t>TikTok — Working with Organizations</w:t>
        </w:r>
      </w:hyperlink>
    </w:p>
    <w:p>
      <w:pPr>
        <w:pStyle w:val="ListBullet"/>
      </w:pPr>
      <w:hyperlink r:id="rId14">
        <w:r>
          <w:rPr>
            <w:color w:val="7F4A99"/>
            <w:u w:val="single"/>
            <w:rFonts w:ascii="Aptos" w:hAnsi="Aptos"/>
            <w:sz w:val="22"/>
          </w:rPr>
          <w:t>TikTok — Register Your App</w:t>
        </w:r>
      </w:hyperlink>
    </w:p>
    <w:p>
      <w:pPr>
        <w:pStyle w:val="ListBullet"/>
      </w:pPr>
      <w:hyperlink r:id="rId15">
        <w:r>
          <w:rPr>
            <w:color w:val="7F4A99"/>
            <w:u w:val="single"/>
            <w:rFonts w:ascii="Aptos" w:hAnsi="Aptos"/>
            <w:sz w:val="22"/>
          </w:rPr>
          <w:t>Microsoft — Register an application in Entra</w:t>
        </w:r>
      </w:hyperlink>
    </w:p>
    <w:p>
      <w:pPr>
        <w:pStyle w:val="ListBullet"/>
      </w:pPr>
      <w:hyperlink r:id="rId16">
        <w:r>
          <w:rPr>
            <w:color w:val="7F4A99"/>
            <w:u w:val="single"/>
            <w:rFonts w:ascii="Aptos" w:hAnsi="Aptos"/>
            <w:sz w:val="22"/>
          </w:rPr>
          <w:t>Microsoft — Permissions and consent overview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67085"/>
        <w:sz w:val="17"/>
      </w:rPr>
      <w:t xml:space="preserve">Client OAuth Setup Guide  •  </w:t>
    </w:r>
    <w:r>
      <w:rPr>
        <w:rFonts w:ascii="Aptos" w:hAnsi="Aptos"/>
        <w:b w:val="0"/>
        <w:i w:val="0"/>
        <w:color w:val="667085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F4A99"/>
        <w:sz w:val="17"/>
      </w:rPr>
      <w:t>CERQLE.AI  /  CLIENT ENABLEMENT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ptos" w:hAnsi="Aptos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B2C5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F4A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B2C5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contextualSpacing/>
    </w:pPr>
    <w:rPr>
      <w:rFonts w:ascii="Aptos" w:hAnsi="Apto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8" w:lineRule="auto"/>
      <w:contextualSpacing/>
    </w:pPr>
    <w:rPr>
      <w:rFonts w:ascii="Aptos" w:hAnsi="Aptos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contextualSpacing/>
    </w:pPr>
    <w:rPr>
      <w:rFonts w:ascii="Aptos" w:hAnsi="Apto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s.google.com/youtube/v3/guides/auth/server-side-web-apps" TargetMode="External"/><Relationship Id="rId12" Type="http://schemas.openxmlformats.org/officeDocument/2006/relationships/hyperlink" Target="https://support.google.com/youtube/answer/9481328" TargetMode="External"/><Relationship Id="rId13" Type="http://schemas.openxmlformats.org/officeDocument/2006/relationships/hyperlink" Target="https://developers.tiktok.com/doc/working-with-organizations" TargetMode="External"/><Relationship Id="rId14" Type="http://schemas.openxmlformats.org/officeDocument/2006/relationships/hyperlink" Target="https://developers.tiktok.com/doc/getting-started-create-an-app" TargetMode="External"/><Relationship Id="rId15" Type="http://schemas.openxmlformats.org/officeDocument/2006/relationships/hyperlink" Target="https://learn.microsoft.com/en-us/entra/identity-platform/quickstart-register-app" TargetMode="External"/><Relationship Id="rId16" Type="http://schemas.openxmlformats.org/officeDocument/2006/relationships/hyperlink" Target="https://learn.microsoft.com/en-us/entra/identity-platform/permissions-consent-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Cerqle Client OAuth Setup Guide</dc:title>
  <dc:subject>Google, YouTube, TikTok and Microsoft 365 account connection</dc:subject>
  <dc:creator>Cerqle.ai</dc:creator>
  <cp:keywords>Cerqle, OAuth, Google, Gmail, YouTube, TikTok, Microsoft 365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