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EE67F" w14:textId="77777777" w:rsidR="00787801" w:rsidRDefault="00000000">
      <w:pPr>
        <w:spacing w:after="160"/>
      </w:pPr>
      <w:r>
        <w:rPr>
          <w:rFonts w:ascii="Arial" w:eastAsia="Arial" w:hAnsi="Arial" w:cs="Arial"/>
          <w:b/>
          <w:bCs/>
          <w:color w:val="666666"/>
          <w:sz w:val="56"/>
          <w:szCs w:val="56"/>
        </w:rPr>
        <w:t>Netskope DLP On Demand ↔ Databricks</w:t>
      </w:r>
    </w:p>
    <w:p w14:paraId="3C3D4EDC" w14:textId="77777777" w:rsidR="00787801" w:rsidRDefault="00000000">
      <w:pPr>
        <w:spacing w:after="300"/>
      </w:pPr>
      <w:proofErr w:type="spellStart"/>
      <w:r>
        <w:rPr>
          <w:rFonts w:ascii="Arial" w:eastAsia="Arial" w:hAnsi="Arial" w:cs="Arial"/>
          <w:color w:val="666666"/>
          <w:sz w:val="34"/>
          <w:szCs w:val="34"/>
        </w:rPr>
        <w:t>Quickstart</w:t>
      </w:r>
      <w:proofErr w:type="spellEnd"/>
      <w:r>
        <w:rPr>
          <w:rFonts w:ascii="Arial" w:eastAsia="Arial" w:hAnsi="Arial" w:cs="Arial"/>
          <w:color w:val="666666"/>
          <w:sz w:val="34"/>
          <w:szCs w:val="34"/>
        </w:rPr>
        <w:t xml:space="preserve"> Deployment Guide</w:t>
      </w:r>
    </w:p>
    <w:p w14:paraId="170714A9" w14:textId="77777777" w:rsidR="00787801" w:rsidRDefault="00000000">
      <w:pPr>
        <w:spacing w:after="140"/>
      </w:pPr>
      <w:r>
        <w:rPr>
          <w:rFonts w:ascii="Arial" w:eastAsia="Arial" w:hAnsi="Arial" w:cs="Arial"/>
          <w:color w:val="000000"/>
        </w:rPr>
        <w:t>A condensed, step-by-step version of the full solutions guide — use this if you already know the architecture and just need the checklist. See Netskope-DLPoD-Databricks-Solutions-Guide.docx for full explanations, troubleshooting, and the API reference.</w:t>
      </w:r>
    </w:p>
    <w:p w14:paraId="05B04D7F" w14:textId="77777777" w:rsidR="00787801" w:rsidRDefault="00787801">
      <w:pPr>
        <w:spacing w:after="80"/>
      </w:pPr>
    </w:p>
    <w:p w14:paraId="5799BA28" w14:textId="77777777" w:rsidR="00787801" w:rsidRDefault="00000000">
      <w:pPr>
        <w:pStyle w:val="Heading1"/>
        <w:spacing w:before="320" w:after="180"/>
      </w:pPr>
      <w:r>
        <w:rPr>
          <w:rFonts w:ascii="Arial" w:eastAsia="Arial" w:hAnsi="Arial" w:cs="Arial"/>
          <w:b/>
          <w:bCs/>
          <w:color w:val="00A9CE"/>
        </w:rPr>
        <w:t>Prerequisites</w:t>
      </w:r>
    </w:p>
    <w:p w14:paraId="3F877323" w14:textId="77777777" w:rsidR="00787801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Arial" w:eastAsia="Arial" w:hAnsi="Arial" w:cs="Arial"/>
          <w:color w:val="000000"/>
        </w:rPr>
        <w:t>A Netskope tenant with DLP On Demand (</w:t>
      </w:r>
      <w:proofErr w:type="spellStart"/>
      <w:r>
        <w:rPr>
          <w:rFonts w:ascii="Arial" w:eastAsia="Arial" w:hAnsi="Arial" w:cs="Arial"/>
          <w:color w:val="000000"/>
        </w:rPr>
        <w:t>DLPoD</w:t>
      </w:r>
      <w:proofErr w:type="spellEnd"/>
      <w:r>
        <w:rPr>
          <w:rFonts w:ascii="Arial" w:eastAsia="Arial" w:hAnsi="Arial" w:cs="Arial"/>
          <w:color w:val="000000"/>
        </w:rPr>
        <w:t>) enabled.</w:t>
      </w:r>
    </w:p>
    <w:p w14:paraId="4A58E10D" w14:textId="77777777" w:rsidR="00787801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Arial" w:eastAsia="Arial" w:hAnsi="Arial" w:cs="Arial"/>
          <w:color w:val="000000"/>
        </w:rPr>
        <w:t xml:space="preserve">If you want DLP on images (screenshots </w:t>
      </w:r>
      <w:proofErr w:type="gramStart"/>
      <w:r>
        <w:rPr>
          <w:rFonts w:ascii="Arial" w:eastAsia="Arial" w:hAnsi="Arial" w:cs="Arial"/>
          <w:color w:val="000000"/>
        </w:rPr>
        <w:t>pasted</w:t>
      </w:r>
      <w:proofErr w:type="gramEnd"/>
      <w:r>
        <w:rPr>
          <w:rFonts w:ascii="Arial" w:eastAsia="Arial" w:hAnsi="Arial" w:cs="Arial"/>
          <w:color w:val="000000"/>
        </w:rPr>
        <w:t xml:space="preserve"> into chat, etc.), ask your Netskope account team to enable the backend </w:t>
      </w:r>
      <w:proofErr w:type="gramStart"/>
      <w:r>
        <w:rPr>
          <w:rFonts w:ascii="Arial" w:eastAsia="Arial" w:hAnsi="Arial" w:cs="Arial"/>
          <w:color w:val="000000"/>
        </w:rPr>
        <w:t>feature flag</w:t>
      </w:r>
      <w:proofErr w:type="gramEnd"/>
      <w:r>
        <w:rPr>
          <w:rFonts w:ascii="Arial" w:eastAsia="Arial" w:hAnsi="Arial" w:cs="Arial"/>
          <w:color w:val="000000"/>
        </w:rPr>
        <w:t xml:space="preserve"> DLP_DLPAAS_FEATURE_ENABLE_OCR for your tenant — it is off by default. Text-only DLP works without it.</w:t>
      </w:r>
    </w:p>
    <w:p w14:paraId="4EBE99AC" w14:textId="77777777" w:rsidR="00787801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Arial" w:eastAsia="Arial" w:hAnsi="Arial" w:cs="Arial"/>
          <w:color w:val="000000"/>
        </w:rPr>
        <w:t xml:space="preserve">A Netskope </w:t>
      </w:r>
      <w:proofErr w:type="spellStart"/>
      <w:r>
        <w:rPr>
          <w:rFonts w:ascii="Arial" w:eastAsia="Arial" w:hAnsi="Arial" w:cs="Arial"/>
          <w:color w:val="000000"/>
        </w:rPr>
        <w:t>DLPoD</w:t>
      </w:r>
      <w:proofErr w:type="spellEnd"/>
      <w:r>
        <w:rPr>
          <w:rFonts w:ascii="Arial" w:eastAsia="Arial" w:hAnsi="Arial" w:cs="Arial"/>
          <w:color w:val="000000"/>
        </w:rPr>
        <w:t xml:space="preserve"> appliance already deployed and tethered to your tenant — see https://github.com/sandiegojenkins/netskope-dlpod-standalone. (This guide covers only the Databricks-side adapter, not the appliance itself.)</w:t>
      </w:r>
    </w:p>
    <w:p w14:paraId="011A2F2F" w14:textId="77777777" w:rsidR="00787801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Arial" w:eastAsia="Arial" w:hAnsi="Arial" w:cs="Arial"/>
          <w:color w:val="000000"/>
        </w:rPr>
        <w:t xml:space="preserve">At least one DLP profile configured in your Netskope tenant that you want to enforce (custom or </w:t>
      </w:r>
      <w:proofErr w:type="gramStart"/>
      <w:r>
        <w:rPr>
          <w:rFonts w:ascii="Arial" w:eastAsia="Arial" w:hAnsi="Arial" w:cs="Arial"/>
          <w:color w:val="000000"/>
        </w:rPr>
        <w:t>predefined) —</w:t>
      </w:r>
      <w:proofErr w:type="gramEnd"/>
      <w:r>
        <w:rPr>
          <w:rFonts w:ascii="Arial" w:eastAsia="Arial" w:hAnsi="Arial" w:cs="Arial"/>
          <w:color w:val="000000"/>
        </w:rPr>
        <w:t xml:space="preserve"> you’ll need its exact name.</w:t>
      </w:r>
    </w:p>
    <w:p w14:paraId="6490CD6D" w14:textId="77777777" w:rsidR="00787801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Arial" w:eastAsia="Arial" w:hAnsi="Arial" w:cs="Arial"/>
          <w:color w:val="000000"/>
        </w:rPr>
        <w:t>A Databricks workspace with Unity Catalog and AI Gateway enabled, including the External Policies (Direct HTTP API) feature — confirm with your Databricks account team if you’re not sure it’s available.</w:t>
      </w:r>
    </w:p>
    <w:p w14:paraId="2225C703" w14:textId="77777777" w:rsidR="00787801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Arial" w:eastAsia="Arial" w:hAnsi="Arial" w:cs="Arial"/>
          <w:color w:val="000000"/>
        </w:rPr>
        <w:t xml:space="preserve">Permission in Databricks to create a Unity Catalog connection (CREATE CONNECTION or </w:t>
      </w:r>
      <w:proofErr w:type="spellStart"/>
      <w:r>
        <w:rPr>
          <w:rFonts w:ascii="Arial" w:eastAsia="Arial" w:hAnsi="Arial" w:cs="Arial"/>
          <w:color w:val="000000"/>
        </w:rPr>
        <w:t>metastore</w:t>
      </w:r>
      <w:proofErr w:type="spellEnd"/>
      <w:r>
        <w:rPr>
          <w:rFonts w:ascii="Arial" w:eastAsia="Arial" w:hAnsi="Arial" w:cs="Arial"/>
          <w:color w:val="000000"/>
        </w:rPr>
        <w:t xml:space="preserve"> admin) and MANAGE on the schema of the service you want to govern.</w:t>
      </w:r>
    </w:p>
    <w:p w14:paraId="1E507910" w14:textId="77777777" w:rsidR="00787801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Arial" w:eastAsia="Arial" w:hAnsi="Arial" w:cs="Arial"/>
          <w:color w:val="000000"/>
        </w:rPr>
        <w:t xml:space="preserve">AWS CLI access to the account/region where the </w:t>
      </w:r>
      <w:proofErr w:type="spellStart"/>
      <w:r>
        <w:rPr>
          <w:rFonts w:ascii="Arial" w:eastAsia="Arial" w:hAnsi="Arial" w:cs="Arial"/>
          <w:color w:val="000000"/>
        </w:rPr>
        <w:t>DLPoD</w:t>
      </w:r>
      <w:proofErr w:type="spellEnd"/>
      <w:r>
        <w:rPr>
          <w:rFonts w:ascii="Arial" w:eastAsia="Arial" w:hAnsi="Arial" w:cs="Arial"/>
          <w:color w:val="000000"/>
        </w:rPr>
        <w:t xml:space="preserve"> appliance runs, with permission to deploy a CloudFormation stack.</w:t>
      </w:r>
    </w:p>
    <w:p w14:paraId="10410C6B" w14:textId="77777777" w:rsidR="00787801" w:rsidRDefault="00000000">
      <w:pPr>
        <w:pStyle w:val="Heading1"/>
        <w:spacing w:before="320" w:after="180"/>
      </w:pPr>
      <w:r>
        <w:rPr>
          <w:rFonts w:ascii="Arial" w:eastAsia="Arial" w:hAnsi="Arial" w:cs="Arial"/>
          <w:b/>
          <w:bCs/>
          <w:color w:val="00A9CE"/>
        </w:rPr>
        <w:t>Steps</w:t>
      </w:r>
    </w:p>
    <w:p w14:paraId="2A8621CA" w14:textId="77777777" w:rsidR="00787801" w:rsidRDefault="00000000">
      <w:pPr>
        <w:pStyle w:val="Heading2"/>
        <w:spacing w:before="240" w:after="120"/>
      </w:pPr>
      <w:r>
        <w:rPr>
          <w:rFonts w:ascii="Arial" w:eastAsia="Arial" w:hAnsi="Arial" w:cs="Arial"/>
          <w:b/>
          <w:bCs/>
          <w:color w:val="666666"/>
          <w:sz w:val="30"/>
          <w:szCs w:val="30"/>
        </w:rPr>
        <w:t xml:space="preserve">Step 1 — Deploy the AWS Netskope </w:t>
      </w:r>
      <w:proofErr w:type="spellStart"/>
      <w:r>
        <w:rPr>
          <w:rFonts w:ascii="Arial" w:eastAsia="Arial" w:hAnsi="Arial" w:cs="Arial"/>
          <w:b/>
          <w:bCs/>
          <w:color w:val="666666"/>
          <w:sz w:val="30"/>
          <w:szCs w:val="30"/>
        </w:rPr>
        <w:t>DLPoD</w:t>
      </w:r>
      <w:proofErr w:type="spellEnd"/>
      <w:r>
        <w:rPr>
          <w:rFonts w:ascii="Arial" w:eastAsia="Arial" w:hAnsi="Arial" w:cs="Arial"/>
          <w:b/>
          <w:bCs/>
          <w:color w:val="666666"/>
          <w:sz w:val="30"/>
          <w:szCs w:val="30"/>
        </w:rPr>
        <w:t xml:space="preserve"> Adapter</w:t>
      </w:r>
    </w:p>
    <w:p w14:paraId="76CB0FB5" w14:textId="77777777" w:rsidR="00787801" w:rsidRDefault="00000000">
      <w:pPr>
        <w:spacing w:after="140"/>
      </w:pPr>
      <w:r>
        <w:rPr>
          <w:rFonts w:ascii="Arial" w:eastAsia="Arial" w:hAnsi="Arial" w:cs="Arial"/>
          <w:color w:val="000000"/>
        </w:rPr>
        <w:t>Get the deployment package (this repo), then:</w:t>
      </w:r>
    </w:p>
    <w:p w14:paraId="67267DF9" w14:textId="77777777" w:rsidR="00787801" w:rsidRDefault="00000000">
      <w:pPr>
        <w:shd w:val="clear" w:color="auto" w:fill="F0F0F0"/>
        <w:spacing w:line="260" w:lineRule="auto"/>
        <w:ind w:left="120" w:right="120"/>
      </w:pPr>
      <w:proofErr w:type="gramStart"/>
      <w:r>
        <w:rPr>
          <w:rFonts w:ascii="Arial" w:eastAsia="Arial" w:hAnsi="Arial" w:cs="Arial"/>
          <w:color w:val="000000"/>
          <w:sz w:val="18"/>
          <w:szCs w:val="18"/>
        </w:rPr>
        <w:t>cp .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env</w:t>
      </w:r>
      <w:proofErr w:type="gramEnd"/>
      <w:r>
        <w:rPr>
          <w:rFonts w:ascii="Arial" w:eastAsia="Arial" w:hAnsi="Arial" w:cs="Arial"/>
          <w:color w:val="000000"/>
          <w:sz w:val="18"/>
          <w:szCs w:val="18"/>
        </w:rPr>
        <w:t>.</w:t>
      </w:r>
      <w:proofErr w:type="gramStart"/>
      <w:r>
        <w:rPr>
          <w:rFonts w:ascii="Arial" w:eastAsia="Arial" w:hAnsi="Arial" w:cs="Arial"/>
          <w:color w:val="000000"/>
          <w:sz w:val="18"/>
          <w:szCs w:val="18"/>
        </w:rPr>
        <w:t>example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.env</w:t>
      </w:r>
      <w:proofErr w:type="gramEnd"/>
      <w:r>
        <w:rPr>
          <w:rFonts w:ascii="Arial" w:eastAsia="Arial" w:hAnsi="Arial" w:cs="Arial"/>
          <w:color w:val="000000"/>
          <w:sz w:val="18"/>
          <w:szCs w:val="18"/>
        </w:rPr>
        <w:t xml:space="preserve">   # fill in VPC_ID, LAMBDA_SUBNET_IDS</w:t>
      </w:r>
    </w:p>
    <w:p w14:paraId="4ABBB6F6" w14:textId="77777777" w:rsidR="00787801" w:rsidRDefault="00000000">
      <w:pPr>
        <w:shd w:val="clear" w:color="auto" w:fill="F0F0F0"/>
        <w:spacing w:line="260" w:lineRule="auto"/>
        <w:ind w:left="120" w:right="120"/>
      </w:pPr>
      <w:r>
        <w:rPr>
          <w:rFonts w:ascii="Arial" w:eastAsia="Arial" w:hAnsi="Arial" w:cs="Arial"/>
          <w:color w:val="000000"/>
          <w:sz w:val="18"/>
          <w:szCs w:val="18"/>
        </w:rPr>
        <w:t>./deploy-databricks-adapter.ps1</w:t>
      </w:r>
    </w:p>
    <w:p w14:paraId="1E66DEB9" w14:textId="77777777" w:rsidR="00787801" w:rsidRDefault="00787801">
      <w:pPr>
        <w:spacing w:after="80"/>
      </w:pPr>
    </w:p>
    <w:p w14:paraId="6B7B3380" w14:textId="77777777" w:rsidR="00787801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Arial" w:eastAsia="Arial" w:hAnsi="Arial" w:cs="Arial"/>
          <w:color w:val="000000"/>
        </w:rPr>
        <w:t xml:space="preserve">VPC_ID and LAMBDA_SUBNET_IDS must be in the same VPC as the </w:t>
      </w:r>
      <w:proofErr w:type="spellStart"/>
      <w:r>
        <w:rPr>
          <w:rFonts w:ascii="Arial" w:eastAsia="Arial" w:hAnsi="Arial" w:cs="Arial"/>
          <w:color w:val="000000"/>
        </w:rPr>
        <w:t>DLPoD</w:t>
      </w:r>
      <w:proofErr w:type="spellEnd"/>
      <w:r>
        <w:rPr>
          <w:rFonts w:ascii="Arial" w:eastAsia="Arial" w:hAnsi="Arial" w:cs="Arial"/>
          <w:color w:val="000000"/>
        </w:rPr>
        <w:t xml:space="preserve"> appliance’s internal load balancer — the Lambda needs no internet/NAT access, only VPC-local reachability.</w:t>
      </w:r>
    </w:p>
    <w:p w14:paraId="70739C99" w14:textId="77777777" w:rsidR="00787801" w:rsidRDefault="00000000">
      <w:pPr>
        <w:pBdr>
          <w:left w:val="single" w:sz="12" w:space="8" w:color="FF8200"/>
        </w:pBdr>
        <w:shd w:val="clear" w:color="auto" w:fill="FFF4E8"/>
        <w:spacing w:before="80" w:after="160"/>
        <w:ind w:left="100"/>
      </w:pPr>
      <w:r>
        <w:rPr>
          <w:rFonts w:ascii="Arial" w:eastAsia="Arial" w:hAnsi="Arial" w:cs="Arial"/>
          <w:b/>
          <w:bCs/>
          <w:color w:val="FF8200"/>
        </w:rPr>
        <w:t xml:space="preserve">IMPORTANT: </w:t>
      </w:r>
      <w:r>
        <w:rPr>
          <w:rFonts w:ascii="Arial" w:eastAsia="Arial" w:hAnsi="Arial" w:cs="Arial"/>
          <w:color w:val="000000"/>
        </w:rPr>
        <w:t xml:space="preserve">The script prints the OAuth Client Secret once, at the very end — copy it into a password manager immediately. It can be retrieved again later with </w:t>
      </w:r>
      <w:proofErr w:type="spellStart"/>
      <w:r>
        <w:rPr>
          <w:rFonts w:ascii="Arial" w:eastAsia="Arial" w:hAnsi="Arial" w:cs="Arial"/>
          <w:color w:val="000000"/>
        </w:rPr>
        <w:t>aws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cognito-idp</w:t>
      </w:r>
      <w:proofErr w:type="spellEnd"/>
      <w:r>
        <w:rPr>
          <w:rFonts w:ascii="Arial" w:eastAsia="Arial" w:hAnsi="Arial" w:cs="Arial"/>
          <w:color w:val="000000"/>
        </w:rPr>
        <w:t xml:space="preserve"> describe-user-pool-client if needed (see README).</w:t>
      </w:r>
    </w:p>
    <w:p w14:paraId="1E4B9764" w14:textId="77777777" w:rsidR="00787801" w:rsidRDefault="00000000">
      <w:pPr>
        <w:spacing w:after="140"/>
      </w:pPr>
      <w:r>
        <w:rPr>
          <w:rFonts w:ascii="Arial" w:eastAsia="Arial" w:hAnsi="Arial" w:cs="Arial"/>
          <w:color w:val="000000"/>
        </w:rPr>
        <w:t>From the stack outputs, record: Host, Client ID, Client Secret, Token endpoint, and OAuth scope. You’ll enter these into Databricks in Step 2.</w:t>
      </w:r>
    </w:p>
    <w:p w14:paraId="54FB89E7" w14:textId="77777777" w:rsidR="00787801" w:rsidRDefault="00000000">
      <w:pPr>
        <w:pStyle w:val="Heading2"/>
        <w:spacing w:before="240" w:after="120"/>
      </w:pPr>
      <w:r>
        <w:rPr>
          <w:rFonts w:ascii="Arial" w:eastAsia="Arial" w:hAnsi="Arial" w:cs="Arial"/>
          <w:b/>
          <w:bCs/>
          <w:color w:val="666666"/>
          <w:sz w:val="30"/>
          <w:szCs w:val="30"/>
        </w:rPr>
        <w:t>Step 2 — Configure Databricks</w:t>
      </w:r>
    </w:p>
    <w:p w14:paraId="50E6540F" w14:textId="77777777" w:rsidR="00787801" w:rsidRDefault="00000000">
      <w:pPr>
        <w:pStyle w:val="ListParagraph"/>
        <w:numPr>
          <w:ilvl w:val="0"/>
          <w:numId w:val="3"/>
        </w:numPr>
        <w:spacing w:after="70"/>
      </w:pPr>
      <w:r>
        <w:rPr>
          <w:rFonts w:ascii="Arial" w:eastAsia="Arial" w:hAnsi="Arial" w:cs="Arial"/>
          <w:color w:val="000000"/>
        </w:rPr>
        <w:t>Go to Catalog → gear icon (top of the Catalog panel) → Connections → Create connection.</w:t>
      </w:r>
    </w:p>
    <w:p w14:paraId="2F33A7EE" w14:textId="77777777" w:rsidR="00787801" w:rsidRDefault="00000000">
      <w:pPr>
        <w:pStyle w:val="ListParagraph"/>
        <w:numPr>
          <w:ilvl w:val="0"/>
          <w:numId w:val="4"/>
        </w:numPr>
        <w:spacing w:after="70"/>
      </w:pPr>
      <w:r>
        <w:rPr>
          <w:rFonts w:ascii="Arial" w:eastAsia="Arial" w:hAnsi="Arial" w:cs="Arial"/>
          <w:color w:val="000000"/>
        </w:rPr>
        <w:t>Set connection type to HTTP and authentication type to OAuth M2M.</w:t>
      </w:r>
    </w:p>
    <w:p w14:paraId="6AF4EAEE" w14:textId="77777777" w:rsidR="000C0B0C" w:rsidRPr="000C0B0C" w:rsidRDefault="00000000" w:rsidP="000C0B0C">
      <w:pPr>
        <w:pStyle w:val="ListParagraph"/>
        <w:numPr>
          <w:ilvl w:val="0"/>
          <w:numId w:val="4"/>
        </w:numPr>
        <w:spacing w:after="70"/>
      </w:pPr>
      <w:r>
        <w:rPr>
          <w:rFonts w:ascii="Arial" w:eastAsia="Arial" w:hAnsi="Arial" w:cs="Arial"/>
          <w:color w:val="000000"/>
        </w:rPr>
        <w:lastRenderedPageBreak/>
        <w:t>Fill in Host / Client ID / Client Secret / Token endpoint / OAuth scope from Step 1. Leave the API path blank.</w:t>
      </w:r>
    </w:p>
    <w:p w14:paraId="15B08C6C" w14:textId="198A85FF" w:rsidR="000C0B0C" w:rsidRDefault="000C0B0C" w:rsidP="000C0B0C">
      <w:pPr>
        <w:spacing w:after="70"/>
      </w:pPr>
      <w:r w:rsidRPr="000C0B0C">
        <w:drawing>
          <wp:inline distT="0" distB="0" distL="0" distR="0" wp14:anchorId="7243484C" wp14:editId="5C9F9ADD">
            <wp:extent cx="6400800" cy="4546600"/>
            <wp:effectExtent l="0" t="0" r="0" b="6350"/>
            <wp:docPr id="13515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2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BCBF4" w14:textId="2138F93F" w:rsidR="000C0B0C" w:rsidRPr="000C0B0C" w:rsidRDefault="000C0B0C" w:rsidP="000C0B0C">
      <w:pPr>
        <w:spacing w:after="70"/>
      </w:pPr>
      <w:r w:rsidRPr="000C0B0C">
        <w:drawing>
          <wp:inline distT="0" distB="0" distL="0" distR="0" wp14:anchorId="21BEAAF9" wp14:editId="6385A71D">
            <wp:extent cx="6400800" cy="3743325"/>
            <wp:effectExtent l="0" t="0" r="0" b="9525"/>
            <wp:docPr id="142226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623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AD474" w14:textId="50E5A9D1" w:rsidR="00787801" w:rsidRDefault="00000000" w:rsidP="000C0B0C">
      <w:pPr>
        <w:pStyle w:val="ListParagraph"/>
        <w:numPr>
          <w:ilvl w:val="0"/>
          <w:numId w:val="4"/>
        </w:numPr>
        <w:spacing w:after="70"/>
      </w:pPr>
      <w:r>
        <w:rPr>
          <w:rFonts w:ascii="Arial" w:eastAsia="Arial" w:hAnsi="Arial" w:cs="Arial"/>
          <w:color w:val="000000"/>
        </w:rPr>
        <w:lastRenderedPageBreak/>
        <w:t>Add the LLM service you want to govern.</w:t>
      </w:r>
    </w:p>
    <w:p w14:paraId="5254FD21" w14:textId="50D4EA8B" w:rsidR="00787801" w:rsidRPr="000C0B0C" w:rsidRDefault="00000000" w:rsidP="000C0B0C">
      <w:pPr>
        <w:pStyle w:val="ListParagraph"/>
        <w:numPr>
          <w:ilvl w:val="0"/>
          <w:numId w:val="4"/>
        </w:numPr>
        <w:spacing w:after="70"/>
      </w:pPr>
      <w:r>
        <w:rPr>
          <w:rFonts w:ascii="Arial" w:eastAsia="Arial" w:hAnsi="Arial" w:cs="Arial"/>
          <w:color w:val="000000"/>
        </w:rPr>
        <w:t>This is the model, model-provider, or MCP service whose traffic should be checked for DLP — e.g. an AI Gateway serving endpoint or a provider you’ve registered under AI Gateway → Providers.</w:t>
      </w:r>
    </w:p>
    <w:p w14:paraId="33F80656" w14:textId="2F260D70" w:rsidR="000C0B0C" w:rsidRDefault="000C0B0C" w:rsidP="000C0B0C">
      <w:pPr>
        <w:spacing w:after="70"/>
      </w:pPr>
      <w:r w:rsidRPr="000C0B0C">
        <w:drawing>
          <wp:inline distT="0" distB="0" distL="0" distR="0" wp14:anchorId="61DE5707" wp14:editId="483826AC">
            <wp:extent cx="6400800" cy="4885690"/>
            <wp:effectExtent l="0" t="0" r="0" b="0"/>
            <wp:docPr id="128016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675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8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FB188" w14:textId="77777777" w:rsidR="00787801" w:rsidRDefault="00000000">
      <w:pPr>
        <w:pStyle w:val="ListParagraph"/>
        <w:numPr>
          <w:ilvl w:val="0"/>
          <w:numId w:val="3"/>
        </w:numPr>
        <w:spacing w:after="70"/>
      </w:pPr>
      <w:r>
        <w:rPr>
          <w:rFonts w:ascii="Arial" w:eastAsia="Arial" w:hAnsi="Arial" w:cs="Arial"/>
          <w:color w:val="000000"/>
        </w:rPr>
        <w:t xml:space="preserve">Add the Netskope </w:t>
      </w:r>
      <w:proofErr w:type="spellStart"/>
      <w:r>
        <w:rPr>
          <w:rFonts w:ascii="Arial" w:eastAsia="Arial" w:hAnsi="Arial" w:cs="Arial"/>
          <w:color w:val="000000"/>
        </w:rPr>
        <w:t>DLPoD</w:t>
      </w:r>
      <w:proofErr w:type="spellEnd"/>
      <w:r>
        <w:rPr>
          <w:rFonts w:ascii="Arial" w:eastAsia="Arial" w:hAnsi="Arial" w:cs="Arial"/>
          <w:color w:val="000000"/>
        </w:rPr>
        <w:t xml:space="preserve"> External Policy to that service.</w:t>
      </w:r>
    </w:p>
    <w:p w14:paraId="3ACA8061" w14:textId="77777777" w:rsidR="00787801" w:rsidRPr="000C0B0C" w:rsidRDefault="00000000">
      <w:pPr>
        <w:pStyle w:val="ListParagraph"/>
        <w:numPr>
          <w:ilvl w:val="0"/>
          <w:numId w:val="4"/>
        </w:numPr>
        <w:spacing w:after="70"/>
      </w:pPr>
      <w:r>
        <w:rPr>
          <w:rFonts w:ascii="Arial" w:eastAsia="Arial" w:hAnsi="Arial" w:cs="Arial"/>
          <w:color w:val="000000"/>
        </w:rPr>
        <w:t>On the service’s Policies tab (Beta): New policy → Service policy → Guardrail type: External → select the connection from step 1 above.</w:t>
      </w:r>
    </w:p>
    <w:p w14:paraId="1D61F383" w14:textId="56D4D4F4" w:rsidR="000C0B0C" w:rsidRDefault="000C0B0C" w:rsidP="000C0B0C">
      <w:pPr>
        <w:spacing w:after="70"/>
      </w:pPr>
      <w:r w:rsidRPr="000C0B0C">
        <w:lastRenderedPageBreak/>
        <w:drawing>
          <wp:inline distT="0" distB="0" distL="0" distR="0" wp14:anchorId="3DFA6F14" wp14:editId="3D22A821">
            <wp:extent cx="6400800" cy="5624830"/>
            <wp:effectExtent l="0" t="0" r="0" b="0"/>
            <wp:docPr id="37960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020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62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D824" w14:textId="77777777" w:rsidR="00787801" w:rsidRDefault="00000000">
      <w:pPr>
        <w:pStyle w:val="ListParagraph"/>
        <w:numPr>
          <w:ilvl w:val="0"/>
          <w:numId w:val="4"/>
        </w:numPr>
        <w:spacing w:after="70"/>
      </w:pPr>
      <w:r>
        <w:rPr>
          <w:rFonts w:ascii="Arial" w:eastAsia="Arial" w:hAnsi="Arial" w:cs="Arial"/>
          <w:color w:val="000000"/>
        </w:rPr>
        <w:t>Set Policy configuration (</w:t>
      </w:r>
      <w:proofErr w:type="spellStart"/>
      <w:r>
        <w:rPr>
          <w:rFonts w:ascii="Arial" w:eastAsia="Arial" w:hAnsi="Arial" w:cs="Arial"/>
          <w:color w:val="000000"/>
        </w:rPr>
        <w:t>policy_config</w:t>
      </w:r>
      <w:proofErr w:type="spellEnd"/>
      <w:r>
        <w:rPr>
          <w:rFonts w:ascii="Arial" w:eastAsia="Arial" w:hAnsi="Arial" w:cs="Arial"/>
          <w:color w:val="000000"/>
        </w:rPr>
        <w:t>) to your DLP profile name(s), for example:</w:t>
      </w:r>
    </w:p>
    <w:p w14:paraId="2C8F9AD2" w14:textId="77777777" w:rsidR="00787801" w:rsidRDefault="00000000">
      <w:pPr>
        <w:shd w:val="clear" w:color="auto" w:fill="F0F0F0"/>
        <w:spacing w:line="260" w:lineRule="auto"/>
        <w:ind w:left="120" w:right="120"/>
      </w:pPr>
      <w:proofErr w:type="gramStart"/>
      <w:r>
        <w:rPr>
          <w:rFonts w:ascii="Arial" w:eastAsia="Arial" w:hAnsi="Arial" w:cs="Arial"/>
          <w:color w:val="000000"/>
          <w:sz w:val="18"/>
          <w:szCs w:val="18"/>
        </w:rPr>
        <w:t>{ "</w:t>
      </w:r>
      <w:proofErr w:type="gramEnd"/>
      <w:r>
        <w:rPr>
          <w:rFonts w:ascii="Arial" w:eastAsia="Arial" w:hAnsi="Arial" w:cs="Arial"/>
          <w:color w:val="000000"/>
          <w:sz w:val="18"/>
          <w:szCs w:val="18"/>
        </w:rPr>
        <w:t>profiles": ["Block SSN GenAI"</w:t>
      </w:r>
      <w:proofErr w:type="gramStart"/>
      <w:r>
        <w:rPr>
          <w:rFonts w:ascii="Arial" w:eastAsia="Arial" w:hAnsi="Arial" w:cs="Arial"/>
          <w:color w:val="000000"/>
          <w:sz w:val="18"/>
          <w:szCs w:val="18"/>
        </w:rPr>
        <w:t>] }</w:t>
      </w:r>
      <w:proofErr w:type="gramEnd"/>
    </w:p>
    <w:p w14:paraId="1C33378B" w14:textId="77777777" w:rsidR="00787801" w:rsidRDefault="00787801">
      <w:pPr>
        <w:spacing w:after="80"/>
      </w:pPr>
    </w:p>
    <w:p w14:paraId="73E68D62" w14:textId="77777777" w:rsidR="00787801" w:rsidRPr="000B4DAC" w:rsidRDefault="00000000">
      <w:pPr>
        <w:pStyle w:val="ListParagraph"/>
        <w:numPr>
          <w:ilvl w:val="0"/>
          <w:numId w:val="4"/>
        </w:numPr>
        <w:spacing w:after="70"/>
      </w:pPr>
      <w:r>
        <w:rPr>
          <w:rFonts w:ascii="Arial" w:eastAsia="Arial" w:hAnsi="Arial" w:cs="Arial"/>
          <w:color w:val="000000"/>
        </w:rPr>
        <w:t>Choose Phase (input, output, or both) and start in Log mode to validate before enforcing.</w:t>
      </w:r>
    </w:p>
    <w:p w14:paraId="6ECAEA26" w14:textId="478EE292" w:rsidR="00787801" w:rsidRDefault="000B4DAC" w:rsidP="000B4DAC">
      <w:pPr>
        <w:spacing w:after="70"/>
      </w:pPr>
      <w:r w:rsidRPr="000B4DAC">
        <w:lastRenderedPageBreak/>
        <w:drawing>
          <wp:inline distT="0" distB="0" distL="0" distR="0" wp14:anchorId="373C31F7" wp14:editId="7A69CA9D">
            <wp:extent cx="6400800" cy="5847715"/>
            <wp:effectExtent l="0" t="0" r="0" b="635"/>
            <wp:docPr id="998664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647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84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5B640" w14:textId="77777777" w:rsidR="00787801" w:rsidRDefault="00000000">
      <w:pPr>
        <w:pBdr>
          <w:left w:val="single" w:sz="12" w:space="8" w:color="FF8200"/>
        </w:pBdr>
        <w:shd w:val="clear" w:color="auto" w:fill="FFF4E8"/>
        <w:spacing w:before="80" w:after="160"/>
        <w:ind w:left="100"/>
      </w:pPr>
      <w:r>
        <w:rPr>
          <w:rFonts w:ascii="Arial" w:eastAsia="Arial" w:hAnsi="Arial" w:cs="Arial"/>
          <w:b/>
          <w:bCs/>
          <w:color w:val="FF8200"/>
        </w:rPr>
        <w:t xml:space="preserve">NOTE: </w:t>
      </w:r>
      <w:r>
        <w:rPr>
          <w:rFonts w:ascii="Arial" w:eastAsia="Arial" w:hAnsi="Arial" w:cs="Arial"/>
          <w:color w:val="000000"/>
        </w:rPr>
        <w:t xml:space="preserve">Wait 60–90 seconds after saving a policy before testing — changes propagate through a configuration cache, and testing immediately is the most common reason people conclude a policy isn’t working when it </w:t>
      </w:r>
      <w:proofErr w:type="gramStart"/>
      <w:r>
        <w:rPr>
          <w:rFonts w:ascii="Arial" w:eastAsia="Arial" w:hAnsi="Arial" w:cs="Arial"/>
          <w:color w:val="000000"/>
        </w:rPr>
        <w:t>actually is</w:t>
      </w:r>
      <w:proofErr w:type="gramEnd"/>
      <w:r>
        <w:rPr>
          <w:rFonts w:ascii="Arial" w:eastAsia="Arial" w:hAnsi="Arial" w:cs="Arial"/>
          <w:color w:val="000000"/>
        </w:rPr>
        <w:t>.</w:t>
      </w:r>
    </w:p>
    <w:p w14:paraId="19ADBE99" w14:textId="77777777" w:rsidR="00787801" w:rsidRDefault="00787801">
      <w:pPr>
        <w:spacing w:after="80"/>
      </w:pPr>
    </w:p>
    <w:p w14:paraId="3975A51C" w14:textId="77777777" w:rsidR="00787801" w:rsidRDefault="00000000">
      <w:pPr>
        <w:pStyle w:val="ListParagraph"/>
        <w:numPr>
          <w:ilvl w:val="0"/>
          <w:numId w:val="3"/>
        </w:numPr>
        <w:spacing w:after="70"/>
      </w:pPr>
      <w:r>
        <w:rPr>
          <w:rFonts w:ascii="Arial" w:eastAsia="Arial" w:hAnsi="Arial" w:cs="Arial"/>
          <w:color w:val="000000"/>
        </w:rPr>
        <w:t>Test with “Try in Browser.”</w:t>
      </w:r>
    </w:p>
    <w:p w14:paraId="714BFF7B" w14:textId="77777777" w:rsidR="00787801" w:rsidRDefault="00000000">
      <w:pPr>
        <w:pStyle w:val="ListParagraph"/>
        <w:numPr>
          <w:ilvl w:val="0"/>
          <w:numId w:val="4"/>
        </w:numPr>
        <w:spacing w:after="70"/>
      </w:pPr>
      <w:r>
        <w:rPr>
          <w:rFonts w:ascii="Arial" w:eastAsia="Arial" w:hAnsi="Arial" w:cs="Arial"/>
          <w:color w:val="000000"/>
        </w:rPr>
        <w:t>On the governed service’s Overview page, use the Try in Browser button (more reliable than picking a model in Playground’s dropdown, which can silently call the wrong endpoint).</w:t>
      </w:r>
    </w:p>
    <w:p w14:paraId="0B95097F" w14:textId="77777777" w:rsidR="00787801" w:rsidRDefault="00000000">
      <w:pPr>
        <w:pStyle w:val="ListParagraph"/>
        <w:numPr>
          <w:ilvl w:val="0"/>
          <w:numId w:val="4"/>
        </w:numPr>
        <w:spacing w:after="70"/>
      </w:pPr>
      <w:r>
        <w:rPr>
          <w:rFonts w:ascii="Arial" w:eastAsia="Arial" w:hAnsi="Arial" w:cs="Arial"/>
          <w:color w:val="000000"/>
        </w:rPr>
        <w:t>Send a benign prompt first — it should complete normally.</w:t>
      </w:r>
    </w:p>
    <w:p w14:paraId="6F9A11B2" w14:textId="77777777" w:rsidR="00787801" w:rsidRPr="000B4DAC" w:rsidRDefault="00000000">
      <w:pPr>
        <w:pStyle w:val="ListParagraph"/>
        <w:numPr>
          <w:ilvl w:val="0"/>
          <w:numId w:val="4"/>
        </w:numPr>
        <w:spacing w:after="70"/>
      </w:pPr>
      <w:r>
        <w:rPr>
          <w:rFonts w:ascii="Arial" w:eastAsia="Arial" w:hAnsi="Arial" w:cs="Arial"/>
          <w:color w:val="000000"/>
        </w:rPr>
        <w:t xml:space="preserve">Then send a prompt containing something your DLP profile should catch (e.g. a realistic-looking </w:t>
      </w:r>
      <w:proofErr w:type="gramStart"/>
      <w:r>
        <w:rPr>
          <w:rFonts w:ascii="Arial" w:eastAsia="Arial" w:hAnsi="Arial" w:cs="Arial"/>
          <w:color w:val="000000"/>
        </w:rPr>
        <w:t>SSN) —</w:t>
      </w:r>
      <w:proofErr w:type="gramEnd"/>
      <w:r>
        <w:rPr>
          <w:rFonts w:ascii="Arial" w:eastAsia="Arial" w:hAnsi="Arial" w:cs="Arial"/>
          <w:color w:val="000000"/>
        </w:rPr>
        <w:t xml:space="preserve"> it should be blocked, with a reason mentioning the matched DLP profile.</w:t>
      </w:r>
    </w:p>
    <w:p w14:paraId="04A5BB3A" w14:textId="4E9100EC" w:rsidR="00787801" w:rsidRDefault="000B4DAC" w:rsidP="000B4DAC">
      <w:pPr>
        <w:spacing w:after="70"/>
      </w:pPr>
      <w:r w:rsidRPr="000B4DAC">
        <w:lastRenderedPageBreak/>
        <w:drawing>
          <wp:inline distT="0" distB="0" distL="0" distR="0" wp14:anchorId="0129A70A" wp14:editId="35F9E348">
            <wp:extent cx="6354062" cy="6506483"/>
            <wp:effectExtent l="0" t="0" r="8890" b="8890"/>
            <wp:docPr id="123148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856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4062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C405D" w14:textId="77777777" w:rsidR="00787801" w:rsidRDefault="00000000">
      <w:pPr>
        <w:pStyle w:val="Heading2"/>
        <w:spacing w:before="240" w:after="120"/>
      </w:pPr>
      <w:r>
        <w:rPr>
          <w:rFonts w:ascii="Arial" w:eastAsia="Arial" w:hAnsi="Arial" w:cs="Arial"/>
          <w:b/>
          <w:bCs/>
          <w:color w:val="666666"/>
          <w:sz w:val="30"/>
          <w:szCs w:val="30"/>
        </w:rPr>
        <w:t>Step 3 — Set Up the DLP Policy in Netskope</w:t>
      </w:r>
    </w:p>
    <w:p w14:paraId="220E14A4" w14:textId="77777777" w:rsidR="00787801" w:rsidRDefault="00000000">
      <w:pPr>
        <w:spacing w:after="14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In the Netskope UI, confirm the DLP profile you referenced in Step 2 exists and is configured the way you expect (Policies → DLP, or wherever your tenant’s DLP profile management lives). If you want image/OCR-based DLP, this is also where you’d confirm the DLP_DLPAAS_FEATURE_ENABLE_OCR flag has taken effect for your tenant.</w:t>
      </w:r>
    </w:p>
    <w:p w14:paraId="113A9DCA" w14:textId="5A2DD5B7" w:rsidR="00787801" w:rsidRDefault="000B4DAC" w:rsidP="000B4DAC">
      <w:pPr>
        <w:spacing w:after="140"/>
      </w:pPr>
      <w:r w:rsidRPr="000B4DAC">
        <w:lastRenderedPageBreak/>
        <w:drawing>
          <wp:inline distT="0" distB="0" distL="0" distR="0" wp14:anchorId="0F2418D5" wp14:editId="397BB725">
            <wp:extent cx="6400800" cy="4104005"/>
            <wp:effectExtent l="0" t="0" r="0" b="0"/>
            <wp:docPr id="1709585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851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E7AD3" w14:textId="2868BE45" w:rsidR="000B4DAC" w:rsidRDefault="000B4DAC" w:rsidP="000B4DAC">
      <w:pPr>
        <w:spacing w:after="140"/>
      </w:pPr>
      <w:r w:rsidRPr="000B4DAC">
        <w:drawing>
          <wp:inline distT="0" distB="0" distL="0" distR="0" wp14:anchorId="55581D0E" wp14:editId="5038FF10">
            <wp:extent cx="6400800" cy="3957320"/>
            <wp:effectExtent l="0" t="0" r="0" b="5080"/>
            <wp:docPr id="1474011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110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4096E" w14:textId="77777777" w:rsidR="00787801" w:rsidRDefault="00000000">
      <w:pPr>
        <w:pStyle w:val="Heading2"/>
        <w:spacing w:before="240" w:after="120"/>
      </w:pPr>
      <w:r>
        <w:rPr>
          <w:rFonts w:ascii="Arial" w:eastAsia="Arial" w:hAnsi="Arial" w:cs="Arial"/>
          <w:b/>
          <w:bCs/>
          <w:color w:val="666666"/>
          <w:sz w:val="30"/>
          <w:szCs w:val="30"/>
        </w:rPr>
        <w:t xml:space="preserve">Step 4 — Confirm Alerts in </w:t>
      </w:r>
      <w:proofErr w:type="spellStart"/>
      <w:r>
        <w:rPr>
          <w:rFonts w:ascii="Arial" w:eastAsia="Arial" w:hAnsi="Arial" w:cs="Arial"/>
          <w:b/>
          <w:bCs/>
          <w:color w:val="666666"/>
          <w:sz w:val="30"/>
          <w:szCs w:val="30"/>
        </w:rPr>
        <w:t>SkopeIT</w:t>
      </w:r>
      <w:proofErr w:type="spellEnd"/>
    </w:p>
    <w:p w14:paraId="4BAA7988" w14:textId="77777777" w:rsidR="00787801" w:rsidRDefault="00000000">
      <w:pPr>
        <w:spacing w:after="140"/>
      </w:pPr>
      <w:r>
        <w:rPr>
          <w:rFonts w:ascii="Arial" w:eastAsia="Arial" w:hAnsi="Arial" w:cs="Arial"/>
          <w:color w:val="000000"/>
        </w:rPr>
        <w:lastRenderedPageBreak/>
        <w:t xml:space="preserve">After the blocked test in Step 2, check </w:t>
      </w:r>
      <w:proofErr w:type="spellStart"/>
      <w:r>
        <w:rPr>
          <w:rFonts w:ascii="Arial" w:eastAsia="Arial" w:hAnsi="Arial" w:cs="Arial"/>
          <w:color w:val="000000"/>
        </w:rPr>
        <w:t>SkopeIT</w:t>
      </w:r>
      <w:proofErr w:type="spellEnd"/>
      <w:r>
        <w:rPr>
          <w:rFonts w:ascii="Arial" w:eastAsia="Arial" w:hAnsi="Arial" w:cs="Arial"/>
          <w:color w:val="000000"/>
        </w:rPr>
        <w:t xml:space="preserve"> (</w:t>
      </w:r>
      <w:proofErr w:type="spellStart"/>
      <w:r>
        <w:rPr>
          <w:rFonts w:ascii="Arial" w:eastAsia="Arial" w:hAnsi="Arial" w:cs="Arial"/>
          <w:color w:val="000000"/>
        </w:rPr>
        <w:t>Skope</w:t>
      </w:r>
      <w:proofErr w:type="spellEnd"/>
      <w:r>
        <w:rPr>
          <w:rFonts w:ascii="Arial" w:eastAsia="Arial" w:hAnsi="Arial" w:cs="Arial"/>
          <w:color w:val="000000"/>
        </w:rPr>
        <w:t xml:space="preserve"> IT → Alerts) for a new alert. This confirms the whole path end to end — not just that Databricks blocked the request, but that Netskope </w:t>
      </w:r>
      <w:proofErr w:type="gramStart"/>
      <w:r>
        <w:rPr>
          <w:rFonts w:ascii="Arial" w:eastAsia="Arial" w:hAnsi="Arial" w:cs="Arial"/>
          <w:color w:val="000000"/>
        </w:rPr>
        <w:t>actually logged</w:t>
      </w:r>
      <w:proofErr w:type="gramEnd"/>
      <w:r>
        <w:rPr>
          <w:rFonts w:ascii="Arial" w:eastAsia="Arial" w:hAnsi="Arial" w:cs="Arial"/>
          <w:color w:val="000000"/>
        </w:rPr>
        <w:t xml:space="preserve"> the match. Look for:</w:t>
      </w:r>
    </w:p>
    <w:p w14:paraId="66053590" w14:textId="77777777" w:rsidR="00787801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Arial" w:eastAsia="Arial" w:hAnsi="Arial" w:cs="Arial"/>
          <w:color w:val="000000"/>
        </w:rPr>
        <w:t>Alert Name: DLP On Demand</w:t>
      </w:r>
    </w:p>
    <w:p w14:paraId="70E4C960" w14:textId="77777777" w:rsidR="00787801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Arial" w:eastAsia="Arial" w:hAnsi="Arial" w:cs="Arial"/>
          <w:color w:val="000000"/>
        </w:rPr>
        <w:t xml:space="preserve">Application: </w:t>
      </w:r>
      <w:proofErr w:type="spellStart"/>
      <w:r>
        <w:rPr>
          <w:rFonts w:ascii="Arial" w:eastAsia="Arial" w:hAnsi="Arial" w:cs="Arial"/>
          <w:color w:val="000000"/>
        </w:rPr>
        <w:t>DatabricksAIGateway</w:t>
      </w:r>
      <w:proofErr w:type="spellEnd"/>
    </w:p>
    <w:p w14:paraId="040FA33B" w14:textId="1C1D19E3" w:rsidR="00787801" w:rsidRDefault="00000000" w:rsidP="000B4DAC">
      <w:pPr>
        <w:pStyle w:val="ListParagraph"/>
        <w:numPr>
          <w:ilvl w:val="0"/>
          <w:numId w:val="2"/>
        </w:numPr>
        <w:spacing w:after="70"/>
      </w:pPr>
      <w:r>
        <w:rPr>
          <w:rFonts w:ascii="Arial" w:eastAsia="Arial" w:hAnsi="Arial" w:cs="Arial"/>
          <w:color w:val="000000"/>
        </w:rPr>
        <w:t>DLP Profile / DLP Rule matching what you configured</w:t>
      </w:r>
    </w:p>
    <w:p w14:paraId="66F5C654" w14:textId="77777777" w:rsidR="00787801" w:rsidRDefault="00000000">
      <w:pPr>
        <w:pBdr>
          <w:left w:val="single" w:sz="12" w:space="8" w:color="FF8200"/>
        </w:pBdr>
        <w:shd w:val="clear" w:color="auto" w:fill="FFF4E8"/>
        <w:spacing w:before="80" w:after="160"/>
        <w:ind w:left="100"/>
      </w:pPr>
      <w:r>
        <w:rPr>
          <w:rFonts w:ascii="Arial" w:eastAsia="Arial" w:hAnsi="Arial" w:cs="Arial"/>
          <w:b/>
          <w:bCs/>
          <w:color w:val="FF8200"/>
        </w:rPr>
        <w:t xml:space="preserve">NOTE: </w:t>
      </w:r>
      <w:r>
        <w:rPr>
          <w:rFonts w:ascii="Arial" w:eastAsia="Arial" w:hAnsi="Arial" w:cs="Arial"/>
          <w:color w:val="000000"/>
        </w:rPr>
        <w:t xml:space="preserve">If Databricks blocked the request but no alert shows up in </w:t>
      </w:r>
      <w:proofErr w:type="spellStart"/>
      <w:r>
        <w:rPr>
          <w:rFonts w:ascii="Arial" w:eastAsia="Arial" w:hAnsi="Arial" w:cs="Arial"/>
          <w:color w:val="000000"/>
        </w:rPr>
        <w:t>SkopeIT</w:t>
      </w:r>
      <w:proofErr w:type="spellEnd"/>
      <w:r>
        <w:rPr>
          <w:rFonts w:ascii="Arial" w:eastAsia="Arial" w:hAnsi="Arial" w:cs="Arial"/>
          <w:color w:val="000000"/>
        </w:rPr>
        <w:t xml:space="preserve">, the adapter’s </w:t>
      </w:r>
      <w:proofErr w:type="spellStart"/>
      <w:r>
        <w:rPr>
          <w:rFonts w:ascii="Arial" w:eastAsia="Arial" w:hAnsi="Arial" w:cs="Arial"/>
          <w:color w:val="000000"/>
        </w:rPr>
        <w:t>GenerateIncidents</w:t>
      </w:r>
      <w:proofErr w:type="spellEnd"/>
      <w:r>
        <w:rPr>
          <w:rFonts w:ascii="Arial" w:eastAsia="Arial" w:hAnsi="Arial" w:cs="Arial"/>
          <w:color w:val="000000"/>
        </w:rPr>
        <w:t xml:space="preserve"> setting was likely overridden to false at deploy time (it defaults to true). See docs/databricks-adapter.md.</w:t>
      </w:r>
    </w:p>
    <w:p w14:paraId="7DC671AF" w14:textId="77777777" w:rsidR="00787801" w:rsidRDefault="00787801">
      <w:pPr>
        <w:spacing w:after="80"/>
      </w:pPr>
    </w:p>
    <w:p w14:paraId="4104395D" w14:textId="77777777" w:rsidR="00787801" w:rsidRDefault="00000000">
      <w:pPr>
        <w:spacing w:after="140"/>
      </w:pPr>
      <w:r>
        <w:rPr>
          <w:rFonts w:ascii="Arial" w:eastAsia="Arial" w:hAnsi="Arial" w:cs="Arial"/>
          <w:color w:val="000000"/>
        </w:rPr>
        <w:t>Once Steps 1–4 all check out, switch the policy from Log to Enforce mode for production use.</w:t>
      </w:r>
    </w:p>
    <w:sectPr w:rsidR="0078780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E63E5"/>
    <w:multiLevelType w:val="hybridMultilevel"/>
    <w:tmpl w:val="18EEB600"/>
    <w:lvl w:ilvl="0" w:tplc="A280ABD4">
      <w:start w:val="1"/>
      <w:numFmt w:val="bullet"/>
      <w:lvlText w:val="•"/>
      <w:lvlJc w:val="left"/>
      <w:pPr>
        <w:ind w:left="480" w:hanging="240"/>
      </w:pPr>
    </w:lvl>
    <w:lvl w:ilvl="1" w:tplc="6A1C144E">
      <w:numFmt w:val="decimal"/>
      <w:lvlText w:val=""/>
      <w:lvlJc w:val="left"/>
    </w:lvl>
    <w:lvl w:ilvl="2" w:tplc="39E0CBEE">
      <w:numFmt w:val="decimal"/>
      <w:lvlText w:val=""/>
      <w:lvlJc w:val="left"/>
    </w:lvl>
    <w:lvl w:ilvl="3" w:tplc="ECF0791E">
      <w:numFmt w:val="decimal"/>
      <w:lvlText w:val=""/>
      <w:lvlJc w:val="left"/>
    </w:lvl>
    <w:lvl w:ilvl="4" w:tplc="D98A0D40">
      <w:numFmt w:val="decimal"/>
      <w:lvlText w:val=""/>
      <w:lvlJc w:val="left"/>
    </w:lvl>
    <w:lvl w:ilvl="5" w:tplc="D63C4558">
      <w:numFmt w:val="decimal"/>
      <w:lvlText w:val=""/>
      <w:lvlJc w:val="left"/>
    </w:lvl>
    <w:lvl w:ilvl="6" w:tplc="BEB0D736">
      <w:numFmt w:val="decimal"/>
      <w:lvlText w:val=""/>
      <w:lvlJc w:val="left"/>
    </w:lvl>
    <w:lvl w:ilvl="7" w:tplc="BBC40546">
      <w:numFmt w:val="decimal"/>
      <w:lvlText w:val=""/>
      <w:lvlJc w:val="left"/>
    </w:lvl>
    <w:lvl w:ilvl="8" w:tplc="8EA2585E">
      <w:numFmt w:val="decimal"/>
      <w:lvlText w:val=""/>
      <w:lvlJc w:val="left"/>
    </w:lvl>
  </w:abstractNum>
  <w:abstractNum w:abstractNumId="1" w15:restartNumberingAfterBreak="0">
    <w:nsid w:val="55474D4A"/>
    <w:multiLevelType w:val="hybridMultilevel"/>
    <w:tmpl w:val="9564CC94"/>
    <w:lvl w:ilvl="0" w:tplc="F8462CF2">
      <w:start w:val="1"/>
      <w:numFmt w:val="decimal"/>
      <w:lvlText w:val="%1."/>
      <w:lvlJc w:val="left"/>
      <w:pPr>
        <w:ind w:left="480" w:hanging="240"/>
      </w:pPr>
    </w:lvl>
    <w:lvl w:ilvl="1" w:tplc="B9A68758">
      <w:numFmt w:val="decimal"/>
      <w:lvlText w:val=""/>
      <w:lvlJc w:val="left"/>
    </w:lvl>
    <w:lvl w:ilvl="2" w:tplc="D690DE3A">
      <w:numFmt w:val="decimal"/>
      <w:lvlText w:val=""/>
      <w:lvlJc w:val="left"/>
    </w:lvl>
    <w:lvl w:ilvl="3" w:tplc="DBFA7F9E">
      <w:numFmt w:val="decimal"/>
      <w:lvlText w:val=""/>
      <w:lvlJc w:val="left"/>
    </w:lvl>
    <w:lvl w:ilvl="4" w:tplc="77B0361C">
      <w:numFmt w:val="decimal"/>
      <w:lvlText w:val=""/>
      <w:lvlJc w:val="left"/>
    </w:lvl>
    <w:lvl w:ilvl="5" w:tplc="35C4FA34">
      <w:numFmt w:val="decimal"/>
      <w:lvlText w:val=""/>
      <w:lvlJc w:val="left"/>
    </w:lvl>
    <w:lvl w:ilvl="6" w:tplc="57B05B90">
      <w:numFmt w:val="decimal"/>
      <w:lvlText w:val=""/>
      <w:lvlJc w:val="left"/>
    </w:lvl>
    <w:lvl w:ilvl="7" w:tplc="0972B240">
      <w:numFmt w:val="decimal"/>
      <w:lvlText w:val=""/>
      <w:lvlJc w:val="left"/>
    </w:lvl>
    <w:lvl w:ilvl="8" w:tplc="EF006EA2">
      <w:numFmt w:val="decimal"/>
      <w:lvlText w:val=""/>
      <w:lvlJc w:val="left"/>
    </w:lvl>
  </w:abstractNum>
  <w:abstractNum w:abstractNumId="2" w15:restartNumberingAfterBreak="0">
    <w:nsid w:val="69BF134E"/>
    <w:multiLevelType w:val="hybridMultilevel"/>
    <w:tmpl w:val="8744BA60"/>
    <w:lvl w:ilvl="0" w:tplc="AE3A9160">
      <w:start w:val="1"/>
      <w:numFmt w:val="lowerLetter"/>
      <w:lvlText w:val="%1."/>
      <w:lvlJc w:val="left"/>
      <w:pPr>
        <w:ind w:left="960" w:hanging="240"/>
      </w:pPr>
    </w:lvl>
    <w:lvl w:ilvl="1" w:tplc="94CCC68A">
      <w:numFmt w:val="decimal"/>
      <w:lvlText w:val=""/>
      <w:lvlJc w:val="left"/>
    </w:lvl>
    <w:lvl w:ilvl="2" w:tplc="30E636C4">
      <w:numFmt w:val="decimal"/>
      <w:lvlText w:val=""/>
      <w:lvlJc w:val="left"/>
    </w:lvl>
    <w:lvl w:ilvl="3" w:tplc="52F84AEC">
      <w:numFmt w:val="decimal"/>
      <w:lvlText w:val=""/>
      <w:lvlJc w:val="left"/>
    </w:lvl>
    <w:lvl w:ilvl="4" w:tplc="95DE013C">
      <w:numFmt w:val="decimal"/>
      <w:lvlText w:val=""/>
      <w:lvlJc w:val="left"/>
    </w:lvl>
    <w:lvl w:ilvl="5" w:tplc="B72E04DC">
      <w:numFmt w:val="decimal"/>
      <w:lvlText w:val=""/>
      <w:lvlJc w:val="left"/>
    </w:lvl>
    <w:lvl w:ilvl="6" w:tplc="B442D08A">
      <w:numFmt w:val="decimal"/>
      <w:lvlText w:val=""/>
      <w:lvlJc w:val="left"/>
    </w:lvl>
    <w:lvl w:ilvl="7" w:tplc="E06076BE">
      <w:numFmt w:val="decimal"/>
      <w:lvlText w:val=""/>
      <w:lvlJc w:val="left"/>
    </w:lvl>
    <w:lvl w:ilvl="8" w:tplc="DE2AB4B8">
      <w:numFmt w:val="decimal"/>
      <w:lvlText w:val=""/>
      <w:lvlJc w:val="left"/>
    </w:lvl>
  </w:abstractNum>
  <w:abstractNum w:abstractNumId="3" w15:restartNumberingAfterBreak="0">
    <w:nsid w:val="79A63000"/>
    <w:multiLevelType w:val="hybridMultilevel"/>
    <w:tmpl w:val="6400E79E"/>
    <w:lvl w:ilvl="0" w:tplc="23A4B334">
      <w:start w:val="1"/>
      <w:numFmt w:val="bullet"/>
      <w:lvlText w:val="●"/>
      <w:lvlJc w:val="left"/>
      <w:pPr>
        <w:ind w:left="720" w:hanging="360"/>
      </w:pPr>
    </w:lvl>
    <w:lvl w:ilvl="1" w:tplc="47A28E7C">
      <w:start w:val="1"/>
      <w:numFmt w:val="bullet"/>
      <w:lvlText w:val="○"/>
      <w:lvlJc w:val="left"/>
      <w:pPr>
        <w:ind w:left="1440" w:hanging="360"/>
      </w:pPr>
    </w:lvl>
    <w:lvl w:ilvl="2" w:tplc="CFDE1446">
      <w:start w:val="1"/>
      <w:numFmt w:val="bullet"/>
      <w:lvlText w:val="■"/>
      <w:lvlJc w:val="left"/>
      <w:pPr>
        <w:ind w:left="2160" w:hanging="360"/>
      </w:pPr>
    </w:lvl>
    <w:lvl w:ilvl="3" w:tplc="278C85DC">
      <w:start w:val="1"/>
      <w:numFmt w:val="bullet"/>
      <w:lvlText w:val="●"/>
      <w:lvlJc w:val="left"/>
      <w:pPr>
        <w:ind w:left="2880" w:hanging="360"/>
      </w:pPr>
    </w:lvl>
    <w:lvl w:ilvl="4" w:tplc="AB5EBFD0">
      <w:start w:val="1"/>
      <w:numFmt w:val="bullet"/>
      <w:lvlText w:val="○"/>
      <w:lvlJc w:val="left"/>
      <w:pPr>
        <w:ind w:left="3600" w:hanging="360"/>
      </w:pPr>
    </w:lvl>
    <w:lvl w:ilvl="5" w:tplc="3E580EC4">
      <w:start w:val="1"/>
      <w:numFmt w:val="bullet"/>
      <w:lvlText w:val="■"/>
      <w:lvlJc w:val="left"/>
      <w:pPr>
        <w:ind w:left="4320" w:hanging="360"/>
      </w:pPr>
    </w:lvl>
    <w:lvl w:ilvl="6" w:tplc="EAFEBE20">
      <w:start w:val="1"/>
      <w:numFmt w:val="bullet"/>
      <w:lvlText w:val="●"/>
      <w:lvlJc w:val="left"/>
      <w:pPr>
        <w:ind w:left="5040" w:hanging="360"/>
      </w:pPr>
    </w:lvl>
    <w:lvl w:ilvl="7" w:tplc="4332241E">
      <w:start w:val="1"/>
      <w:numFmt w:val="bullet"/>
      <w:lvlText w:val="●"/>
      <w:lvlJc w:val="left"/>
      <w:pPr>
        <w:ind w:left="5760" w:hanging="360"/>
      </w:pPr>
    </w:lvl>
    <w:lvl w:ilvl="8" w:tplc="F174A6A2">
      <w:start w:val="1"/>
      <w:numFmt w:val="bullet"/>
      <w:lvlText w:val="●"/>
      <w:lvlJc w:val="left"/>
      <w:pPr>
        <w:ind w:left="6480" w:hanging="360"/>
      </w:pPr>
    </w:lvl>
  </w:abstractNum>
  <w:num w:numId="1" w16cid:durableId="342443118">
    <w:abstractNumId w:val="3"/>
    <w:lvlOverride w:ilvl="0">
      <w:startOverride w:val="1"/>
    </w:lvlOverride>
  </w:num>
  <w:num w:numId="2" w16cid:durableId="68429604">
    <w:abstractNumId w:val="0"/>
    <w:lvlOverride w:ilvl="0">
      <w:startOverride w:val="1"/>
    </w:lvlOverride>
  </w:num>
  <w:num w:numId="3" w16cid:durableId="607006032">
    <w:abstractNumId w:val="1"/>
    <w:lvlOverride w:ilvl="0">
      <w:startOverride w:val="1"/>
    </w:lvlOverride>
  </w:num>
  <w:num w:numId="4" w16cid:durableId="34421372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801"/>
    <w:rsid w:val="000B4DAC"/>
    <w:rsid w:val="000C0B0C"/>
    <w:rsid w:val="0061384D"/>
    <w:rsid w:val="00787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04608"/>
  <w15:docId w15:val="{04829AB3-6FE0-4600-9CE2-833F5301E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744</Words>
  <Characters>4105</Characters>
  <Application>Microsoft Office Word</Application>
  <DocSecurity>0</DocSecurity>
  <Lines>77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Gary Jenkins</cp:lastModifiedBy>
  <cp:revision>2</cp:revision>
  <dcterms:created xsi:type="dcterms:W3CDTF">2026-09-09T20:38:00Z</dcterms:created>
  <dcterms:modified xsi:type="dcterms:W3CDTF">2026-10-12T21:45:00Z</dcterms:modified>
</cp:coreProperties>
</file>