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1CAF4" w14:textId="725709E2" w:rsidR="005B4E93" w:rsidRDefault="005B4E93" w:rsidP="005B4E93">
      <w:pPr>
        <w:widowControl/>
        <w:shd w:val="clear" w:color="auto" w:fill="FFFFFF"/>
        <w:spacing w:after="240" w:line="660" w:lineRule="atLeast"/>
        <w:jc w:val="left"/>
        <w:textAlignment w:val="baseline"/>
        <w:outlineLvl w:val="0"/>
        <w:rPr>
          <w:rFonts w:ascii="宋体" w:eastAsia="宋体" w:hAnsi="宋体" w:cs="宋体"/>
          <w:b/>
          <w:bCs/>
          <w:color w:val="202124"/>
          <w:kern w:val="36"/>
          <w:sz w:val="28"/>
          <w:szCs w:val="28"/>
        </w:rPr>
      </w:pPr>
      <w:r w:rsidRPr="005B4E93">
        <w:rPr>
          <w:rFonts w:ascii="Arial" w:eastAsia="Times New Roman" w:hAnsi="Arial" w:cs="Arial"/>
          <w:b/>
          <w:bCs/>
          <w:color w:val="202124"/>
          <w:kern w:val="36"/>
          <w:sz w:val="28"/>
          <w:szCs w:val="28"/>
        </w:rPr>
        <w:t>QS World University Rankings 2025</w:t>
      </w:r>
      <w:r>
        <w:rPr>
          <w:rFonts w:ascii="Arial" w:eastAsia="Times New Roman" w:hAnsi="Arial" w:cs="Arial"/>
          <w:b/>
          <w:bCs/>
          <w:color w:val="202124"/>
          <w:kern w:val="36"/>
          <w:sz w:val="28"/>
          <w:szCs w:val="28"/>
        </w:rPr>
        <w:t xml:space="preserve"> </w:t>
      </w:r>
      <w:r>
        <w:rPr>
          <w:rFonts w:ascii="宋体" w:eastAsia="宋体" w:hAnsi="宋体" w:cs="宋体" w:hint="eastAsia"/>
          <w:b/>
          <w:bCs/>
          <w:color w:val="202124"/>
          <w:kern w:val="36"/>
          <w:sz w:val="28"/>
          <w:szCs w:val="28"/>
        </w:rPr>
        <w:t>数据集介绍</w:t>
      </w:r>
    </w:p>
    <w:p w14:paraId="251DA8D7" w14:textId="77777777" w:rsidR="00F21B5C" w:rsidRPr="004F28B3" w:rsidRDefault="00F21B5C" w:rsidP="00F21B5C">
      <w:pPr>
        <w:pStyle w:val="3"/>
        <w:spacing w:before="0" w:after="120" w:line="300" w:lineRule="atLeast"/>
        <w:textAlignment w:val="baseline"/>
        <w:rPr>
          <w:rFonts w:ascii="Times New Roman" w:hAnsi="Times New Roman" w:cs="Times New Roman"/>
          <w:b/>
          <w:bCs/>
          <w:color w:val="202124"/>
        </w:rPr>
      </w:pPr>
      <w:r w:rsidRPr="004F28B3">
        <w:rPr>
          <w:rFonts w:ascii="Times New Roman" w:hAnsi="Times New Roman" w:cs="Times New Roman"/>
          <w:b/>
          <w:bCs/>
          <w:color w:val="202124"/>
        </w:rPr>
        <w:t>Overview:</w:t>
      </w:r>
    </w:p>
    <w:p w14:paraId="7DE30509" w14:textId="77777777" w:rsidR="00F21B5C" w:rsidRPr="00A661FD" w:rsidRDefault="00F21B5C" w:rsidP="00F21B5C">
      <w:pPr>
        <w:pStyle w:val="a3"/>
        <w:spacing w:before="0" w:beforeAutospacing="0" w:after="240" w:afterAutospacing="0"/>
        <w:textAlignment w:val="baseline"/>
        <w:rPr>
          <w:color w:val="3C4043"/>
          <w:sz w:val="21"/>
          <w:szCs w:val="21"/>
        </w:rPr>
      </w:pPr>
      <w:r w:rsidRPr="00A661FD">
        <w:rPr>
          <w:color w:val="3C4043"/>
          <w:sz w:val="21"/>
          <w:szCs w:val="21"/>
        </w:rPr>
        <w:t>This dataset provides a comprehensive overview of the QS World University Rankings for the year 2025, encompassing data on over 1,500 universities from 105 education systems worldwide. It includes institutional characteristics, regional classification, and a variety of performance indicators that reflect academic reputation, employability, sustainability, and internationalization.</w:t>
      </w:r>
    </w:p>
    <w:p w14:paraId="09452EAC" w14:textId="77777777" w:rsidR="00F21B5C" w:rsidRPr="00A661FD" w:rsidRDefault="00F21B5C" w:rsidP="00F21B5C">
      <w:pPr>
        <w:pStyle w:val="3"/>
        <w:spacing w:before="360" w:after="120" w:line="300" w:lineRule="atLeast"/>
        <w:textAlignment w:val="baseline"/>
        <w:rPr>
          <w:rFonts w:ascii="Times New Roman" w:hAnsi="Times New Roman" w:cs="Times New Roman"/>
          <w:b/>
          <w:bCs/>
          <w:color w:val="202124"/>
        </w:rPr>
      </w:pPr>
      <w:r w:rsidRPr="00A661FD">
        <w:rPr>
          <w:rFonts w:ascii="Times New Roman" w:hAnsi="Times New Roman" w:cs="Times New Roman"/>
          <w:b/>
          <w:bCs/>
          <w:color w:val="202124"/>
        </w:rPr>
        <w:t>Dataset Details:</w:t>
      </w:r>
    </w:p>
    <w:p w14:paraId="3E1C2E76" w14:textId="77777777" w:rsidR="00F21B5C" w:rsidRPr="00A661FD" w:rsidRDefault="00F21B5C" w:rsidP="00F21B5C">
      <w:pPr>
        <w:pStyle w:val="a3"/>
        <w:spacing w:before="0" w:beforeAutospacing="0" w:after="240" w:afterAutospacing="0"/>
        <w:textAlignment w:val="baseline"/>
        <w:rPr>
          <w:color w:val="3C4043"/>
          <w:sz w:val="21"/>
          <w:szCs w:val="21"/>
        </w:rPr>
      </w:pPr>
      <w:r w:rsidRPr="00A661FD">
        <w:rPr>
          <w:color w:val="3C4043"/>
          <w:sz w:val="21"/>
          <w:szCs w:val="21"/>
        </w:rPr>
        <w:t>The dataset includes institutional rankings for both 2025 and 2024, alongside scores and ranks for numerous metrics used to evaluate universities. These metrics offer insight into academic quality, research output, international engagement, and employment outcomes.</w:t>
      </w:r>
    </w:p>
    <w:p w14:paraId="1A51F480" w14:textId="77777777" w:rsidR="00F21B5C" w:rsidRPr="00F21B5C" w:rsidRDefault="00F21B5C" w:rsidP="00F21B5C">
      <w:pPr>
        <w:pStyle w:val="3"/>
        <w:spacing w:before="360" w:after="120" w:line="300" w:lineRule="atLeast"/>
        <w:textAlignment w:val="baseline"/>
        <w:rPr>
          <w:rFonts w:ascii="Times New Roman" w:hAnsi="Times New Roman" w:cs="Times New Roman"/>
          <w:b/>
          <w:bCs/>
          <w:color w:val="202124"/>
        </w:rPr>
      </w:pPr>
      <w:r w:rsidRPr="00F21B5C">
        <w:rPr>
          <w:rFonts w:ascii="Times New Roman" w:hAnsi="Times New Roman" w:cs="Times New Roman"/>
          <w:b/>
          <w:bCs/>
          <w:color w:val="202124"/>
        </w:rPr>
        <w:t>Schema and Column Descriptions:</w:t>
      </w:r>
    </w:p>
    <w:tbl>
      <w:tblPr>
        <w:tblW w:w="0" w:type="auto"/>
        <w:tblCellSpacing w:w="15" w:type="dxa"/>
        <w:tblBorders>
          <w:top w:val="single" w:sz="6" w:space="0" w:color="DADCE0"/>
          <w:left w:val="single" w:sz="6" w:space="0" w:color="DADCE0"/>
          <w:bottom w:val="single" w:sz="6" w:space="0" w:color="DADCE0"/>
          <w:right w:val="single" w:sz="6" w:space="0" w:color="DADCE0"/>
        </w:tblBorders>
        <w:tblCellMar>
          <w:left w:w="0" w:type="dxa"/>
          <w:right w:w="0" w:type="dxa"/>
        </w:tblCellMar>
        <w:tblLook w:val="04A0" w:firstRow="1" w:lastRow="0" w:firstColumn="1" w:lastColumn="0" w:noHBand="0" w:noVBand="1"/>
      </w:tblPr>
      <w:tblGrid>
        <w:gridCol w:w="4035"/>
        <w:gridCol w:w="4811"/>
      </w:tblGrid>
      <w:tr w:rsidR="00F21B5C" w14:paraId="0E65C233" w14:textId="77777777" w:rsidTr="00F21B5C">
        <w:trPr>
          <w:trHeight w:val="567"/>
          <w:tblHeade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551D8753" w14:textId="77777777" w:rsidR="00F21B5C" w:rsidRDefault="00F21B5C">
            <w:pPr>
              <w:spacing w:line="360" w:lineRule="atLeast"/>
              <w:jc w:val="center"/>
              <w:rPr>
                <w:rFonts w:ascii="inherit" w:hAnsi="inherit" w:cs="Arial"/>
                <w:b/>
                <w:bCs/>
                <w:color w:val="3C4043"/>
                <w:szCs w:val="21"/>
              </w:rPr>
            </w:pPr>
            <w:r>
              <w:rPr>
                <w:rFonts w:ascii="inherit" w:hAnsi="inherit" w:cs="Arial"/>
                <w:b/>
                <w:bCs/>
                <w:color w:val="3C4043"/>
                <w:szCs w:val="21"/>
              </w:rPr>
              <w:t>Column Name</w:t>
            </w:r>
          </w:p>
        </w:tc>
        <w:tc>
          <w:tcPr>
            <w:tcW w:w="0" w:type="auto"/>
            <w:tcBorders>
              <w:top w:val="nil"/>
              <w:left w:val="nil"/>
              <w:bottom w:val="nil"/>
              <w:right w:val="nil"/>
            </w:tcBorders>
            <w:tcMar>
              <w:top w:w="240" w:type="dxa"/>
              <w:left w:w="240" w:type="dxa"/>
              <w:bottom w:w="240" w:type="dxa"/>
              <w:right w:w="240" w:type="dxa"/>
            </w:tcMar>
            <w:vAlign w:val="center"/>
            <w:hideMark/>
          </w:tcPr>
          <w:p w14:paraId="68DD572A" w14:textId="77777777" w:rsidR="00F21B5C" w:rsidRDefault="00F21B5C">
            <w:pPr>
              <w:spacing w:line="360" w:lineRule="atLeast"/>
              <w:jc w:val="center"/>
              <w:rPr>
                <w:rFonts w:ascii="inherit" w:hAnsi="inherit" w:cs="Arial"/>
                <w:b/>
                <w:bCs/>
                <w:color w:val="3C4043"/>
                <w:szCs w:val="21"/>
              </w:rPr>
            </w:pPr>
            <w:r>
              <w:rPr>
                <w:rFonts w:ascii="inherit" w:hAnsi="inherit" w:cs="Arial"/>
                <w:b/>
                <w:bCs/>
                <w:color w:val="3C4043"/>
                <w:szCs w:val="21"/>
              </w:rPr>
              <w:t>Description</w:t>
            </w:r>
          </w:p>
        </w:tc>
      </w:tr>
      <w:tr w:rsidR="00F21B5C" w14:paraId="793149D6" w14:textId="77777777" w:rsidTr="00F21B5C">
        <w:trPr>
          <w:trHeight w:val="56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0D7CD21" w14:textId="77777777" w:rsidR="00F21B5C" w:rsidRDefault="00F21B5C">
            <w:pPr>
              <w:jc w:val="left"/>
              <w:rPr>
                <w:rFonts w:ascii="inherit" w:hAnsi="inherit" w:cs="Arial"/>
                <w:color w:val="202124"/>
                <w:szCs w:val="21"/>
              </w:rPr>
            </w:pPr>
            <w:r>
              <w:rPr>
                <w:rFonts w:ascii="inherit" w:hAnsi="inherit" w:cs="Arial"/>
                <w:color w:val="202124"/>
                <w:szCs w:val="21"/>
              </w:rPr>
              <w:t>RANK_2025</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1E56A72" w14:textId="77777777" w:rsidR="00F21B5C" w:rsidRDefault="00F21B5C">
            <w:pPr>
              <w:rPr>
                <w:rFonts w:ascii="inherit" w:hAnsi="inherit" w:cs="Arial"/>
                <w:color w:val="202124"/>
                <w:szCs w:val="21"/>
              </w:rPr>
            </w:pPr>
            <w:r>
              <w:rPr>
                <w:rFonts w:ascii="inherit" w:hAnsi="inherit" w:cs="Arial"/>
                <w:color w:val="202124"/>
                <w:szCs w:val="21"/>
              </w:rPr>
              <w:t>University’s overall rank in the 2025 QS World University Rankings</w:t>
            </w:r>
          </w:p>
        </w:tc>
      </w:tr>
      <w:tr w:rsidR="00F21B5C" w14:paraId="72656F49" w14:textId="77777777" w:rsidTr="00F21B5C">
        <w:trPr>
          <w:trHeight w:val="56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2EAA04F" w14:textId="77777777" w:rsidR="00F21B5C" w:rsidRDefault="00F21B5C">
            <w:pPr>
              <w:rPr>
                <w:rFonts w:ascii="inherit" w:hAnsi="inherit" w:cs="Arial"/>
                <w:color w:val="202124"/>
                <w:szCs w:val="21"/>
              </w:rPr>
            </w:pPr>
            <w:r>
              <w:rPr>
                <w:rFonts w:ascii="inherit" w:hAnsi="inherit" w:cs="Arial"/>
                <w:color w:val="202124"/>
                <w:szCs w:val="21"/>
              </w:rPr>
              <w:t>RANK_2024</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E14E36C" w14:textId="77777777" w:rsidR="00F21B5C" w:rsidRDefault="00F21B5C">
            <w:pPr>
              <w:rPr>
                <w:rFonts w:ascii="inherit" w:hAnsi="inherit" w:cs="Arial"/>
                <w:color w:val="202124"/>
                <w:szCs w:val="21"/>
              </w:rPr>
            </w:pPr>
            <w:r>
              <w:rPr>
                <w:rFonts w:ascii="inherit" w:hAnsi="inherit" w:cs="Arial"/>
                <w:color w:val="202124"/>
                <w:szCs w:val="21"/>
              </w:rPr>
              <w:t>University’s overall rank in the 2024 QS Rankings</w:t>
            </w:r>
          </w:p>
        </w:tc>
      </w:tr>
      <w:tr w:rsidR="00F21B5C" w14:paraId="6F20264A" w14:textId="77777777" w:rsidTr="00F21B5C">
        <w:trPr>
          <w:trHeight w:val="56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86B478B" w14:textId="77777777" w:rsidR="00F21B5C" w:rsidRDefault="00F21B5C">
            <w:pPr>
              <w:rPr>
                <w:rFonts w:ascii="inherit" w:hAnsi="inherit" w:cs="Arial"/>
                <w:color w:val="202124"/>
                <w:szCs w:val="21"/>
              </w:rPr>
            </w:pPr>
            <w:proofErr w:type="spellStart"/>
            <w:r>
              <w:rPr>
                <w:rFonts w:ascii="inherit" w:hAnsi="inherit" w:cs="Arial"/>
                <w:color w:val="202124"/>
                <w:szCs w:val="21"/>
              </w:rPr>
              <w:t>Institution_Name</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6A47B70" w14:textId="77777777" w:rsidR="00F21B5C" w:rsidRDefault="00F21B5C">
            <w:pPr>
              <w:rPr>
                <w:rFonts w:ascii="inherit" w:hAnsi="inherit" w:cs="Arial"/>
                <w:color w:val="202124"/>
                <w:szCs w:val="21"/>
              </w:rPr>
            </w:pPr>
            <w:r>
              <w:rPr>
                <w:rFonts w:ascii="inherit" w:hAnsi="inherit" w:cs="Arial"/>
                <w:color w:val="202124"/>
                <w:szCs w:val="21"/>
              </w:rPr>
              <w:t>Name of the university or institution</w:t>
            </w:r>
          </w:p>
        </w:tc>
      </w:tr>
      <w:tr w:rsidR="00F21B5C" w14:paraId="58C7661C" w14:textId="77777777" w:rsidTr="00F21B5C">
        <w:trPr>
          <w:trHeight w:val="56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F69E456" w14:textId="77777777" w:rsidR="00F21B5C" w:rsidRDefault="00F21B5C">
            <w:pPr>
              <w:rPr>
                <w:rFonts w:ascii="inherit" w:hAnsi="inherit" w:cs="Arial"/>
                <w:color w:val="202124"/>
                <w:szCs w:val="21"/>
              </w:rPr>
            </w:pPr>
            <w:r>
              <w:rPr>
                <w:rFonts w:ascii="inherit" w:hAnsi="inherit" w:cs="Arial"/>
                <w:color w:val="202124"/>
                <w:szCs w:val="21"/>
              </w:rPr>
              <w:t>Location</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C699008" w14:textId="77777777" w:rsidR="00F21B5C" w:rsidRDefault="00F21B5C">
            <w:pPr>
              <w:rPr>
                <w:rFonts w:ascii="inherit" w:hAnsi="inherit" w:cs="Arial"/>
                <w:color w:val="202124"/>
                <w:szCs w:val="21"/>
              </w:rPr>
            </w:pPr>
            <w:r>
              <w:rPr>
                <w:rFonts w:ascii="inherit" w:hAnsi="inherit" w:cs="Arial"/>
                <w:color w:val="202124"/>
                <w:szCs w:val="21"/>
              </w:rPr>
              <w:t>Country in which the institution is located</w:t>
            </w:r>
          </w:p>
        </w:tc>
      </w:tr>
      <w:tr w:rsidR="00F21B5C" w14:paraId="54376CD3" w14:textId="77777777" w:rsidTr="00F21B5C">
        <w:trPr>
          <w:trHeight w:val="56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4A52CE4" w14:textId="77777777" w:rsidR="00F21B5C" w:rsidRDefault="00F21B5C">
            <w:pPr>
              <w:rPr>
                <w:rFonts w:ascii="inherit" w:hAnsi="inherit" w:cs="Arial"/>
                <w:color w:val="202124"/>
                <w:szCs w:val="21"/>
              </w:rPr>
            </w:pPr>
            <w:r>
              <w:rPr>
                <w:rFonts w:ascii="inherit" w:hAnsi="inherit" w:cs="Arial"/>
                <w:color w:val="202124"/>
                <w:szCs w:val="21"/>
              </w:rPr>
              <w:t>Region</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FB8162B" w14:textId="77777777" w:rsidR="00F21B5C" w:rsidRDefault="00F21B5C">
            <w:pPr>
              <w:rPr>
                <w:rFonts w:ascii="inherit" w:hAnsi="inherit" w:cs="Arial"/>
                <w:color w:val="202124"/>
                <w:szCs w:val="21"/>
              </w:rPr>
            </w:pPr>
            <w:r>
              <w:rPr>
                <w:rFonts w:ascii="inherit" w:hAnsi="inherit" w:cs="Arial"/>
                <w:color w:val="202124"/>
                <w:szCs w:val="21"/>
              </w:rPr>
              <w:t>Global region (e.g., Europe, Asia, North America)</w:t>
            </w:r>
          </w:p>
        </w:tc>
      </w:tr>
      <w:tr w:rsidR="00F21B5C" w14:paraId="43E224A7" w14:textId="77777777" w:rsidTr="00F21B5C">
        <w:trPr>
          <w:trHeight w:val="56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D56C892" w14:textId="77777777" w:rsidR="00F21B5C" w:rsidRDefault="00F21B5C">
            <w:pPr>
              <w:rPr>
                <w:rFonts w:ascii="inherit" w:hAnsi="inherit" w:cs="Arial"/>
                <w:color w:val="202124"/>
                <w:szCs w:val="21"/>
              </w:rPr>
            </w:pPr>
            <w:r>
              <w:rPr>
                <w:rFonts w:ascii="inherit" w:hAnsi="inherit" w:cs="Arial"/>
                <w:color w:val="202124"/>
                <w:szCs w:val="21"/>
              </w:rPr>
              <w:t>SIZE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55974C9" w14:textId="77777777" w:rsidR="00F21B5C" w:rsidRDefault="00F21B5C">
            <w:pPr>
              <w:rPr>
                <w:rFonts w:ascii="inherit" w:hAnsi="inherit" w:cs="Arial"/>
                <w:color w:val="202124"/>
                <w:szCs w:val="21"/>
              </w:rPr>
            </w:pPr>
            <w:r>
              <w:rPr>
                <w:rFonts w:ascii="inherit" w:hAnsi="inherit" w:cs="Arial"/>
                <w:color w:val="202124"/>
                <w:szCs w:val="21"/>
              </w:rPr>
              <w:t>Size classification of the institution (e.g., S, M, L, XL)</w:t>
            </w:r>
          </w:p>
        </w:tc>
      </w:tr>
      <w:tr w:rsidR="00F21B5C" w14:paraId="407840FC" w14:textId="77777777" w:rsidTr="00F21B5C">
        <w:trPr>
          <w:trHeight w:val="56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5A4E825" w14:textId="77777777" w:rsidR="00F21B5C" w:rsidRDefault="00F21B5C">
            <w:pPr>
              <w:rPr>
                <w:rFonts w:ascii="inherit" w:hAnsi="inherit" w:cs="Arial"/>
                <w:color w:val="202124"/>
                <w:szCs w:val="21"/>
              </w:rPr>
            </w:pPr>
            <w:r>
              <w:rPr>
                <w:rFonts w:ascii="inherit" w:hAnsi="inherit" w:cs="Arial"/>
                <w:color w:val="202124"/>
                <w:szCs w:val="21"/>
              </w:rPr>
              <w:lastRenderedPageBreak/>
              <w:t>FOCUS</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26AA63D" w14:textId="77777777" w:rsidR="00F21B5C" w:rsidRDefault="00F21B5C">
            <w:pPr>
              <w:rPr>
                <w:rFonts w:ascii="inherit" w:hAnsi="inherit" w:cs="Arial"/>
                <w:color w:val="202124"/>
                <w:szCs w:val="21"/>
              </w:rPr>
            </w:pPr>
            <w:r>
              <w:rPr>
                <w:rFonts w:ascii="inherit" w:hAnsi="inherit" w:cs="Arial"/>
                <w:color w:val="202124"/>
                <w:szCs w:val="21"/>
              </w:rPr>
              <w:t>Focus type (e.g., Comprehensive, Focused)</w:t>
            </w:r>
          </w:p>
        </w:tc>
      </w:tr>
      <w:tr w:rsidR="00F21B5C" w14:paraId="5314A9CB" w14:textId="77777777" w:rsidTr="00F21B5C">
        <w:trPr>
          <w:trHeight w:val="56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061E0AE" w14:textId="77777777" w:rsidR="00F21B5C" w:rsidRDefault="00F21B5C">
            <w:pPr>
              <w:rPr>
                <w:rFonts w:ascii="inherit" w:hAnsi="inherit" w:cs="Arial"/>
                <w:color w:val="202124"/>
                <w:szCs w:val="21"/>
              </w:rPr>
            </w:pPr>
            <w:r>
              <w:rPr>
                <w:rFonts w:ascii="inherit" w:hAnsi="inherit" w:cs="Arial"/>
                <w:color w:val="202124"/>
                <w:szCs w:val="21"/>
              </w:rPr>
              <w:t>RES.</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5F56AF3" w14:textId="77777777" w:rsidR="00F21B5C" w:rsidRDefault="00F21B5C">
            <w:pPr>
              <w:rPr>
                <w:rFonts w:ascii="inherit" w:hAnsi="inherit" w:cs="Arial"/>
                <w:color w:val="202124"/>
                <w:szCs w:val="21"/>
              </w:rPr>
            </w:pPr>
            <w:r>
              <w:rPr>
                <w:rFonts w:ascii="inherit" w:hAnsi="inherit" w:cs="Arial"/>
                <w:color w:val="202124"/>
                <w:szCs w:val="21"/>
              </w:rPr>
              <w:t>Research intensity (e.g., Very High, High)</w:t>
            </w:r>
          </w:p>
        </w:tc>
      </w:tr>
      <w:tr w:rsidR="00F21B5C" w14:paraId="04681D8B" w14:textId="77777777" w:rsidTr="00F21B5C">
        <w:trPr>
          <w:trHeight w:val="56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AC2AF74" w14:textId="77777777" w:rsidR="00F21B5C" w:rsidRDefault="00F21B5C">
            <w:pPr>
              <w:rPr>
                <w:rFonts w:ascii="inherit" w:hAnsi="inherit" w:cs="Arial"/>
                <w:color w:val="202124"/>
                <w:szCs w:val="21"/>
              </w:rPr>
            </w:pPr>
            <w:r>
              <w:rPr>
                <w:rFonts w:ascii="inherit" w:hAnsi="inherit" w:cs="Arial"/>
                <w:color w:val="202124"/>
                <w:szCs w:val="21"/>
              </w:rPr>
              <w:t>STATUS</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9D1E5C1" w14:textId="77777777" w:rsidR="00F21B5C" w:rsidRDefault="00F21B5C">
            <w:pPr>
              <w:rPr>
                <w:rFonts w:ascii="inherit" w:hAnsi="inherit" w:cs="Arial"/>
                <w:color w:val="202124"/>
                <w:szCs w:val="21"/>
              </w:rPr>
            </w:pPr>
            <w:r>
              <w:rPr>
                <w:rFonts w:ascii="inherit" w:hAnsi="inherit" w:cs="Arial"/>
                <w:color w:val="202124"/>
                <w:szCs w:val="21"/>
              </w:rPr>
              <w:t>Status of the institution (e.g., Public, Private)</w:t>
            </w:r>
          </w:p>
        </w:tc>
      </w:tr>
      <w:tr w:rsidR="00F21B5C" w14:paraId="1F51DA93" w14:textId="77777777" w:rsidTr="00F21B5C">
        <w:trPr>
          <w:trHeight w:val="56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9421DDC" w14:textId="77777777" w:rsidR="00F21B5C" w:rsidRDefault="00F21B5C">
            <w:pPr>
              <w:rPr>
                <w:rFonts w:ascii="inherit" w:hAnsi="inherit" w:cs="Arial"/>
                <w:color w:val="202124"/>
                <w:szCs w:val="21"/>
              </w:rPr>
            </w:pPr>
            <w:proofErr w:type="spellStart"/>
            <w:r>
              <w:rPr>
                <w:rFonts w:ascii="inherit" w:hAnsi="inherit" w:cs="Arial"/>
                <w:color w:val="202124"/>
                <w:szCs w:val="21"/>
              </w:rPr>
              <w:t>Academic_Reputation_Score</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8805BE2" w14:textId="77777777" w:rsidR="00F21B5C" w:rsidRDefault="00F21B5C">
            <w:pPr>
              <w:rPr>
                <w:rFonts w:ascii="inherit" w:hAnsi="inherit" w:cs="Arial"/>
                <w:color w:val="202124"/>
                <w:szCs w:val="21"/>
              </w:rPr>
            </w:pPr>
            <w:r>
              <w:rPr>
                <w:rFonts w:ascii="inherit" w:hAnsi="inherit" w:cs="Arial"/>
                <w:color w:val="202124"/>
                <w:szCs w:val="21"/>
              </w:rPr>
              <w:t>Score based on global academic reputation survey</w:t>
            </w:r>
          </w:p>
        </w:tc>
      </w:tr>
      <w:tr w:rsidR="00F21B5C" w14:paraId="7AEF7B6E" w14:textId="77777777" w:rsidTr="00F21B5C">
        <w:trPr>
          <w:trHeight w:val="56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23AFB57" w14:textId="77777777" w:rsidR="00F21B5C" w:rsidRDefault="00F21B5C">
            <w:pPr>
              <w:rPr>
                <w:rFonts w:ascii="inherit" w:hAnsi="inherit" w:cs="Arial"/>
                <w:color w:val="202124"/>
                <w:szCs w:val="21"/>
              </w:rPr>
            </w:pPr>
            <w:proofErr w:type="spellStart"/>
            <w:r>
              <w:rPr>
                <w:rFonts w:ascii="inherit" w:hAnsi="inherit" w:cs="Arial"/>
                <w:color w:val="202124"/>
                <w:szCs w:val="21"/>
              </w:rPr>
              <w:t>Academic_Reputation_Rank</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BC90C73" w14:textId="77777777" w:rsidR="00F21B5C" w:rsidRDefault="00F21B5C">
            <w:pPr>
              <w:rPr>
                <w:rFonts w:ascii="inherit" w:hAnsi="inherit" w:cs="Arial"/>
                <w:color w:val="202124"/>
                <w:szCs w:val="21"/>
              </w:rPr>
            </w:pPr>
            <w:r>
              <w:rPr>
                <w:rFonts w:ascii="inherit" w:hAnsi="inherit" w:cs="Arial"/>
                <w:color w:val="202124"/>
                <w:szCs w:val="21"/>
              </w:rPr>
              <w:t>Rank based on academic reputation</w:t>
            </w:r>
          </w:p>
        </w:tc>
      </w:tr>
      <w:tr w:rsidR="00F21B5C" w14:paraId="0AE7CE1F" w14:textId="77777777" w:rsidTr="00F21B5C">
        <w:trPr>
          <w:trHeight w:val="56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05F1B21" w14:textId="77777777" w:rsidR="00F21B5C" w:rsidRDefault="00F21B5C">
            <w:pPr>
              <w:rPr>
                <w:rFonts w:ascii="inherit" w:hAnsi="inherit" w:cs="Arial"/>
                <w:color w:val="202124"/>
                <w:szCs w:val="21"/>
              </w:rPr>
            </w:pPr>
            <w:proofErr w:type="spellStart"/>
            <w:r>
              <w:rPr>
                <w:rFonts w:ascii="inherit" w:hAnsi="inherit" w:cs="Arial"/>
                <w:color w:val="202124"/>
                <w:szCs w:val="21"/>
              </w:rPr>
              <w:t>Employer_Reputation_Score</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BA097AE" w14:textId="77777777" w:rsidR="00F21B5C" w:rsidRDefault="00F21B5C">
            <w:pPr>
              <w:rPr>
                <w:rFonts w:ascii="inherit" w:hAnsi="inherit" w:cs="Arial"/>
                <w:color w:val="202124"/>
                <w:szCs w:val="21"/>
              </w:rPr>
            </w:pPr>
            <w:r>
              <w:rPr>
                <w:rFonts w:ascii="inherit" w:hAnsi="inherit" w:cs="Arial"/>
                <w:color w:val="202124"/>
                <w:szCs w:val="21"/>
              </w:rPr>
              <w:t>Score based on global employer reputation survey</w:t>
            </w:r>
          </w:p>
        </w:tc>
      </w:tr>
      <w:tr w:rsidR="00F21B5C" w14:paraId="2ADAAC6E" w14:textId="77777777" w:rsidTr="00F21B5C">
        <w:trPr>
          <w:trHeight w:val="56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9DB41EA" w14:textId="77777777" w:rsidR="00F21B5C" w:rsidRDefault="00F21B5C">
            <w:pPr>
              <w:rPr>
                <w:rFonts w:ascii="inherit" w:hAnsi="inherit" w:cs="Arial"/>
                <w:color w:val="202124"/>
                <w:szCs w:val="21"/>
              </w:rPr>
            </w:pPr>
            <w:proofErr w:type="spellStart"/>
            <w:r>
              <w:rPr>
                <w:rFonts w:ascii="inherit" w:hAnsi="inherit" w:cs="Arial"/>
                <w:color w:val="202124"/>
                <w:szCs w:val="21"/>
              </w:rPr>
              <w:t>Employer_Reputation_Rank</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B7CB939" w14:textId="77777777" w:rsidR="00F21B5C" w:rsidRDefault="00F21B5C">
            <w:pPr>
              <w:rPr>
                <w:rFonts w:ascii="inherit" w:hAnsi="inherit" w:cs="Arial"/>
                <w:color w:val="202124"/>
                <w:szCs w:val="21"/>
              </w:rPr>
            </w:pPr>
            <w:r>
              <w:rPr>
                <w:rFonts w:ascii="inherit" w:hAnsi="inherit" w:cs="Arial"/>
                <w:color w:val="202124"/>
                <w:szCs w:val="21"/>
              </w:rPr>
              <w:t>Rank based on employer reputation</w:t>
            </w:r>
          </w:p>
        </w:tc>
      </w:tr>
      <w:tr w:rsidR="00F21B5C" w14:paraId="4030F853" w14:textId="77777777" w:rsidTr="00F21B5C">
        <w:trPr>
          <w:trHeight w:val="56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215C105" w14:textId="77777777" w:rsidR="00F21B5C" w:rsidRDefault="00F21B5C">
            <w:pPr>
              <w:rPr>
                <w:rFonts w:ascii="inherit" w:hAnsi="inherit" w:cs="Arial"/>
                <w:color w:val="202124"/>
                <w:szCs w:val="21"/>
              </w:rPr>
            </w:pPr>
            <w:proofErr w:type="spellStart"/>
            <w:r>
              <w:rPr>
                <w:rFonts w:ascii="inherit" w:hAnsi="inherit" w:cs="Arial"/>
                <w:color w:val="202124"/>
                <w:szCs w:val="21"/>
              </w:rPr>
              <w:t>Faculty_Student_Score</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79A941D" w14:textId="77777777" w:rsidR="00F21B5C" w:rsidRDefault="00F21B5C">
            <w:pPr>
              <w:rPr>
                <w:rFonts w:ascii="inherit" w:hAnsi="inherit" w:cs="Arial"/>
                <w:color w:val="202124"/>
                <w:szCs w:val="21"/>
              </w:rPr>
            </w:pPr>
            <w:r>
              <w:rPr>
                <w:rFonts w:ascii="inherit" w:hAnsi="inherit" w:cs="Arial"/>
                <w:color w:val="202124"/>
                <w:szCs w:val="21"/>
              </w:rPr>
              <w:t>Score reflecting student-to-faculty ratio</w:t>
            </w:r>
          </w:p>
        </w:tc>
      </w:tr>
      <w:tr w:rsidR="00F21B5C" w14:paraId="3E7D30BF" w14:textId="77777777" w:rsidTr="00F21B5C">
        <w:trPr>
          <w:trHeight w:val="56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1B34F30" w14:textId="77777777" w:rsidR="00F21B5C" w:rsidRDefault="00F21B5C">
            <w:pPr>
              <w:rPr>
                <w:rFonts w:ascii="inherit" w:hAnsi="inherit" w:cs="Arial"/>
                <w:color w:val="202124"/>
                <w:szCs w:val="21"/>
              </w:rPr>
            </w:pPr>
            <w:proofErr w:type="spellStart"/>
            <w:r>
              <w:rPr>
                <w:rFonts w:ascii="inherit" w:hAnsi="inherit" w:cs="Arial"/>
                <w:color w:val="202124"/>
                <w:szCs w:val="21"/>
              </w:rPr>
              <w:t>Faculty_Student_Rank</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6F19F68" w14:textId="77777777" w:rsidR="00F21B5C" w:rsidRDefault="00F21B5C">
            <w:pPr>
              <w:rPr>
                <w:rFonts w:ascii="inherit" w:hAnsi="inherit" w:cs="Arial"/>
                <w:color w:val="202124"/>
                <w:szCs w:val="21"/>
              </w:rPr>
            </w:pPr>
            <w:r>
              <w:rPr>
                <w:rFonts w:ascii="inherit" w:hAnsi="inherit" w:cs="Arial"/>
                <w:color w:val="202124"/>
                <w:szCs w:val="21"/>
              </w:rPr>
              <w:t>Rank based on faculty-student ratio</w:t>
            </w:r>
          </w:p>
        </w:tc>
      </w:tr>
      <w:tr w:rsidR="00F21B5C" w14:paraId="38C49BA3" w14:textId="77777777" w:rsidTr="00F21B5C">
        <w:trPr>
          <w:trHeight w:val="56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3C3F2AA" w14:textId="77777777" w:rsidR="00F21B5C" w:rsidRDefault="00F21B5C">
            <w:pPr>
              <w:rPr>
                <w:rFonts w:ascii="inherit" w:hAnsi="inherit" w:cs="Arial"/>
                <w:color w:val="202124"/>
                <w:szCs w:val="21"/>
              </w:rPr>
            </w:pPr>
            <w:proofErr w:type="spellStart"/>
            <w:r>
              <w:rPr>
                <w:rFonts w:ascii="inherit" w:hAnsi="inherit" w:cs="Arial"/>
                <w:color w:val="202124"/>
                <w:szCs w:val="21"/>
              </w:rPr>
              <w:t>Citations_per_Faculty_Score</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F415772" w14:textId="77777777" w:rsidR="00F21B5C" w:rsidRDefault="00F21B5C">
            <w:pPr>
              <w:rPr>
                <w:rFonts w:ascii="inherit" w:hAnsi="inherit" w:cs="Arial"/>
                <w:color w:val="202124"/>
                <w:szCs w:val="21"/>
              </w:rPr>
            </w:pPr>
            <w:r>
              <w:rPr>
                <w:rFonts w:ascii="inherit" w:hAnsi="inherit" w:cs="Arial"/>
                <w:color w:val="202124"/>
                <w:szCs w:val="21"/>
              </w:rPr>
              <w:t>Score reflecting research impact (citations per faculty)</w:t>
            </w:r>
          </w:p>
        </w:tc>
      </w:tr>
      <w:tr w:rsidR="00F21B5C" w14:paraId="6908CFCD" w14:textId="77777777" w:rsidTr="00F21B5C">
        <w:trPr>
          <w:trHeight w:val="56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993935B" w14:textId="77777777" w:rsidR="00F21B5C" w:rsidRDefault="00F21B5C">
            <w:pPr>
              <w:rPr>
                <w:rFonts w:ascii="inherit" w:hAnsi="inherit" w:cs="Arial"/>
                <w:color w:val="202124"/>
                <w:szCs w:val="21"/>
              </w:rPr>
            </w:pPr>
            <w:proofErr w:type="spellStart"/>
            <w:r>
              <w:rPr>
                <w:rFonts w:ascii="inherit" w:hAnsi="inherit" w:cs="Arial"/>
                <w:color w:val="202124"/>
                <w:szCs w:val="21"/>
              </w:rPr>
              <w:t>Citations_per_Faculty_Rank</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D88ED69" w14:textId="77777777" w:rsidR="00F21B5C" w:rsidRDefault="00F21B5C">
            <w:pPr>
              <w:rPr>
                <w:rFonts w:ascii="inherit" w:hAnsi="inherit" w:cs="Arial"/>
                <w:color w:val="202124"/>
                <w:szCs w:val="21"/>
              </w:rPr>
            </w:pPr>
            <w:r>
              <w:rPr>
                <w:rFonts w:ascii="inherit" w:hAnsi="inherit" w:cs="Arial"/>
                <w:color w:val="202124"/>
                <w:szCs w:val="21"/>
              </w:rPr>
              <w:t>Rank based on citations per faculty</w:t>
            </w:r>
          </w:p>
        </w:tc>
      </w:tr>
      <w:tr w:rsidR="00F21B5C" w14:paraId="5A52BF55" w14:textId="77777777" w:rsidTr="00F21B5C">
        <w:trPr>
          <w:trHeight w:val="56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218D294" w14:textId="77777777" w:rsidR="00F21B5C" w:rsidRDefault="00F21B5C">
            <w:pPr>
              <w:rPr>
                <w:rFonts w:ascii="inherit" w:hAnsi="inherit" w:cs="Arial"/>
                <w:color w:val="202124"/>
                <w:szCs w:val="21"/>
              </w:rPr>
            </w:pPr>
            <w:proofErr w:type="spellStart"/>
            <w:r>
              <w:rPr>
                <w:rFonts w:ascii="inherit" w:hAnsi="inherit" w:cs="Arial"/>
                <w:color w:val="202124"/>
                <w:szCs w:val="21"/>
              </w:rPr>
              <w:lastRenderedPageBreak/>
              <w:t>International_Faculty_Score</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D5328D8" w14:textId="77777777" w:rsidR="00F21B5C" w:rsidRDefault="00F21B5C">
            <w:pPr>
              <w:rPr>
                <w:rFonts w:ascii="inherit" w:hAnsi="inherit" w:cs="Arial"/>
                <w:color w:val="202124"/>
                <w:szCs w:val="21"/>
              </w:rPr>
            </w:pPr>
            <w:r>
              <w:rPr>
                <w:rFonts w:ascii="inherit" w:hAnsi="inherit" w:cs="Arial"/>
                <w:color w:val="202124"/>
                <w:szCs w:val="21"/>
              </w:rPr>
              <w:t>Score representing international diversity of faculty</w:t>
            </w:r>
          </w:p>
        </w:tc>
      </w:tr>
      <w:tr w:rsidR="00F21B5C" w14:paraId="4A45A282" w14:textId="77777777" w:rsidTr="00F21B5C">
        <w:trPr>
          <w:trHeight w:val="56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3830A0E" w14:textId="77777777" w:rsidR="00F21B5C" w:rsidRDefault="00F21B5C">
            <w:pPr>
              <w:rPr>
                <w:rFonts w:ascii="inherit" w:hAnsi="inherit" w:cs="Arial"/>
                <w:color w:val="202124"/>
                <w:szCs w:val="21"/>
              </w:rPr>
            </w:pPr>
            <w:proofErr w:type="spellStart"/>
            <w:r>
              <w:rPr>
                <w:rFonts w:ascii="inherit" w:hAnsi="inherit" w:cs="Arial"/>
                <w:color w:val="202124"/>
                <w:szCs w:val="21"/>
              </w:rPr>
              <w:t>International_Faculty_Rank</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5257D53" w14:textId="77777777" w:rsidR="00F21B5C" w:rsidRDefault="00F21B5C">
            <w:pPr>
              <w:rPr>
                <w:rFonts w:ascii="inherit" w:hAnsi="inherit" w:cs="Arial"/>
                <w:color w:val="202124"/>
                <w:szCs w:val="21"/>
              </w:rPr>
            </w:pPr>
            <w:r>
              <w:rPr>
                <w:rFonts w:ascii="inherit" w:hAnsi="inherit" w:cs="Arial"/>
                <w:color w:val="202124"/>
                <w:szCs w:val="21"/>
              </w:rPr>
              <w:t>Rank based on international faculty presence</w:t>
            </w:r>
          </w:p>
        </w:tc>
      </w:tr>
      <w:tr w:rsidR="00F21B5C" w14:paraId="57253E07" w14:textId="77777777" w:rsidTr="00F21B5C">
        <w:trPr>
          <w:trHeight w:val="56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C782865" w14:textId="77777777" w:rsidR="00F21B5C" w:rsidRDefault="00F21B5C">
            <w:pPr>
              <w:rPr>
                <w:rFonts w:ascii="inherit" w:hAnsi="inherit" w:cs="Arial"/>
                <w:color w:val="202124"/>
                <w:szCs w:val="21"/>
              </w:rPr>
            </w:pPr>
            <w:proofErr w:type="spellStart"/>
            <w:r>
              <w:rPr>
                <w:rFonts w:ascii="inherit" w:hAnsi="inherit" w:cs="Arial"/>
                <w:color w:val="202124"/>
                <w:szCs w:val="21"/>
              </w:rPr>
              <w:t>International_Students_Score</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8B29C5B" w14:textId="77777777" w:rsidR="00F21B5C" w:rsidRDefault="00F21B5C">
            <w:pPr>
              <w:rPr>
                <w:rFonts w:ascii="inherit" w:hAnsi="inherit" w:cs="Arial"/>
                <w:color w:val="202124"/>
                <w:szCs w:val="21"/>
              </w:rPr>
            </w:pPr>
            <w:r>
              <w:rPr>
                <w:rFonts w:ascii="inherit" w:hAnsi="inherit" w:cs="Arial"/>
                <w:color w:val="202124"/>
                <w:szCs w:val="21"/>
              </w:rPr>
              <w:t>Score representing diversity of international students</w:t>
            </w:r>
          </w:p>
        </w:tc>
      </w:tr>
      <w:tr w:rsidR="00F21B5C" w14:paraId="317D1146" w14:textId="77777777" w:rsidTr="00F21B5C">
        <w:trPr>
          <w:trHeight w:val="56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AC96CC2" w14:textId="77777777" w:rsidR="00F21B5C" w:rsidRDefault="00F21B5C">
            <w:pPr>
              <w:rPr>
                <w:rFonts w:ascii="inherit" w:hAnsi="inherit" w:cs="Arial"/>
                <w:color w:val="202124"/>
                <w:szCs w:val="21"/>
              </w:rPr>
            </w:pPr>
            <w:proofErr w:type="spellStart"/>
            <w:r>
              <w:rPr>
                <w:rFonts w:ascii="inherit" w:hAnsi="inherit" w:cs="Arial"/>
                <w:color w:val="202124"/>
                <w:szCs w:val="21"/>
              </w:rPr>
              <w:t>International_Students_Rank</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C5E1CA1" w14:textId="77777777" w:rsidR="00F21B5C" w:rsidRDefault="00F21B5C">
            <w:pPr>
              <w:rPr>
                <w:rFonts w:ascii="inherit" w:hAnsi="inherit" w:cs="Arial"/>
                <w:color w:val="202124"/>
                <w:szCs w:val="21"/>
              </w:rPr>
            </w:pPr>
            <w:r>
              <w:rPr>
                <w:rFonts w:ascii="inherit" w:hAnsi="inherit" w:cs="Arial"/>
                <w:color w:val="202124"/>
                <w:szCs w:val="21"/>
              </w:rPr>
              <w:t>Rank based on international student ratio</w:t>
            </w:r>
          </w:p>
        </w:tc>
      </w:tr>
      <w:tr w:rsidR="00F21B5C" w14:paraId="7C089243" w14:textId="77777777" w:rsidTr="00F21B5C">
        <w:trPr>
          <w:trHeight w:val="56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60C7A88" w14:textId="77777777" w:rsidR="00F21B5C" w:rsidRDefault="00F21B5C">
            <w:pPr>
              <w:rPr>
                <w:rFonts w:ascii="inherit" w:hAnsi="inherit" w:cs="Arial"/>
                <w:color w:val="202124"/>
                <w:szCs w:val="21"/>
              </w:rPr>
            </w:pPr>
            <w:proofErr w:type="spellStart"/>
            <w:r>
              <w:rPr>
                <w:rFonts w:ascii="inherit" w:hAnsi="inherit" w:cs="Arial"/>
                <w:color w:val="202124"/>
                <w:szCs w:val="21"/>
              </w:rPr>
              <w:t>International_Research_Network_Score</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7C56D8D" w14:textId="77777777" w:rsidR="00F21B5C" w:rsidRDefault="00F21B5C">
            <w:pPr>
              <w:rPr>
                <w:rFonts w:ascii="inherit" w:hAnsi="inherit" w:cs="Arial"/>
                <w:color w:val="202124"/>
                <w:szCs w:val="21"/>
              </w:rPr>
            </w:pPr>
            <w:r>
              <w:rPr>
                <w:rFonts w:ascii="inherit" w:hAnsi="inherit" w:cs="Arial"/>
                <w:color w:val="202124"/>
                <w:szCs w:val="21"/>
              </w:rPr>
              <w:t>Score based on global research collaboration</w:t>
            </w:r>
          </w:p>
        </w:tc>
      </w:tr>
      <w:tr w:rsidR="00F21B5C" w14:paraId="7012DADC" w14:textId="77777777" w:rsidTr="00F21B5C">
        <w:trPr>
          <w:trHeight w:val="56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FDFFE96" w14:textId="77777777" w:rsidR="00F21B5C" w:rsidRDefault="00F21B5C">
            <w:pPr>
              <w:rPr>
                <w:rFonts w:ascii="inherit" w:hAnsi="inherit" w:cs="Arial"/>
                <w:color w:val="202124"/>
                <w:szCs w:val="21"/>
              </w:rPr>
            </w:pPr>
            <w:proofErr w:type="spellStart"/>
            <w:r>
              <w:rPr>
                <w:rFonts w:ascii="inherit" w:hAnsi="inherit" w:cs="Arial"/>
                <w:color w:val="202124"/>
                <w:szCs w:val="21"/>
              </w:rPr>
              <w:t>International_Research_Network_Rank</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F36B035" w14:textId="77777777" w:rsidR="00F21B5C" w:rsidRDefault="00F21B5C">
            <w:pPr>
              <w:rPr>
                <w:rFonts w:ascii="inherit" w:hAnsi="inherit" w:cs="Arial"/>
                <w:color w:val="202124"/>
                <w:szCs w:val="21"/>
              </w:rPr>
            </w:pPr>
            <w:r>
              <w:rPr>
                <w:rFonts w:ascii="inherit" w:hAnsi="inherit" w:cs="Arial"/>
                <w:color w:val="202124"/>
                <w:szCs w:val="21"/>
              </w:rPr>
              <w:t>Rank based on international research partnerships</w:t>
            </w:r>
          </w:p>
        </w:tc>
      </w:tr>
      <w:tr w:rsidR="00F21B5C" w14:paraId="622BC2CD" w14:textId="77777777" w:rsidTr="00F21B5C">
        <w:trPr>
          <w:trHeight w:val="56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E6322A2" w14:textId="77777777" w:rsidR="00F21B5C" w:rsidRDefault="00F21B5C">
            <w:pPr>
              <w:rPr>
                <w:rFonts w:ascii="inherit" w:hAnsi="inherit" w:cs="Arial"/>
                <w:color w:val="202124"/>
                <w:szCs w:val="21"/>
              </w:rPr>
            </w:pPr>
            <w:proofErr w:type="spellStart"/>
            <w:r>
              <w:rPr>
                <w:rFonts w:ascii="inherit" w:hAnsi="inherit" w:cs="Arial"/>
                <w:color w:val="202124"/>
                <w:szCs w:val="21"/>
              </w:rPr>
              <w:t>Employment_Outcomes_Score</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C346C4E" w14:textId="77777777" w:rsidR="00F21B5C" w:rsidRDefault="00F21B5C">
            <w:pPr>
              <w:rPr>
                <w:rFonts w:ascii="inherit" w:hAnsi="inherit" w:cs="Arial"/>
                <w:color w:val="202124"/>
                <w:szCs w:val="21"/>
              </w:rPr>
            </w:pPr>
            <w:r>
              <w:rPr>
                <w:rFonts w:ascii="inherit" w:hAnsi="inherit" w:cs="Arial"/>
                <w:color w:val="202124"/>
                <w:szCs w:val="21"/>
              </w:rPr>
              <w:t>Score reflecting graduates’ employability and success</w:t>
            </w:r>
          </w:p>
        </w:tc>
      </w:tr>
      <w:tr w:rsidR="00F21B5C" w14:paraId="5288295B" w14:textId="77777777" w:rsidTr="00F21B5C">
        <w:trPr>
          <w:trHeight w:val="56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3DD23D7" w14:textId="77777777" w:rsidR="00F21B5C" w:rsidRDefault="00F21B5C">
            <w:pPr>
              <w:rPr>
                <w:rFonts w:ascii="inherit" w:hAnsi="inherit" w:cs="Arial"/>
                <w:color w:val="202124"/>
                <w:szCs w:val="21"/>
              </w:rPr>
            </w:pPr>
            <w:proofErr w:type="spellStart"/>
            <w:r>
              <w:rPr>
                <w:rFonts w:ascii="inherit" w:hAnsi="inherit" w:cs="Arial"/>
                <w:color w:val="202124"/>
                <w:szCs w:val="21"/>
              </w:rPr>
              <w:t>Employment_Outcomes_Rank</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5B4C221" w14:textId="77777777" w:rsidR="00F21B5C" w:rsidRDefault="00F21B5C">
            <w:pPr>
              <w:rPr>
                <w:rFonts w:ascii="inherit" w:hAnsi="inherit" w:cs="Arial"/>
                <w:color w:val="202124"/>
                <w:szCs w:val="21"/>
              </w:rPr>
            </w:pPr>
            <w:r>
              <w:rPr>
                <w:rFonts w:ascii="inherit" w:hAnsi="inherit" w:cs="Arial"/>
                <w:color w:val="202124"/>
                <w:szCs w:val="21"/>
              </w:rPr>
              <w:t>Rank based on employment outcomes</w:t>
            </w:r>
          </w:p>
        </w:tc>
      </w:tr>
      <w:tr w:rsidR="00F21B5C" w14:paraId="01D92BB2" w14:textId="77777777" w:rsidTr="00F21B5C">
        <w:trPr>
          <w:trHeight w:val="56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CA758D5" w14:textId="77777777" w:rsidR="00F21B5C" w:rsidRDefault="00F21B5C">
            <w:pPr>
              <w:rPr>
                <w:rFonts w:ascii="inherit" w:hAnsi="inherit" w:cs="Arial"/>
                <w:color w:val="202124"/>
                <w:szCs w:val="21"/>
              </w:rPr>
            </w:pPr>
            <w:proofErr w:type="spellStart"/>
            <w:r>
              <w:rPr>
                <w:rFonts w:ascii="inherit" w:hAnsi="inherit" w:cs="Arial"/>
                <w:color w:val="202124"/>
                <w:szCs w:val="21"/>
              </w:rPr>
              <w:t>Sustainability_Score</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B07B5E0" w14:textId="77777777" w:rsidR="00F21B5C" w:rsidRDefault="00F21B5C">
            <w:pPr>
              <w:rPr>
                <w:rFonts w:ascii="inherit" w:hAnsi="inherit" w:cs="Arial"/>
                <w:color w:val="202124"/>
                <w:szCs w:val="21"/>
              </w:rPr>
            </w:pPr>
            <w:r>
              <w:rPr>
                <w:rFonts w:ascii="inherit" w:hAnsi="inherit" w:cs="Arial"/>
                <w:color w:val="202124"/>
                <w:szCs w:val="21"/>
              </w:rPr>
              <w:t>Score reflecting sustainability initiatives and performance</w:t>
            </w:r>
          </w:p>
        </w:tc>
      </w:tr>
      <w:tr w:rsidR="00F21B5C" w14:paraId="7834F63F" w14:textId="77777777" w:rsidTr="00F21B5C">
        <w:trPr>
          <w:trHeight w:val="56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36DEC90" w14:textId="77777777" w:rsidR="00F21B5C" w:rsidRDefault="00F21B5C">
            <w:pPr>
              <w:rPr>
                <w:rFonts w:ascii="inherit" w:hAnsi="inherit" w:cs="Arial"/>
                <w:color w:val="202124"/>
                <w:szCs w:val="21"/>
              </w:rPr>
            </w:pPr>
            <w:proofErr w:type="spellStart"/>
            <w:r>
              <w:rPr>
                <w:rFonts w:ascii="inherit" w:hAnsi="inherit" w:cs="Arial"/>
                <w:color w:val="202124"/>
                <w:szCs w:val="21"/>
              </w:rPr>
              <w:t>Sustainability_Rank</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B18F9D4" w14:textId="77777777" w:rsidR="00F21B5C" w:rsidRDefault="00F21B5C">
            <w:pPr>
              <w:rPr>
                <w:rFonts w:ascii="inherit" w:hAnsi="inherit" w:cs="Arial"/>
                <w:color w:val="202124"/>
                <w:szCs w:val="21"/>
              </w:rPr>
            </w:pPr>
            <w:r>
              <w:rPr>
                <w:rFonts w:ascii="inherit" w:hAnsi="inherit" w:cs="Arial"/>
                <w:color w:val="202124"/>
                <w:szCs w:val="21"/>
              </w:rPr>
              <w:t>Rank based on sustainability measures</w:t>
            </w:r>
          </w:p>
        </w:tc>
      </w:tr>
      <w:tr w:rsidR="00F21B5C" w14:paraId="6EDBA9EE" w14:textId="77777777" w:rsidTr="00F21B5C">
        <w:trPr>
          <w:trHeight w:val="56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2D7C157" w14:textId="77777777" w:rsidR="00F21B5C" w:rsidRDefault="00F21B5C">
            <w:pPr>
              <w:rPr>
                <w:rFonts w:ascii="inherit" w:hAnsi="inherit" w:cs="Arial"/>
                <w:color w:val="202124"/>
                <w:szCs w:val="21"/>
              </w:rPr>
            </w:pPr>
            <w:proofErr w:type="spellStart"/>
            <w:r>
              <w:rPr>
                <w:rFonts w:ascii="inherit" w:hAnsi="inherit" w:cs="Arial"/>
                <w:color w:val="202124"/>
                <w:szCs w:val="21"/>
              </w:rPr>
              <w:t>Overall_Score</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A20FECC" w14:textId="77777777" w:rsidR="00F21B5C" w:rsidRDefault="00F21B5C">
            <w:pPr>
              <w:rPr>
                <w:rFonts w:ascii="inherit" w:hAnsi="inherit" w:cs="Arial"/>
                <w:color w:val="202124"/>
                <w:szCs w:val="21"/>
              </w:rPr>
            </w:pPr>
            <w:r>
              <w:rPr>
                <w:rFonts w:ascii="inherit" w:hAnsi="inherit" w:cs="Arial"/>
                <w:color w:val="202124"/>
                <w:szCs w:val="21"/>
              </w:rPr>
              <w:t>Final composite score used to determine the university's ranking</w:t>
            </w:r>
          </w:p>
        </w:tc>
      </w:tr>
    </w:tbl>
    <w:p w14:paraId="7C12F6C9" w14:textId="77777777" w:rsidR="00F21B5C" w:rsidRPr="00CE2AD1" w:rsidRDefault="00F21B5C" w:rsidP="00F21B5C">
      <w:pPr>
        <w:pStyle w:val="3"/>
        <w:spacing w:before="360" w:after="120" w:line="300" w:lineRule="atLeast"/>
        <w:textAlignment w:val="baseline"/>
        <w:rPr>
          <w:rFonts w:ascii="Times New Roman" w:hAnsi="Times New Roman" w:cs="Times New Roman"/>
          <w:b/>
          <w:bCs/>
          <w:color w:val="202124"/>
        </w:rPr>
      </w:pPr>
      <w:r w:rsidRPr="00CE2AD1">
        <w:rPr>
          <w:rFonts w:ascii="Times New Roman" w:hAnsi="Times New Roman" w:cs="Times New Roman"/>
          <w:b/>
          <w:bCs/>
          <w:color w:val="202124"/>
        </w:rPr>
        <w:lastRenderedPageBreak/>
        <w:t>Key Features:</w:t>
      </w:r>
    </w:p>
    <w:p w14:paraId="7E926970" w14:textId="77777777" w:rsidR="00F21B5C" w:rsidRPr="004F28B3" w:rsidRDefault="00F21B5C" w:rsidP="00F21B5C">
      <w:pPr>
        <w:widowControl/>
        <w:numPr>
          <w:ilvl w:val="0"/>
          <w:numId w:val="1"/>
        </w:numPr>
        <w:jc w:val="left"/>
        <w:textAlignment w:val="baseline"/>
        <w:rPr>
          <w:rFonts w:ascii="Times New Roman" w:hAnsi="Times New Roman" w:cs="Times New Roman"/>
          <w:color w:val="3C4043"/>
          <w:szCs w:val="21"/>
        </w:rPr>
      </w:pPr>
      <w:r w:rsidRPr="004F28B3">
        <w:rPr>
          <w:rStyle w:val="a4"/>
          <w:rFonts w:ascii="Times New Roman" w:hAnsi="Times New Roman" w:cs="Times New Roman"/>
          <w:color w:val="3C4043"/>
          <w:szCs w:val="21"/>
          <w:bdr w:val="none" w:sz="0" w:space="0" w:color="auto" w:frame="1"/>
        </w:rPr>
        <w:t>Extensive Coverage:</w:t>
      </w:r>
      <w:r w:rsidRPr="004F28B3">
        <w:rPr>
          <w:rFonts w:ascii="Times New Roman" w:hAnsi="Times New Roman" w:cs="Times New Roman"/>
          <w:color w:val="3C4043"/>
          <w:szCs w:val="21"/>
        </w:rPr>
        <w:t> Includes over 1,500 institutions from 105 countries.</w:t>
      </w:r>
    </w:p>
    <w:p w14:paraId="51E3E798" w14:textId="77777777" w:rsidR="00F21B5C" w:rsidRPr="004F28B3" w:rsidRDefault="00F21B5C" w:rsidP="00F21B5C">
      <w:pPr>
        <w:widowControl/>
        <w:numPr>
          <w:ilvl w:val="0"/>
          <w:numId w:val="1"/>
        </w:numPr>
        <w:jc w:val="left"/>
        <w:textAlignment w:val="baseline"/>
        <w:rPr>
          <w:rFonts w:ascii="Times New Roman" w:hAnsi="Times New Roman" w:cs="Times New Roman"/>
          <w:color w:val="3C4043"/>
          <w:szCs w:val="21"/>
        </w:rPr>
      </w:pPr>
      <w:r w:rsidRPr="004F28B3">
        <w:rPr>
          <w:rStyle w:val="a4"/>
          <w:rFonts w:ascii="Times New Roman" w:hAnsi="Times New Roman" w:cs="Times New Roman"/>
          <w:color w:val="3C4043"/>
          <w:szCs w:val="21"/>
          <w:bdr w:val="none" w:sz="0" w:space="0" w:color="auto" w:frame="1"/>
        </w:rPr>
        <w:t>Multi-Dimensional:</w:t>
      </w:r>
      <w:r w:rsidRPr="004F28B3">
        <w:rPr>
          <w:rFonts w:ascii="Times New Roman" w:hAnsi="Times New Roman" w:cs="Times New Roman"/>
          <w:color w:val="3C4043"/>
          <w:szCs w:val="21"/>
        </w:rPr>
        <w:t> Covers a range of indicators such as research, teaching, employability, and internationalization.</w:t>
      </w:r>
    </w:p>
    <w:p w14:paraId="2F38A071" w14:textId="77777777" w:rsidR="00F21B5C" w:rsidRPr="004F28B3" w:rsidRDefault="00F21B5C" w:rsidP="00F21B5C">
      <w:pPr>
        <w:widowControl/>
        <w:numPr>
          <w:ilvl w:val="0"/>
          <w:numId w:val="1"/>
        </w:numPr>
        <w:jc w:val="left"/>
        <w:textAlignment w:val="baseline"/>
        <w:rPr>
          <w:rFonts w:ascii="Times New Roman" w:hAnsi="Times New Roman" w:cs="Times New Roman"/>
          <w:color w:val="3C4043"/>
          <w:szCs w:val="21"/>
        </w:rPr>
      </w:pPr>
      <w:r w:rsidRPr="004F28B3">
        <w:rPr>
          <w:rStyle w:val="a4"/>
          <w:rFonts w:ascii="Times New Roman" w:hAnsi="Times New Roman" w:cs="Times New Roman"/>
          <w:color w:val="3C4043"/>
          <w:szCs w:val="21"/>
          <w:bdr w:val="none" w:sz="0" w:space="0" w:color="auto" w:frame="1"/>
        </w:rPr>
        <w:t>Comparative Insights:</w:t>
      </w:r>
      <w:r w:rsidRPr="004F28B3">
        <w:rPr>
          <w:rFonts w:ascii="Times New Roman" w:hAnsi="Times New Roman" w:cs="Times New Roman"/>
          <w:color w:val="3C4043"/>
          <w:szCs w:val="21"/>
        </w:rPr>
        <w:t> Provides year-over-year ranking data (2024 vs. 2025) for trend analysis.</w:t>
      </w:r>
    </w:p>
    <w:p w14:paraId="2A6FC9F2" w14:textId="77777777" w:rsidR="00F21B5C" w:rsidRPr="00CE2AD1" w:rsidRDefault="00F21B5C" w:rsidP="00F21B5C">
      <w:pPr>
        <w:pStyle w:val="3"/>
        <w:spacing w:before="360" w:after="120" w:line="300" w:lineRule="atLeast"/>
        <w:textAlignment w:val="baseline"/>
        <w:rPr>
          <w:rFonts w:ascii="Times New Roman" w:hAnsi="Times New Roman" w:cs="Times New Roman"/>
          <w:b/>
          <w:bCs/>
          <w:color w:val="202124"/>
        </w:rPr>
      </w:pPr>
      <w:r w:rsidRPr="00CE2AD1">
        <w:rPr>
          <w:rFonts w:ascii="Times New Roman" w:hAnsi="Times New Roman" w:cs="Times New Roman"/>
          <w:b/>
          <w:bCs/>
          <w:color w:val="202124"/>
        </w:rPr>
        <w:t>Usage:</w:t>
      </w:r>
    </w:p>
    <w:p w14:paraId="1DA319EA" w14:textId="77777777" w:rsidR="00F21B5C" w:rsidRPr="004F28B3" w:rsidRDefault="00F21B5C" w:rsidP="00F21B5C">
      <w:pPr>
        <w:pStyle w:val="a3"/>
        <w:spacing w:before="0" w:beforeAutospacing="0" w:after="240" w:afterAutospacing="0"/>
        <w:textAlignment w:val="baseline"/>
        <w:rPr>
          <w:color w:val="3C4043"/>
          <w:sz w:val="21"/>
          <w:szCs w:val="21"/>
        </w:rPr>
      </w:pPr>
      <w:r w:rsidRPr="004F28B3">
        <w:rPr>
          <w:color w:val="3C4043"/>
          <w:sz w:val="21"/>
          <w:szCs w:val="21"/>
        </w:rPr>
        <w:t>This dataset is suitable for:</w:t>
      </w:r>
    </w:p>
    <w:p w14:paraId="1525E70C" w14:textId="77777777" w:rsidR="00F21B5C" w:rsidRPr="004F28B3" w:rsidRDefault="00F21B5C" w:rsidP="00F21B5C">
      <w:pPr>
        <w:widowControl/>
        <w:numPr>
          <w:ilvl w:val="0"/>
          <w:numId w:val="2"/>
        </w:numPr>
        <w:jc w:val="left"/>
        <w:textAlignment w:val="baseline"/>
        <w:rPr>
          <w:rFonts w:ascii="Times New Roman" w:hAnsi="Times New Roman" w:cs="Times New Roman"/>
          <w:color w:val="3C4043"/>
          <w:szCs w:val="21"/>
        </w:rPr>
      </w:pPr>
      <w:r w:rsidRPr="004F28B3">
        <w:rPr>
          <w:rStyle w:val="a4"/>
          <w:rFonts w:ascii="Times New Roman" w:hAnsi="Times New Roman" w:cs="Times New Roman"/>
          <w:color w:val="3C4043"/>
          <w:szCs w:val="21"/>
          <w:bdr w:val="none" w:sz="0" w:space="0" w:color="auto" w:frame="1"/>
        </w:rPr>
        <w:t>Higher Education Analysis:</w:t>
      </w:r>
      <w:r w:rsidRPr="004F28B3">
        <w:rPr>
          <w:rFonts w:ascii="Times New Roman" w:hAnsi="Times New Roman" w:cs="Times New Roman"/>
          <w:color w:val="3C4043"/>
          <w:szCs w:val="21"/>
        </w:rPr>
        <w:t> Track university performance across global metrics.</w:t>
      </w:r>
    </w:p>
    <w:p w14:paraId="6A1D844F" w14:textId="77777777" w:rsidR="00F21B5C" w:rsidRPr="004F28B3" w:rsidRDefault="00F21B5C" w:rsidP="00F21B5C">
      <w:pPr>
        <w:widowControl/>
        <w:numPr>
          <w:ilvl w:val="0"/>
          <w:numId w:val="2"/>
        </w:numPr>
        <w:jc w:val="left"/>
        <w:textAlignment w:val="baseline"/>
        <w:rPr>
          <w:rFonts w:ascii="Times New Roman" w:hAnsi="Times New Roman" w:cs="Times New Roman"/>
          <w:color w:val="3C4043"/>
          <w:szCs w:val="21"/>
        </w:rPr>
      </w:pPr>
      <w:r w:rsidRPr="004F28B3">
        <w:rPr>
          <w:rStyle w:val="a4"/>
          <w:rFonts w:ascii="Times New Roman" w:hAnsi="Times New Roman" w:cs="Times New Roman"/>
          <w:color w:val="3C4043"/>
          <w:szCs w:val="21"/>
          <w:bdr w:val="none" w:sz="0" w:space="0" w:color="auto" w:frame="1"/>
        </w:rPr>
        <w:t>Student Decision-Making:</w:t>
      </w:r>
      <w:r w:rsidRPr="004F28B3">
        <w:rPr>
          <w:rFonts w:ascii="Times New Roman" w:hAnsi="Times New Roman" w:cs="Times New Roman"/>
          <w:color w:val="3C4043"/>
          <w:szCs w:val="21"/>
        </w:rPr>
        <w:t> Support students choosing top-ranked institutions.</w:t>
      </w:r>
    </w:p>
    <w:p w14:paraId="0969B972" w14:textId="77777777" w:rsidR="00F21B5C" w:rsidRPr="004F28B3" w:rsidRDefault="00F21B5C" w:rsidP="00F21B5C">
      <w:pPr>
        <w:widowControl/>
        <w:numPr>
          <w:ilvl w:val="0"/>
          <w:numId w:val="2"/>
        </w:numPr>
        <w:jc w:val="left"/>
        <w:textAlignment w:val="baseline"/>
        <w:rPr>
          <w:rFonts w:ascii="Times New Roman" w:hAnsi="Times New Roman" w:cs="Times New Roman"/>
          <w:color w:val="3C4043"/>
          <w:szCs w:val="21"/>
        </w:rPr>
      </w:pPr>
      <w:r w:rsidRPr="004F28B3">
        <w:rPr>
          <w:rStyle w:val="a4"/>
          <w:rFonts w:ascii="Times New Roman" w:hAnsi="Times New Roman" w:cs="Times New Roman"/>
          <w:color w:val="3C4043"/>
          <w:szCs w:val="21"/>
          <w:bdr w:val="none" w:sz="0" w:space="0" w:color="auto" w:frame="1"/>
        </w:rPr>
        <w:t>Policy &amp; Strategy:</w:t>
      </w:r>
      <w:r w:rsidRPr="004F28B3">
        <w:rPr>
          <w:rFonts w:ascii="Times New Roman" w:hAnsi="Times New Roman" w:cs="Times New Roman"/>
          <w:color w:val="3C4043"/>
          <w:szCs w:val="21"/>
        </w:rPr>
        <w:t> Aid education policymakers and institutional strategists in benchmarking and improvement planning.</w:t>
      </w:r>
    </w:p>
    <w:p w14:paraId="37FC0FB9" w14:textId="77777777" w:rsidR="00F21B5C" w:rsidRPr="004F28B3" w:rsidRDefault="00F21B5C" w:rsidP="00F21B5C">
      <w:pPr>
        <w:widowControl/>
        <w:numPr>
          <w:ilvl w:val="0"/>
          <w:numId w:val="2"/>
        </w:numPr>
        <w:jc w:val="left"/>
        <w:textAlignment w:val="baseline"/>
        <w:rPr>
          <w:rFonts w:ascii="Times New Roman" w:hAnsi="Times New Roman" w:cs="Times New Roman"/>
          <w:color w:val="3C4043"/>
          <w:szCs w:val="21"/>
        </w:rPr>
      </w:pPr>
      <w:r w:rsidRPr="004F28B3">
        <w:rPr>
          <w:rStyle w:val="a4"/>
          <w:rFonts w:ascii="Times New Roman" w:hAnsi="Times New Roman" w:cs="Times New Roman"/>
          <w:color w:val="3C4043"/>
          <w:szCs w:val="21"/>
          <w:bdr w:val="none" w:sz="0" w:space="0" w:color="auto" w:frame="1"/>
        </w:rPr>
        <w:t>Data Visualization:</w:t>
      </w:r>
      <w:r w:rsidRPr="004F28B3">
        <w:rPr>
          <w:rFonts w:ascii="Times New Roman" w:hAnsi="Times New Roman" w:cs="Times New Roman"/>
          <w:color w:val="3C4043"/>
          <w:szCs w:val="21"/>
        </w:rPr>
        <w:t> Ideal for visual dashboards, maps, and interactive reports on global university performance.</w:t>
      </w:r>
    </w:p>
    <w:p w14:paraId="10230736" w14:textId="77777777" w:rsidR="00144CBC" w:rsidRPr="005B4E93" w:rsidRDefault="00144CBC" w:rsidP="005B4E93">
      <w:pPr>
        <w:widowControl/>
        <w:shd w:val="clear" w:color="auto" w:fill="FFFFFF"/>
        <w:spacing w:after="240" w:line="660" w:lineRule="atLeast"/>
        <w:jc w:val="left"/>
        <w:textAlignment w:val="baseline"/>
        <w:outlineLvl w:val="0"/>
        <w:rPr>
          <w:rFonts w:ascii="Arial" w:eastAsia="Times New Roman" w:hAnsi="Arial" w:cs="Arial" w:hint="eastAsia"/>
          <w:b/>
          <w:bCs/>
          <w:color w:val="202124"/>
          <w:kern w:val="36"/>
          <w:sz w:val="28"/>
          <w:szCs w:val="28"/>
        </w:rPr>
      </w:pPr>
    </w:p>
    <w:p w14:paraId="7811D692" w14:textId="77777777" w:rsidR="002C1569" w:rsidRDefault="002C1569"/>
    <w:sectPr w:rsidR="002C15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80F93"/>
    <w:multiLevelType w:val="multilevel"/>
    <w:tmpl w:val="3978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441C75"/>
    <w:multiLevelType w:val="multilevel"/>
    <w:tmpl w:val="EDD6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03E7F"/>
    <w:rsid w:val="00144CBC"/>
    <w:rsid w:val="002C1569"/>
    <w:rsid w:val="004F28B3"/>
    <w:rsid w:val="005B4E93"/>
    <w:rsid w:val="00603E7F"/>
    <w:rsid w:val="00A661FD"/>
    <w:rsid w:val="00CE2AD1"/>
    <w:rsid w:val="00F21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A4E1"/>
  <w15:chartTrackingRefBased/>
  <w15:docId w15:val="{4787C086-C95C-4D90-A5A0-ED9791199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B4E93"/>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3">
    <w:name w:val="heading 3"/>
    <w:basedOn w:val="a"/>
    <w:next w:val="a"/>
    <w:link w:val="30"/>
    <w:uiPriority w:val="9"/>
    <w:semiHidden/>
    <w:unhideWhenUsed/>
    <w:qFormat/>
    <w:rsid w:val="00F21B5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4E93"/>
    <w:rPr>
      <w:rFonts w:ascii="Times New Roman" w:eastAsia="Times New Roman" w:hAnsi="Times New Roman" w:cs="Times New Roman"/>
      <w:b/>
      <w:bCs/>
      <w:kern w:val="36"/>
      <w:sz w:val="48"/>
      <w:szCs w:val="48"/>
    </w:rPr>
  </w:style>
  <w:style w:type="character" w:customStyle="1" w:styleId="30">
    <w:name w:val="标题 3 字符"/>
    <w:basedOn w:val="a0"/>
    <w:link w:val="3"/>
    <w:uiPriority w:val="9"/>
    <w:semiHidden/>
    <w:rsid w:val="00F21B5C"/>
    <w:rPr>
      <w:rFonts w:asciiTheme="majorHAnsi" w:eastAsiaTheme="majorEastAsia" w:hAnsiTheme="majorHAnsi" w:cstheme="majorBidi"/>
      <w:color w:val="243F60" w:themeColor="accent1" w:themeShade="7F"/>
      <w:sz w:val="24"/>
      <w:szCs w:val="24"/>
    </w:rPr>
  </w:style>
  <w:style w:type="paragraph" w:styleId="a3">
    <w:name w:val="Normal (Web)"/>
    <w:basedOn w:val="a"/>
    <w:uiPriority w:val="99"/>
    <w:semiHidden/>
    <w:unhideWhenUsed/>
    <w:rsid w:val="00F21B5C"/>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a4">
    <w:name w:val="Strong"/>
    <w:basedOn w:val="a0"/>
    <w:uiPriority w:val="22"/>
    <w:qFormat/>
    <w:rsid w:val="00F21B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229032">
      <w:bodyDiv w:val="1"/>
      <w:marLeft w:val="0"/>
      <w:marRight w:val="0"/>
      <w:marTop w:val="0"/>
      <w:marBottom w:val="0"/>
      <w:divBdr>
        <w:top w:val="none" w:sz="0" w:space="0" w:color="auto"/>
        <w:left w:val="none" w:sz="0" w:space="0" w:color="auto"/>
        <w:bottom w:val="none" w:sz="0" w:space="0" w:color="auto"/>
        <w:right w:val="none" w:sz="0" w:space="0" w:color="auto"/>
      </w:divBdr>
    </w:div>
    <w:div w:id="929856513">
      <w:bodyDiv w:val="1"/>
      <w:marLeft w:val="0"/>
      <w:marRight w:val="0"/>
      <w:marTop w:val="0"/>
      <w:marBottom w:val="0"/>
      <w:divBdr>
        <w:top w:val="none" w:sz="0" w:space="0" w:color="auto"/>
        <w:left w:val="none" w:sz="0" w:space="0" w:color="auto"/>
        <w:bottom w:val="none" w:sz="0" w:space="0" w:color="auto"/>
        <w:right w:val="none" w:sz="0" w:space="0" w:color="auto"/>
      </w:divBdr>
    </w:div>
    <w:div w:id="129848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2025-04-30T08:41:00Z</dcterms:created>
  <dcterms:modified xsi:type="dcterms:W3CDTF">2025-04-30T08:44:00Z</dcterms:modified>
</cp:coreProperties>
</file>