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B656" w14:textId="75EF181C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>AVALIAÇÃO OBJETIVA – ARGIBENONE®</w:t>
      </w:r>
    </w:p>
    <w:p w14:paraId="1A00F6CF" w14:textId="707CE2BB" w:rsidR="00245F65" w:rsidRPr="00245F65" w:rsidRDefault="00245F65" w:rsidP="00245F65">
      <w:r w:rsidRPr="00245F65">
        <w:rPr>
          <w:b/>
          <w:bCs/>
        </w:rPr>
        <w:t>Tipo: Múltipla escolha (apenas 1 alternativa correta)</w:t>
      </w:r>
    </w:p>
    <w:p w14:paraId="32091674" w14:textId="021303D1" w:rsidR="00245F65" w:rsidRPr="00245F65" w:rsidRDefault="00245F65" w:rsidP="00245F65"/>
    <w:p w14:paraId="21AF1CE9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1. 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é classificado como:</w:t>
      </w:r>
    </w:p>
    <w:p w14:paraId="55F4D608" w14:textId="77777777" w:rsidR="00245F65" w:rsidRPr="00245F65" w:rsidRDefault="00245F65" w:rsidP="00245F65">
      <w:r w:rsidRPr="00245F65">
        <w:t xml:space="preserve">A) Um peptídeo </w:t>
      </w:r>
      <w:proofErr w:type="spellStart"/>
      <w:r w:rsidRPr="00245F65">
        <w:t>biomimético</w:t>
      </w:r>
      <w:proofErr w:type="spellEnd"/>
      <w:r w:rsidRPr="00245F65">
        <w:t xml:space="preserve"> neuromodulador</w:t>
      </w:r>
      <w:r w:rsidRPr="00245F65">
        <w:br/>
        <w:t xml:space="preserve">B) Um derivado estável da </w:t>
      </w:r>
      <w:proofErr w:type="spellStart"/>
      <w:r w:rsidRPr="00245F65">
        <w:t>ubiquinona</w:t>
      </w:r>
      <w:proofErr w:type="spellEnd"/>
      <w:r w:rsidRPr="00245F65">
        <w:t xml:space="preserve"> (CoQ10)</w:t>
      </w:r>
      <w:r w:rsidRPr="00245F65">
        <w:br/>
        <w:t xml:space="preserve">C) Um ácido orgânico com ação </w:t>
      </w:r>
      <w:proofErr w:type="spellStart"/>
      <w:r w:rsidRPr="00245F65">
        <w:t>bioestimuladora</w:t>
      </w:r>
      <w:proofErr w:type="spellEnd"/>
      <w:r w:rsidRPr="00245F65">
        <w:br/>
        <w:t xml:space="preserve">D) Um polímero sintético </w:t>
      </w:r>
      <w:proofErr w:type="spellStart"/>
      <w:r w:rsidRPr="00245F65">
        <w:t>volumizador</w:t>
      </w:r>
      <w:proofErr w:type="spellEnd"/>
    </w:p>
    <w:p w14:paraId="2CC3E45F" w14:textId="2B57D83C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B</w:t>
      </w:r>
    </w:p>
    <w:p w14:paraId="721CE6D4" w14:textId="2E862159" w:rsidR="00245F65" w:rsidRPr="00245F65" w:rsidRDefault="00245F65" w:rsidP="00245F65"/>
    <w:p w14:paraId="59D03672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2. Um dos principais diferenciais do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em relação à CoQ10 tradicional é:</w:t>
      </w:r>
    </w:p>
    <w:p w14:paraId="23C58EC1" w14:textId="77777777" w:rsidR="00245F65" w:rsidRPr="00245F65" w:rsidRDefault="00245F65" w:rsidP="00245F65">
      <w:r w:rsidRPr="00245F65">
        <w:t>A) Maior peso molecular</w:t>
      </w:r>
      <w:r w:rsidRPr="00245F65">
        <w:br/>
        <w:t>B) Ação exclusivamente antioxidante</w:t>
      </w:r>
      <w:r w:rsidRPr="00245F65">
        <w:br/>
        <w:t>C) Maior estabilidade e melhor penetração cutânea</w:t>
      </w:r>
      <w:r w:rsidRPr="00245F65">
        <w:br/>
        <w:t>D) Ação inflamatória controlada</w:t>
      </w:r>
    </w:p>
    <w:p w14:paraId="6D0245B2" w14:textId="640F47B1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0B38B7BA" w14:textId="6ABA248E" w:rsidR="00245F65" w:rsidRPr="00245F65" w:rsidRDefault="00245F65" w:rsidP="00245F65"/>
    <w:p w14:paraId="19ED0A01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>3. No contexto do envelhecimento celular, o SASP refere-se a:</w:t>
      </w:r>
    </w:p>
    <w:p w14:paraId="35A57B04" w14:textId="77777777" w:rsidR="00245F65" w:rsidRPr="00245F65" w:rsidRDefault="00245F65" w:rsidP="00245F65">
      <w:r w:rsidRPr="00245F65">
        <w:t>A) Processo de apoptose celular acelerada</w:t>
      </w:r>
      <w:r w:rsidRPr="00245F65">
        <w:br/>
        <w:t>B) Produção de ATP mitocondrial</w:t>
      </w:r>
      <w:r w:rsidRPr="00245F65">
        <w:br/>
        <w:t xml:space="preserve">C) Fenótipo secretor associado </w:t>
      </w:r>
      <w:proofErr w:type="gramStart"/>
      <w:r w:rsidRPr="00245F65">
        <w:t>à</w:t>
      </w:r>
      <w:proofErr w:type="gramEnd"/>
      <w:r w:rsidRPr="00245F65">
        <w:t xml:space="preserve"> senescência</w:t>
      </w:r>
      <w:r w:rsidRPr="00245F65">
        <w:br/>
        <w:t xml:space="preserve">D) Processo de diferenciação </w:t>
      </w:r>
      <w:proofErr w:type="spellStart"/>
      <w:r w:rsidRPr="00245F65">
        <w:t>adipocitária</w:t>
      </w:r>
      <w:proofErr w:type="spellEnd"/>
    </w:p>
    <w:p w14:paraId="286D1A34" w14:textId="393E3F99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7C92F6E2" w14:textId="02194889" w:rsidR="00245F65" w:rsidRPr="00245F65" w:rsidRDefault="00245F65" w:rsidP="00245F65"/>
    <w:p w14:paraId="2D162C92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>4. As células senescentes caracterizam-se principalmente por:</w:t>
      </w:r>
    </w:p>
    <w:p w14:paraId="46B8A93E" w14:textId="77777777" w:rsidR="00245F65" w:rsidRPr="00245F65" w:rsidRDefault="00245F65" w:rsidP="00245F65">
      <w:r w:rsidRPr="00245F65">
        <w:t>A) Alta taxa de divisão celular</w:t>
      </w:r>
      <w:r w:rsidRPr="00245F65">
        <w:br/>
        <w:t>B) Morte celular programada imediata</w:t>
      </w:r>
      <w:r w:rsidRPr="00245F65">
        <w:br/>
        <w:t>C) Permanecerem ativas e secretarem mediadores inflamatórios</w:t>
      </w:r>
      <w:r w:rsidRPr="00245F65">
        <w:br/>
        <w:t>D) Produzirem colágeno tipo III em excesso</w:t>
      </w:r>
    </w:p>
    <w:p w14:paraId="35417EF3" w14:textId="241A9272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2CAFF86F" w14:textId="1F00674B" w:rsidR="00245F65" w:rsidRPr="00245F65" w:rsidRDefault="00245F65" w:rsidP="00245F65"/>
    <w:p w14:paraId="75DA9117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lastRenderedPageBreak/>
        <w:t xml:space="preserve">5. 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atua no combate ao envelhecimento celular principalmente por:</w:t>
      </w:r>
    </w:p>
    <w:p w14:paraId="5CFD063B" w14:textId="77777777" w:rsidR="00245F65" w:rsidRPr="00245F65" w:rsidRDefault="00245F65" w:rsidP="00245F65">
      <w:r w:rsidRPr="00245F65">
        <w:t>A) Estimular inflamação controlada</w:t>
      </w:r>
      <w:r w:rsidRPr="00245F65">
        <w:br/>
        <w:t>B) Bloquear completamente a contração muscular</w:t>
      </w:r>
      <w:r w:rsidRPr="00245F65">
        <w:br/>
        <w:t>C) Reduzir estresse oxidativo e inflamação crônica silenciosa</w:t>
      </w:r>
      <w:r w:rsidRPr="00245F65">
        <w:br/>
        <w:t>D) Induzir apoptose seletiva</w:t>
      </w:r>
    </w:p>
    <w:p w14:paraId="71E4EE68" w14:textId="2F1DAECB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769AF7FA" w14:textId="4776AED3" w:rsidR="00245F65" w:rsidRPr="00245F65" w:rsidRDefault="00245F65" w:rsidP="00245F65"/>
    <w:p w14:paraId="322816C0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6. A ação mitocondrial do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está relacionada a:</w:t>
      </w:r>
    </w:p>
    <w:p w14:paraId="46FD9100" w14:textId="77777777" w:rsidR="00245F65" w:rsidRPr="00245F65" w:rsidRDefault="00245F65" w:rsidP="00245F65">
      <w:r w:rsidRPr="00245F65">
        <w:t>A) Inibição da cadeia respiratória</w:t>
      </w:r>
      <w:r w:rsidRPr="00245F65">
        <w:br/>
        <w:t>B) Transporte de elétrons e aumento da produção de ATP</w:t>
      </w:r>
      <w:r w:rsidRPr="00245F65">
        <w:br/>
        <w:t>C) Bloqueio da fosforilação oxidativa</w:t>
      </w:r>
      <w:r w:rsidRPr="00245F65">
        <w:br/>
        <w:t>D) Redução do consumo de oxigênio celular</w:t>
      </w:r>
    </w:p>
    <w:p w14:paraId="08B09142" w14:textId="4925BAA9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B</w:t>
      </w:r>
    </w:p>
    <w:p w14:paraId="78C145CC" w14:textId="3530C73A" w:rsidR="00245F65" w:rsidRPr="00245F65" w:rsidRDefault="00245F65" w:rsidP="00245F65"/>
    <w:p w14:paraId="299FA57C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7. Em relação ao colágeno, 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®:</w:t>
      </w:r>
    </w:p>
    <w:p w14:paraId="6C9C61FB" w14:textId="77777777" w:rsidR="00245F65" w:rsidRPr="00245F65" w:rsidRDefault="00245F65" w:rsidP="00245F65">
      <w:r w:rsidRPr="00245F65">
        <w:t>A) Estimula apenas colágeno tipo III</w:t>
      </w:r>
      <w:r w:rsidRPr="00245F65">
        <w:br/>
        <w:t>B) Aumenta a atividade das MMPs</w:t>
      </w:r>
      <w:r w:rsidRPr="00245F65">
        <w:br/>
        <w:t>C) Protege a matriz extracelular da degradação</w:t>
      </w:r>
      <w:r w:rsidRPr="00245F65">
        <w:br/>
        <w:t>D) Atua apenas como preenchedor mecânico</w:t>
      </w:r>
    </w:p>
    <w:p w14:paraId="4667D584" w14:textId="2A70EC4B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18770232" w14:textId="00436971" w:rsidR="00245F65" w:rsidRPr="00245F65" w:rsidRDefault="00245F65" w:rsidP="00245F65"/>
    <w:p w14:paraId="289BF874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>8. A ação “</w:t>
      </w:r>
      <w:proofErr w:type="spellStart"/>
      <w:r w:rsidRPr="00245F65">
        <w:rPr>
          <w:b/>
          <w:bCs/>
        </w:rPr>
        <w:t>botox</w:t>
      </w:r>
      <w:proofErr w:type="spellEnd"/>
      <w:r w:rsidRPr="00245F65">
        <w:rPr>
          <w:b/>
          <w:bCs/>
        </w:rPr>
        <w:t xml:space="preserve">-like natural” do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ocorre porque ele:</w:t>
      </w:r>
    </w:p>
    <w:p w14:paraId="02974E24" w14:textId="77777777" w:rsidR="00245F65" w:rsidRPr="00245F65" w:rsidRDefault="00245F65" w:rsidP="00245F65">
      <w:r w:rsidRPr="00245F65">
        <w:t>A) Paralisa totalmente a musculatura</w:t>
      </w:r>
      <w:r w:rsidRPr="00245F65">
        <w:br/>
        <w:t>B) Desnatura proteínas musculares</w:t>
      </w:r>
      <w:r w:rsidRPr="00245F65">
        <w:br/>
        <w:t>C) Modula o complexo SNARE e reduz a liberação de acetilcolina</w:t>
      </w:r>
      <w:r w:rsidRPr="00245F65">
        <w:br/>
        <w:t>D) Bloqueia receptores nicotínicos irreversivelmente</w:t>
      </w:r>
    </w:p>
    <w:p w14:paraId="019D5FF2" w14:textId="20C768EE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0D76887B" w14:textId="6D877293" w:rsidR="00245F65" w:rsidRPr="00245F65" w:rsidRDefault="00245F65" w:rsidP="00245F65"/>
    <w:p w14:paraId="175E9EB0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9. A ativação da adipogênese promovida pelo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resulta em:</w:t>
      </w:r>
    </w:p>
    <w:p w14:paraId="23FA7BA5" w14:textId="77777777" w:rsidR="00245F65" w:rsidRPr="00245F65" w:rsidRDefault="00245F65" w:rsidP="00245F65">
      <w:r w:rsidRPr="00245F65">
        <w:t>A) Hipertrofia muscular facial</w:t>
      </w:r>
      <w:r w:rsidRPr="00245F65">
        <w:br/>
        <w:t>B) Reabsorção de gordura subcutânea</w:t>
      </w:r>
      <w:r w:rsidRPr="00245F65">
        <w:br/>
      </w:r>
      <w:r w:rsidRPr="00245F65">
        <w:lastRenderedPageBreak/>
        <w:t>C) Formação de novas células adiposas e recuperação de volume</w:t>
      </w:r>
      <w:r w:rsidRPr="00245F65">
        <w:br/>
        <w:t>D) Fibrose do tecido adiposo</w:t>
      </w:r>
    </w:p>
    <w:p w14:paraId="5B662D55" w14:textId="1D113B5E" w:rsidR="00245F65" w:rsidRPr="00245F65" w:rsidRDefault="00245F65" w:rsidP="00245F65">
      <w:r w:rsidRPr="00245F65">
        <w:t xml:space="preserve"> </w:t>
      </w:r>
      <w:r w:rsidRPr="00245F65">
        <w:rPr>
          <w:b/>
          <w:bCs/>
        </w:rPr>
        <w:t>Resposta correta: C</w:t>
      </w:r>
    </w:p>
    <w:p w14:paraId="79E5F15D" w14:textId="391F54DF" w:rsidR="00245F65" w:rsidRPr="00245F65" w:rsidRDefault="00245F65" w:rsidP="00245F65"/>
    <w:p w14:paraId="056974AD" w14:textId="77777777" w:rsidR="00245F65" w:rsidRPr="00245F65" w:rsidRDefault="00245F65" w:rsidP="00245F65">
      <w:pPr>
        <w:rPr>
          <w:b/>
          <w:bCs/>
        </w:rPr>
      </w:pPr>
      <w:r w:rsidRPr="00245F65">
        <w:rPr>
          <w:b/>
          <w:bCs/>
        </w:rPr>
        <w:t xml:space="preserve">10. O principal diferencial clínico do </w:t>
      </w:r>
      <w:proofErr w:type="spellStart"/>
      <w:r w:rsidRPr="00245F65">
        <w:rPr>
          <w:b/>
          <w:bCs/>
        </w:rPr>
        <w:t>Argibenone</w:t>
      </w:r>
      <w:proofErr w:type="spellEnd"/>
      <w:r w:rsidRPr="00245F65">
        <w:rPr>
          <w:b/>
          <w:bCs/>
        </w:rPr>
        <w:t>® é:</w:t>
      </w:r>
    </w:p>
    <w:p w14:paraId="39ADB5F0" w14:textId="77777777" w:rsidR="00245F65" w:rsidRPr="00245F65" w:rsidRDefault="00245F65" w:rsidP="00245F65">
      <w:r w:rsidRPr="00245F65">
        <w:t>A) Resultados imediatos e artificiais</w:t>
      </w:r>
      <w:r w:rsidRPr="00245F65">
        <w:br/>
        <w:t xml:space="preserve">B) Efeito </w:t>
      </w:r>
      <w:proofErr w:type="spellStart"/>
      <w:r w:rsidRPr="00245F65">
        <w:t>volumizador</w:t>
      </w:r>
      <w:proofErr w:type="spellEnd"/>
      <w:r w:rsidRPr="00245F65">
        <w:t xml:space="preserve"> rígido</w:t>
      </w:r>
      <w:r w:rsidRPr="00245F65">
        <w:br/>
        <w:t>C) Rejuvenescimento progressivo com preservação da expressão</w:t>
      </w:r>
      <w:r w:rsidRPr="00245F65">
        <w:br/>
        <w:t>D) Exclusiva ação superficial na epiderme</w:t>
      </w:r>
    </w:p>
    <w:p w14:paraId="58298EA7" w14:textId="77777777" w:rsidR="00245F65" w:rsidRPr="00245F65" w:rsidRDefault="00245F65" w:rsidP="00245F65">
      <w:r w:rsidRPr="00245F65">
        <w:rPr>
          <w:rFonts w:ascii="Segoe UI Emoji" w:hAnsi="Segoe UI Emoji" w:cs="Segoe UI Emoji"/>
        </w:rPr>
        <w:t>✅</w:t>
      </w:r>
      <w:r w:rsidRPr="00245F65">
        <w:t xml:space="preserve"> </w:t>
      </w:r>
      <w:r w:rsidRPr="00245F65">
        <w:rPr>
          <w:b/>
          <w:bCs/>
        </w:rPr>
        <w:t>Resposta correta: C</w:t>
      </w:r>
    </w:p>
    <w:p w14:paraId="4D528E09" w14:textId="0207D30C" w:rsidR="00245F65" w:rsidRPr="00245F65" w:rsidRDefault="00245F65" w:rsidP="00245F65"/>
    <w:sectPr w:rsidR="00245F65" w:rsidRPr="00245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6702"/>
    <w:multiLevelType w:val="multilevel"/>
    <w:tmpl w:val="09D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2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65"/>
    <w:rsid w:val="00245F65"/>
    <w:rsid w:val="005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BDBE"/>
  <w15:chartTrackingRefBased/>
  <w15:docId w15:val="{2675B366-D878-4A5D-9768-CBAEDF19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F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F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F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F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F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F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403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2025-12-18T00:19:00Z</dcterms:created>
  <dcterms:modified xsi:type="dcterms:W3CDTF">2025-12-18T00:21:00Z</dcterms:modified>
</cp:coreProperties>
</file>