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AVALIAÇÃO – 10 PERGUNTAS OBJETIVAS (Múltipla escolha)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Qual é o principal objetivo do tratamento com cosmelan®?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a) Hidratar a pele</w:t>
        <w:br w:type="textWrapping"/>
        <w:t xml:space="preserve">b) Equilibrar a melanogênese e clarear hiperpigmentações</w:t>
        <w:br w:type="textWrapping"/>
        <w:t xml:space="preserve">c) Apenas remover manchas superficiais</w:t>
        <w:br w:type="textWrapping"/>
        <w:t xml:space="preserve">d) Estimular colágeno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 fase mais intensa do protocolo ocorre entre: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a) Dias 0–3</w:t>
        <w:br w:type="textWrapping"/>
        <w:t xml:space="preserve">b) Dias 8–30</w:t>
        <w:br w:type="textWrapping"/>
        <w:t xml:space="preserve">c) Dias 60–90</w:t>
        <w:br w:type="textWrapping"/>
        <w:t xml:space="preserve">d) Dias 120–150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Melaphenone® atua principalmente: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a) Estimulando melanócitos</w:t>
        <w:br w:type="textWrapping"/>
        <w:t xml:space="preserve">b) Inibindo a tirosinase</w:t>
        <w:br w:type="textWrapping"/>
        <w:t xml:space="preserve">c) Hidratando a pele</w:t>
        <w:br w:type="textWrapping"/>
        <w:t xml:space="preserve">d) Promovendo esfoliação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 tempo de ação da máscara cosmelan® 1 é: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a) 2 horas</w:t>
        <w:br w:type="textWrapping"/>
        <w:t xml:space="preserve">b) 4 horas</w:t>
        <w:br w:type="textWrapping"/>
        <w:t xml:space="preserve">c) 6–8 horas</w:t>
        <w:br w:type="textWrapping"/>
        <w:t xml:space="preserve">d) 12 horas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Cosmesome® é formado por: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a) Ácido hialurônico e vitamina C</w:t>
        <w:br w:type="textWrapping"/>
        <w:t xml:space="preserve">b) Apigenina e floretina</w:t>
        <w:br w:type="textWrapping"/>
        <w:t xml:space="preserve">c) Retinol e niacinamida</w:t>
        <w:br w:type="textWrapping"/>
        <w:t xml:space="preserve">d) Cobre e zinco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Qual fotoprotetor deve ser utilizado durante o protocolo?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a) FPS 30</w:t>
        <w:br w:type="textWrapping"/>
        <w:t xml:space="preserve">b) FPS 50 comum</w:t>
        <w:br w:type="textWrapping"/>
        <w:t xml:space="preserve">c) mesoprotech® melan 130 pigment control</w:t>
        <w:br w:type="textWrapping"/>
        <w:t xml:space="preserve">d) Protetor físico infantil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Quando o cosmelan® 2 deve ser iniciado?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a) No mesmo dia da máscara</w:t>
        <w:br w:type="textWrapping"/>
        <w:t xml:space="preserve">b) Dia 2</w:t>
        <w:br w:type="textWrapping"/>
        <w:t xml:space="preserve">c) Dia 8</w:t>
        <w:br w:type="textWrapping"/>
        <w:t xml:space="preserve">d) Após 30 dias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Entre as contraindicações, encontra-se: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a) Peles oleosas</w:t>
        <w:br w:type="textWrapping"/>
        <w:t xml:space="preserve">b) Alergia aos componentes</w:t>
        <w:br w:type="textWrapping"/>
        <w:t xml:space="preserve">c) Uso de hidratantes</w:t>
        <w:br w:type="textWrapping"/>
        <w:t xml:space="preserve">d) Pacientes com poros dilatados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O período de tratamento domiciliar dura: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a) 1 mês</w:t>
        <w:br w:type="textWrapping"/>
        <w:t xml:space="preserve">b) 3 meses</w:t>
        <w:br w:type="textWrapping"/>
        <w:t xml:space="preserve">c) 6 meses</w:t>
        <w:br w:type="textWrapping"/>
        <w:t xml:space="preserve">d) 12 meses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Qual reação é esperada durante o tratamento?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a) Escurecimento permanente</w:t>
        <w:br w:type="textWrapping"/>
        <w:t xml:space="preserve">b) Descamação, ardor e eritema</w:t>
        <w:br w:type="textWrapping"/>
        <w:t xml:space="preserve">c) Pigmentação imediata</w:t>
        <w:br w:type="textWrapping"/>
        <w:t xml:space="preserve">d) Flacidez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Gabarito: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1-B | 2-B | 3-B | 4-C | 5-B | 6-C | 7-C | 8-B | 9-C | 10-B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4351B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4351B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4351B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4351B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4351B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4351B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4351B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4351B4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4351B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4351B4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4351B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4351B4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4351B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4351B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4351B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4351B4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4351B4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4351B4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4351B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351B4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4351B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vfKL0dFUlhFJU+bgyVnknQZJiw==">CgMxLjA4AHIhMVRSS2xPc3BWQ21aWG80LVpOZjBkWk5td015UFRBTWVK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2025-11-21T18:57:00Z</dcterms:created>
  <dc:creator>Mesoestetic Brasil</dc:creator>
</cp:coreProperties>
</file>