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C3A40" w14:textId="0CB727CF" w:rsidR="00BB7E81" w:rsidRPr="00BB7E81" w:rsidRDefault="00BB7E81" w:rsidP="00BB7E81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b/>
          <w:bCs/>
          <w:kern w:val="36"/>
          <w:lang w:eastAsia="pt-BR"/>
          <w14:ligatures w14:val="none"/>
        </w:rPr>
        <w:t xml:space="preserve"> AVALIAÇÃO AVANÇADA – MELAN TRAN3X®</w:t>
      </w:r>
    </w:p>
    <w:p w14:paraId="1F3D41E5" w14:textId="77777777" w:rsidR="00BB7E81" w:rsidRPr="00BB7E81" w:rsidRDefault="00BB7E81" w:rsidP="00BB7E81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1. O ácido tranexâmico reduz a hiperpigmentação principalmente porque:</w:t>
      </w:r>
    </w:p>
    <w:p w14:paraId="0C15B9DF" w14:textId="77777777" w:rsidR="00BB7E81" w:rsidRPr="00BB7E81" w:rsidRDefault="00BB7E81" w:rsidP="00BB7E8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>a) Bloqueia diretamente a enzima tirosinase na sua fase catalítica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 xml:space="preserve">b) Inibe a ação da </w:t>
      </w:r>
      <w:proofErr w:type="spellStart"/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>plasmina</w:t>
      </w:r>
      <w:proofErr w:type="spellEnd"/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, reduzindo inflamação, ET-1 e estímulo </w:t>
      </w:r>
      <w:proofErr w:type="spellStart"/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>melanocítico</w:t>
      </w:r>
      <w:proofErr w:type="spellEnd"/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c) Oxida a melanina já formada, facilitando sua eliminação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Atua apenas sobre pigmentação epidérmica superficial</w:t>
      </w:r>
    </w:p>
    <w:p w14:paraId="38886505" w14:textId="697EF62E" w:rsidR="00BB7E81" w:rsidRPr="00BB7E81" w:rsidRDefault="00BB7E81" w:rsidP="00BB7E81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</w:p>
    <w:p w14:paraId="639855D1" w14:textId="77777777" w:rsidR="00BB7E81" w:rsidRPr="00BB7E81" w:rsidRDefault="00BB7E81" w:rsidP="00BB7E81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 xml:space="preserve">2. O </w:t>
      </w:r>
      <w:proofErr w:type="spellStart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Try</w:t>
      </w:r>
      <w:proofErr w:type="spellEnd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Control</w:t>
      </w:r>
      <w:proofErr w:type="spellEnd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 xml:space="preserve"> Peptídeo é considerado um ativo epigenético porque:</w:t>
      </w:r>
    </w:p>
    <w:p w14:paraId="66212D6E" w14:textId="77777777" w:rsidR="00BB7E81" w:rsidRPr="00BB7E81" w:rsidRDefault="00BB7E81" w:rsidP="00BB7E8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>a) Aumenta a espessura epidérmica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b) Modula a expressão de genes ligados à melanogênese, reduzindo TRP-1, TRP-2 e MITF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c) Age apenas na barreira cutânea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Atua exclusivamente na hidratação e cicatrização</w:t>
      </w:r>
    </w:p>
    <w:p w14:paraId="21D8D47E" w14:textId="46B73593" w:rsidR="00BB7E81" w:rsidRPr="00BB7E81" w:rsidRDefault="00BB7E81" w:rsidP="00BB7E81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</w:p>
    <w:p w14:paraId="165C9F19" w14:textId="77777777" w:rsidR="00BB7E81" w:rsidRPr="00BB7E81" w:rsidRDefault="00BB7E81" w:rsidP="00BB7E81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 xml:space="preserve">3. Ao modular MITF, o </w:t>
      </w:r>
      <w:proofErr w:type="spellStart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Melan</w:t>
      </w:r>
      <w:proofErr w:type="spellEnd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 xml:space="preserve"> Tran3x:</w:t>
      </w:r>
    </w:p>
    <w:p w14:paraId="7A5033D5" w14:textId="77777777" w:rsidR="00BB7E81" w:rsidRPr="00BB7E81" w:rsidRDefault="00BB7E81" w:rsidP="00BB7E8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>a) Aumenta a velocidade da melanogênese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b) Reduz a transcrição de tirosinase e proteínas relacionadas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c) Intensifica a oxidação de melanina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Estimula melanossomas a migrarem mais rapidamente</w:t>
      </w:r>
    </w:p>
    <w:p w14:paraId="71E16398" w14:textId="7D8F33B2" w:rsidR="00BB7E81" w:rsidRPr="00BB7E81" w:rsidRDefault="00BB7E81" w:rsidP="00BB7E81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</w:p>
    <w:p w14:paraId="6EB6A9BD" w14:textId="77777777" w:rsidR="00BB7E81" w:rsidRPr="00BB7E81" w:rsidRDefault="00BB7E81" w:rsidP="00BB7E81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4. A sinergia entre AHA e BHA no Gel Cream promove:</w:t>
      </w:r>
    </w:p>
    <w:p w14:paraId="709AAAAC" w14:textId="77777777" w:rsidR="00BB7E81" w:rsidRDefault="00BB7E81" w:rsidP="00BB7E8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>a) Exfoliação agressiva e instabilidade da barreira cutânea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b) Aumento da melanogênese por inflamação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c) Renovação suave e liberação do pigmento compactado, melhorando a permeabilidade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Inibição direta da tirosinase pela ação ácida</w:t>
      </w:r>
    </w:p>
    <w:p w14:paraId="09AC8C7D" w14:textId="7067BE15" w:rsidR="00BB7E81" w:rsidRPr="00BB7E81" w:rsidRDefault="00BB7E81" w:rsidP="00BB7E8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>
        <w:rPr>
          <w:rFonts w:ascii="Aptos" w:eastAsia="Times New Roman" w:hAnsi="Aptos" w:cs="Times New Roman"/>
          <w:kern w:val="0"/>
          <w:lang w:eastAsia="pt-BR"/>
          <w14:ligatures w14:val="none"/>
        </w:rPr>
        <w:t>5.</w:t>
      </w:r>
      <w:r w:rsidRPr="00BB7E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 xml:space="preserve">. O </w:t>
      </w:r>
      <w:proofErr w:type="spellStart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Melan</w:t>
      </w:r>
      <w:proofErr w:type="spellEnd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 xml:space="preserve"> Tran3x pode ser definido como:</w:t>
      </w:r>
    </w:p>
    <w:p w14:paraId="3B96456B" w14:textId="77777777" w:rsidR="00BB7E81" w:rsidRPr="00BB7E81" w:rsidRDefault="00BB7E81" w:rsidP="00BB7E8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>a) Um clareador superficial de ação cosmética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 xml:space="preserve">b) Um sistema </w:t>
      </w:r>
      <w:proofErr w:type="spellStart"/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>despigmentante</w:t>
      </w:r>
      <w:proofErr w:type="spellEnd"/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 de uso domiciliar com ação multinível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c) Um peeling químico de cabine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Um mero hidratante com ativos calmantes</w:t>
      </w:r>
    </w:p>
    <w:p w14:paraId="0389C773" w14:textId="0EF1E195" w:rsidR="00BB7E81" w:rsidRPr="00BB7E81" w:rsidRDefault="00BB7E81" w:rsidP="00BB7E8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</w:p>
    <w:p w14:paraId="789281CA" w14:textId="79BF380F" w:rsidR="00BB7E81" w:rsidRPr="00BB7E81" w:rsidRDefault="00BB7E81" w:rsidP="00BB7E81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</w:p>
    <w:p w14:paraId="53BFDE25" w14:textId="37D69627" w:rsidR="00BB7E81" w:rsidRPr="00BB7E81" w:rsidRDefault="00BB7E81" w:rsidP="00BB7E81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</w:p>
    <w:p w14:paraId="02BA0AAF" w14:textId="77777777" w:rsidR="00BB7E81" w:rsidRPr="00BB7E81" w:rsidRDefault="00BB7E81" w:rsidP="00BB7E81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 xml:space="preserve">6. A alanina presente no </w:t>
      </w:r>
      <w:proofErr w:type="spellStart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Melan</w:t>
      </w:r>
      <w:proofErr w:type="spellEnd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 xml:space="preserve"> Tran3x atua principalmente:</w:t>
      </w:r>
    </w:p>
    <w:p w14:paraId="36389BDD" w14:textId="77777777" w:rsidR="00BB7E81" w:rsidRPr="00BB7E81" w:rsidRDefault="00BB7E81" w:rsidP="00BB7E8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a) Inibindo a polimerização da </w:t>
      </w:r>
      <w:proofErr w:type="spellStart"/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>eumelanina</w:t>
      </w:r>
      <w:proofErr w:type="spellEnd"/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 ao reduzir a atividade de TRP-2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 xml:space="preserve">b) Aumentando síntese de </w:t>
      </w:r>
      <w:proofErr w:type="spellStart"/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>feomelanina</w:t>
      </w:r>
      <w:proofErr w:type="spellEnd"/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 vermelha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c) Hidratando profundamente a epiderme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Estimulando fibroblastos a produzirem colágeno</w:t>
      </w:r>
    </w:p>
    <w:p w14:paraId="34C04148" w14:textId="3E4B3600" w:rsidR="00BB7E81" w:rsidRPr="00BB7E81" w:rsidRDefault="00BB7E81" w:rsidP="00BB7E81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</w:p>
    <w:p w14:paraId="4E954963" w14:textId="77777777" w:rsidR="00BB7E81" w:rsidRPr="00BB7E81" w:rsidRDefault="00BB7E81" w:rsidP="00BB7E81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 xml:space="preserve">7. A ativação da autofagia pelos componentes do </w:t>
      </w:r>
      <w:proofErr w:type="spellStart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Melan</w:t>
      </w:r>
      <w:proofErr w:type="spellEnd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 xml:space="preserve"> Tran3x resulta em:</w:t>
      </w:r>
    </w:p>
    <w:p w14:paraId="502D39D3" w14:textId="77777777" w:rsidR="00BB7E81" w:rsidRPr="00BB7E81" w:rsidRDefault="00BB7E81" w:rsidP="00BB7E8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>a) Recidiva mais rápida da hiperpigmentação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 xml:space="preserve">b) Degradação </w:t>
      </w:r>
      <w:proofErr w:type="spellStart"/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>lisossomal</w:t>
      </w:r>
      <w:proofErr w:type="spellEnd"/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 dos melanossomas já formados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c) Estímulo aos melanócitos para maior produção de pigmento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Liberação de melanina para camadas mais profundas da derme</w:t>
      </w:r>
    </w:p>
    <w:p w14:paraId="72102BD7" w14:textId="6663840D" w:rsidR="00BB7E81" w:rsidRPr="00BB7E81" w:rsidRDefault="00BB7E81" w:rsidP="00BB7E81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</w:p>
    <w:p w14:paraId="716ECF4A" w14:textId="77777777" w:rsidR="00BB7E81" w:rsidRPr="00BB7E81" w:rsidRDefault="00BB7E81" w:rsidP="00BB7E81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 xml:space="preserve">8. A ação do ácido kójico no </w:t>
      </w:r>
      <w:proofErr w:type="spellStart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Melan</w:t>
      </w:r>
      <w:proofErr w:type="spellEnd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 xml:space="preserve"> Tran3x se destaca por:</w:t>
      </w:r>
    </w:p>
    <w:p w14:paraId="43133136" w14:textId="77777777" w:rsidR="00BB7E81" w:rsidRPr="00BB7E81" w:rsidRDefault="00BB7E81" w:rsidP="00BB7E8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>a) Oxidar melanina e mudar sua cor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b) Quelar íons cobre da tirosinase, inativando sua função catalítica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c) Aumentar atividade de MITF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Atuar apenas em peles fototipo I e II</w:t>
      </w:r>
    </w:p>
    <w:p w14:paraId="5253AAAD" w14:textId="12CDCFB3" w:rsidR="00BB7E81" w:rsidRPr="00BB7E81" w:rsidRDefault="00BB7E81" w:rsidP="00BB7E81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</w:p>
    <w:p w14:paraId="6EC78251" w14:textId="77777777" w:rsidR="00BB7E81" w:rsidRPr="00BB7E81" w:rsidRDefault="00BB7E81" w:rsidP="00BB7E81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 xml:space="preserve">9. A proteção solar </w:t>
      </w:r>
      <w:proofErr w:type="spellStart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Mesoprotech</w:t>
      </w:r>
      <w:proofErr w:type="spellEnd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Melan</w:t>
      </w:r>
      <w:proofErr w:type="spellEnd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 xml:space="preserve"> 130 é indispensável porque:</w:t>
      </w:r>
    </w:p>
    <w:p w14:paraId="76DF4499" w14:textId="77777777" w:rsidR="00BB7E81" w:rsidRPr="00BB7E81" w:rsidRDefault="00BB7E81" w:rsidP="00BB7E8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>a) Possui FPS alto, porém sem proteção específica contra HEV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b) Atua apenas na radiação infravermelha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 xml:space="preserve">c) Entrega proteção UVB, UVA, HEV e IR + </w:t>
      </w:r>
      <w:proofErr w:type="spellStart"/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>azeloglicina</w:t>
      </w:r>
      <w:proofErr w:type="spellEnd"/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 reguladora de tirosinase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É suficiente ser aplicada apenas uma vez por dia</w:t>
      </w:r>
    </w:p>
    <w:p w14:paraId="6E57A66D" w14:textId="7CA5CBDB" w:rsidR="00BB7E81" w:rsidRPr="00BB7E81" w:rsidRDefault="00BB7E81" w:rsidP="00BB7E81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</w:p>
    <w:p w14:paraId="3398A5C0" w14:textId="77777777" w:rsidR="00BB7E81" w:rsidRPr="00BB7E81" w:rsidRDefault="00BB7E81" w:rsidP="00BB7E81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 xml:space="preserve">10. A característica que torna o </w:t>
      </w:r>
      <w:proofErr w:type="spellStart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Melan</w:t>
      </w:r>
      <w:proofErr w:type="spellEnd"/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 xml:space="preserve"> Tran3x um sistema superior a clareadores tradicionais é:</w:t>
      </w:r>
    </w:p>
    <w:p w14:paraId="021B7DDC" w14:textId="77777777" w:rsidR="00BB7E81" w:rsidRPr="00BB7E81" w:rsidRDefault="00BB7E81" w:rsidP="00BB7E8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>a) A presença de fragrância e textura leve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b) Ação unidirecional apenas sobre tirosinase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c) Ação multinível: síntese, maturação, transferência, inflamação, barreira e autofagia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Clareamento rápido, mas com maior risco de rebote</w:t>
      </w:r>
    </w:p>
    <w:p w14:paraId="73B822DB" w14:textId="77777777" w:rsidR="00BB7E81" w:rsidRPr="00BB7E81" w:rsidRDefault="00BB7E81" w:rsidP="00BB7E81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pict w14:anchorId="181A1CD9">
          <v:rect id="_x0000_i1036" style="width:0;height:1.5pt" o:hralign="center" o:hrstd="t" o:hr="t" fillcolor="#a0a0a0" stroked="f"/>
        </w:pict>
      </w:r>
    </w:p>
    <w:p w14:paraId="7A1E25C4" w14:textId="77777777" w:rsidR="00BB7E81" w:rsidRPr="00BB7E81" w:rsidRDefault="00BB7E81" w:rsidP="00BB7E81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lang w:eastAsia="pt-BR"/>
          <w14:ligatures w14:val="none"/>
        </w:rPr>
      </w:pPr>
      <w:r w:rsidRPr="00BB7E81">
        <w:rPr>
          <w:rFonts w:ascii="Segoe UI Emoji" w:eastAsia="Times New Roman" w:hAnsi="Segoe UI Emoji" w:cs="Segoe UI Emoji"/>
          <w:b/>
          <w:bCs/>
          <w:kern w:val="36"/>
          <w:lang w:eastAsia="pt-BR"/>
          <w14:ligatures w14:val="none"/>
        </w:rPr>
        <w:lastRenderedPageBreak/>
        <w:t>✅</w:t>
      </w:r>
      <w:r w:rsidRPr="00BB7E81">
        <w:rPr>
          <w:rFonts w:ascii="Aptos" w:eastAsia="Times New Roman" w:hAnsi="Aptos" w:cs="Times New Roman"/>
          <w:b/>
          <w:bCs/>
          <w:kern w:val="36"/>
          <w:lang w:eastAsia="pt-BR"/>
          <w14:ligatures w14:val="none"/>
        </w:rPr>
        <w:t xml:space="preserve"> GABARITO</w:t>
      </w:r>
    </w:p>
    <w:p w14:paraId="719BCADC" w14:textId="77777777" w:rsidR="00BB7E81" w:rsidRPr="00BB7E81" w:rsidRDefault="00BB7E81" w:rsidP="00BB7E8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1 — </w:t>
      </w: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b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 xml:space="preserve">2 — </w:t>
      </w: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b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 xml:space="preserve">3 — </w:t>
      </w: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b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 xml:space="preserve">4 — </w:t>
      </w: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c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 xml:space="preserve">5 — </w:t>
      </w: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b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 xml:space="preserve">6 — </w:t>
      </w: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a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 xml:space="preserve">7 — </w:t>
      </w: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b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 xml:space="preserve">8 — </w:t>
      </w: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b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 xml:space="preserve">9 — </w:t>
      </w: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c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 xml:space="preserve">10 — </w:t>
      </w:r>
      <w:r w:rsidRPr="00BB7E81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c</w:t>
      </w:r>
    </w:p>
    <w:p w14:paraId="00C2411A" w14:textId="77777777" w:rsidR="00BB7E81" w:rsidRPr="00BB7E81" w:rsidRDefault="00BB7E81" w:rsidP="00BB7E81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pict w14:anchorId="3CD18248">
          <v:rect id="_x0000_i1037" style="width:0;height:1.5pt" o:hralign="center" o:hrstd="t" o:hr="t" fillcolor="#a0a0a0" stroked="f"/>
        </w:pict>
      </w:r>
    </w:p>
    <w:p w14:paraId="37483A91" w14:textId="77777777" w:rsidR="00BB7E81" w:rsidRPr="00BB7E81" w:rsidRDefault="00BB7E81" w:rsidP="00BB7E8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>Se quiser, posso criar também: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</w:r>
      <w:r w:rsidRPr="00BB7E81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📌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 versão em PDF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</w:r>
      <w:r w:rsidRPr="00BB7E81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📌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 versão para Google </w:t>
      </w:r>
      <w:proofErr w:type="spellStart"/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>Forms</w:t>
      </w:r>
      <w:proofErr w:type="spellEnd"/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</w:r>
      <w:r w:rsidRPr="00BB7E81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📌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 versão com estudo de caso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</w:r>
      <w:r w:rsidRPr="00BB7E81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📌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 versão para prova prática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br/>
      </w:r>
      <w:r w:rsidRPr="00BB7E81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📌</w:t>
      </w: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 versão para vendedores (comerciais)</w:t>
      </w:r>
    </w:p>
    <w:p w14:paraId="68FBA863" w14:textId="77777777" w:rsidR="00BB7E81" w:rsidRPr="00BB7E81" w:rsidRDefault="00BB7E81" w:rsidP="00BB7E8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BB7E81">
        <w:rPr>
          <w:rFonts w:ascii="Aptos" w:eastAsia="Times New Roman" w:hAnsi="Aptos" w:cs="Times New Roman"/>
          <w:kern w:val="0"/>
          <w:lang w:eastAsia="pt-BR"/>
          <w14:ligatures w14:val="none"/>
        </w:rPr>
        <w:t>É só pedir!</w:t>
      </w:r>
    </w:p>
    <w:p w14:paraId="4B3BCFFA" w14:textId="77777777" w:rsidR="00BB7E81" w:rsidRPr="00BB7E81" w:rsidRDefault="00BB7E81">
      <w:pPr>
        <w:rPr>
          <w:rFonts w:ascii="Aptos" w:hAnsi="Aptos"/>
        </w:rPr>
      </w:pPr>
    </w:p>
    <w:sectPr w:rsidR="00BB7E81" w:rsidRPr="00BB7E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E81"/>
    <w:rsid w:val="00BB7E81"/>
    <w:rsid w:val="00E6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1A88F"/>
  <w15:chartTrackingRefBased/>
  <w15:docId w15:val="{9C54B4A4-F57B-47AA-B16D-AAA97849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7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7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7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7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7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7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7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7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7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7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7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7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7E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7E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7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7E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7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7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7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7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7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7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7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7E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7E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7E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7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7E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7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481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Mesoestetic Brasil</dc:creator>
  <cp:keywords/>
  <dc:description/>
  <cp:lastModifiedBy>Mesoestetic Brasil</cp:lastModifiedBy>
  <cp:revision>2</cp:revision>
  <dcterms:created xsi:type="dcterms:W3CDTF">2025-11-22T11:22:00Z</dcterms:created>
  <dcterms:modified xsi:type="dcterms:W3CDTF">2025-11-22T11:28:00Z</dcterms:modified>
</cp:coreProperties>
</file>