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917E" w14:textId="31AE1224" w:rsidR="004262CC" w:rsidRPr="00F770BD" w:rsidRDefault="004262CC" w:rsidP="004262CC">
      <w:r>
        <w:rPr>
          <w:b/>
          <w:bCs/>
        </w:rPr>
        <w:t xml:space="preserve">Avaliação do </w:t>
      </w:r>
      <w:r w:rsidR="00F770BD" w:rsidRPr="00F770BD">
        <w:rPr>
          <w:b/>
          <w:bCs/>
        </w:rPr>
        <w:t xml:space="preserve"> </w:t>
      </w:r>
      <w:r>
        <w:rPr>
          <w:b/>
          <w:bCs/>
        </w:rPr>
        <w:t>m</w:t>
      </w:r>
      <w:r w:rsidR="00F770BD" w:rsidRPr="00F770BD">
        <w:rPr>
          <w:b/>
          <w:bCs/>
        </w:rPr>
        <w:t>esoestabyl</w:t>
      </w:r>
    </w:p>
    <w:p w14:paraId="07CD3C97" w14:textId="7D3A441F" w:rsidR="00F770BD" w:rsidRPr="00F770BD" w:rsidRDefault="00F770BD" w:rsidP="00F770BD"/>
    <w:p w14:paraId="679A15D7" w14:textId="1596981A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 xml:space="preserve">1) O racional central do </w:t>
      </w:r>
      <w:r w:rsidR="004262CC">
        <w:rPr>
          <w:b/>
          <w:bCs/>
        </w:rPr>
        <w:t>m</w:t>
      </w:r>
      <w:r w:rsidRPr="00F770BD">
        <w:rPr>
          <w:b/>
          <w:bCs/>
        </w:rPr>
        <w:t>esoestabyl® (fosfatidilcolina) no tecido adiposo é:</w:t>
      </w:r>
    </w:p>
    <w:p w14:paraId="1D44C0A9" w14:textId="77777777" w:rsidR="00F770BD" w:rsidRPr="00F770BD" w:rsidRDefault="00F770BD" w:rsidP="00F770BD">
      <w:r w:rsidRPr="00F770BD">
        <w:t>a) Destruir adipócitos por lise imediata e não seletiva</w:t>
      </w:r>
      <w:r w:rsidRPr="00F770BD">
        <w:br/>
        <w:t>b) Aumentar a inflamação para induzir fibrose e retração</w:t>
      </w:r>
      <w:r w:rsidRPr="00F770BD">
        <w:br/>
        <w:t xml:space="preserve">c) </w:t>
      </w:r>
      <w:r w:rsidRPr="00F770BD">
        <w:rPr>
          <w:b/>
          <w:bCs/>
        </w:rPr>
        <w:t>Mobilizar lipídeos e favorecer lipólise de forma enzimática e controlada</w:t>
      </w:r>
      <w:r w:rsidRPr="00F770BD">
        <w:br/>
        <w:t>d) Causar necrose gordurosa para redução rápida de volume</w:t>
      </w:r>
    </w:p>
    <w:p w14:paraId="719FC7EB" w14:textId="77777777" w:rsidR="00F770BD" w:rsidRPr="00F770BD" w:rsidRDefault="00F770BD" w:rsidP="00F770BD">
      <w:r w:rsidRPr="00F770BD">
        <w:pict w14:anchorId="192EF05C">
          <v:rect id="_x0000_i1092" style="width:0;height:1.5pt" o:hralign="center" o:hrstd="t" o:hr="t" fillcolor="#a0a0a0" stroked="f"/>
        </w:pict>
      </w:r>
    </w:p>
    <w:p w14:paraId="19C568E0" w14:textId="77777777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>2) A diferença mais importante entre fosfatidilcolina (FC) e ácido desoxicólico (ADC) é:</w:t>
      </w:r>
    </w:p>
    <w:p w14:paraId="45551F6F" w14:textId="77777777" w:rsidR="00F770BD" w:rsidRPr="00F770BD" w:rsidRDefault="00F770BD" w:rsidP="00F770BD">
      <w:r w:rsidRPr="00F770BD">
        <w:t>a) Ambos atuam por necrose como mecanismo principal</w:t>
      </w:r>
      <w:r w:rsidRPr="00F770BD">
        <w:br/>
        <w:t>b) A FC atua apenas em adipócitos maduros e o ADC apenas em pré-adipócitos</w:t>
      </w:r>
      <w:r w:rsidRPr="00F770BD">
        <w:br/>
        <w:t xml:space="preserve">c) </w:t>
      </w:r>
      <w:r w:rsidRPr="00F770BD">
        <w:rPr>
          <w:b/>
          <w:bCs/>
        </w:rPr>
        <w:t>A FC tende a ser mais moduladora/enzimática; o ADC é mais detergente e inflamatório (lise não seletiva)</w:t>
      </w:r>
      <w:r w:rsidRPr="00F770BD">
        <w:br/>
        <w:t>d) O ADC é mais seletivo e com menor dor local que a FC</w:t>
      </w:r>
    </w:p>
    <w:p w14:paraId="6DA3B8CB" w14:textId="77777777" w:rsidR="00F770BD" w:rsidRPr="00F770BD" w:rsidRDefault="00F770BD" w:rsidP="00F770BD">
      <w:r w:rsidRPr="00F770BD">
        <w:pict w14:anchorId="38C7A9D4">
          <v:rect id="_x0000_i1093" style="width:0;height:1.5pt" o:hralign="center" o:hrstd="t" o:hr="t" fillcolor="#a0a0a0" stroked="f"/>
        </w:pict>
      </w:r>
    </w:p>
    <w:p w14:paraId="3CF52AEC" w14:textId="6132910E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 xml:space="preserve">3) </w:t>
      </w:r>
      <w:r w:rsidR="004262CC">
        <w:rPr>
          <w:b/>
          <w:bCs/>
        </w:rPr>
        <w:t>A</w:t>
      </w:r>
      <w:r w:rsidRPr="00F770BD">
        <w:rPr>
          <w:b/>
          <w:bCs/>
        </w:rPr>
        <w:t xml:space="preserve"> “Eliminação e aproveitamento energético”, os produtos finais da lipólise são principalmente:</w:t>
      </w:r>
    </w:p>
    <w:p w14:paraId="247C7E39" w14:textId="77777777" w:rsidR="00F770BD" w:rsidRPr="00F770BD" w:rsidRDefault="00F770BD" w:rsidP="00F770BD">
      <w:r w:rsidRPr="00F770BD">
        <w:t>a) Lactato e piruvato</w:t>
      </w:r>
      <w:r w:rsidRPr="00F770BD">
        <w:br/>
        <w:t xml:space="preserve">b) </w:t>
      </w:r>
      <w:r w:rsidRPr="00F770BD">
        <w:rPr>
          <w:b/>
          <w:bCs/>
        </w:rPr>
        <w:t>Ácidos graxos livres e glicerol</w:t>
      </w:r>
      <w:r w:rsidRPr="00F770BD">
        <w:br/>
        <w:t>c) Colesterol e ureia</w:t>
      </w:r>
      <w:r w:rsidRPr="00F770BD">
        <w:br/>
        <w:t>d) Proteínas e aminoácidos</w:t>
      </w:r>
    </w:p>
    <w:p w14:paraId="5703060E" w14:textId="77777777" w:rsidR="00F770BD" w:rsidRPr="00F770BD" w:rsidRDefault="00F770BD" w:rsidP="00F770BD">
      <w:r w:rsidRPr="00F770BD">
        <w:pict w14:anchorId="5ECAEA87">
          <v:rect id="_x0000_i1094" style="width:0;height:1.5pt" o:hralign="center" o:hrstd="t" o:hr="t" fillcolor="#a0a0a0" stroked="f"/>
        </w:pict>
      </w:r>
    </w:p>
    <w:p w14:paraId="2A0C2D84" w14:textId="77777777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>4) O destino metabólico correto descrito no material é:</w:t>
      </w:r>
    </w:p>
    <w:p w14:paraId="303AE00B" w14:textId="77777777" w:rsidR="00F770BD" w:rsidRPr="00F770BD" w:rsidRDefault="00F770BD" w:rsidP="00F770BD">
      <w:r w:rsidRPr="00F770BD">
        <w:t>a) Ácidos graxos → fígado exclusivamente; glicerol → músculo exclusivamente</w:t>
      </w:r>
      <w:r w:rsidRPr="00F770BD">
        <w:br/>
        <w:t xml:space="preserve">b) </w:t>
      </w:r>
      <w:r w:rsidRPr="00F770BD">
        <w:rPr>
          <w:b/>
          <w:bCs/>
        </w:rPr>
        <w:t>Ácidos graxos → podem ser utilizados em mitocôndrias (ex.: músculo) para ATP; glicerol → metabolizado no fígado e pode servir como substrato energético</w:t>
      </w:r>
      <w:r w:rsidRPr="00F770BD">
        <w:br/>
        <w:t>c) Ácidos graxos → excretados pela urina; glicerol → eliminado pelo pulmão</w:t>
      </w:r>
      <w:r w:rsidRPr="00F770BD">
        <w:br/>
        <w:t>d) Ambos são armazenados novamente no adipócito como regra</w:t>
      </w:r>
    </w:p>
    <w:p w14:paraId="5DB1DD96" w14:textId="77777777" w:rsidR="00F770BD" w:rsidRPr="00F770BD" w:rsidRDefault="00F770BD" w:rsidP="00F770BD">
      <w:r w:rsidRPr="00F770BD">
        <w:pict w14:anchorId="299425F2">
          <v:rect id="_x0000_i1095" style="width:0;height:1.5pt" o:hralign="center" o:hrstd="t" o:hr="t" fillcolor="#a0a0a0" stroked="f"/>
        </w:pict>
      </w:r>
    </w:p>
    <w:p w14:paraId="0B8EAA4C" w14:textId="77777777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>5) Em reações adversas, a comunicação correta ao paciente deve enfatizar que:</w:t>
      </w:r>
    </w:p>
    <w:p w14:paraId="7B27E12D" w14:textId="401DE5CF" w:rsidR="00F770BD" w:rsidRPr="00F770BD" w:rsidRDefault="00F770BD" w:rsidP="00F770BD">
      <w:r w:rsidRPr="00F770BD">
        <w:lastRenderedPageBreak/>
        <w:t>a) Qualquer edema é complicação e exige interrupção imediata</w:t>
      </w:r>
      <w:r w:rsidRPr="00F770BD">
        <w:br/>
        <w:t xml:space="preserve">b) </w:t>
      </w:r>
      <w:r w:rsidRPr="00F770BD">
        <w:rPr>
          <w:b/>
          <w:bCs/>
        </w:rPr>
        <w:t xml:space="preserve">Reações locais podem ser esperadas , com regressão gradual </w:t>
      </w:r>
      <w:r w:rsidR="004262CC">
        <w:rPr>
          <w:b/>
          <w:bCs/>
        </w:rPr>
        <w:t xml:space="preserve">em torno de </w:t>
      </w:r>
      <w:r w:rsidRPr="00F770BD">
        <w:rPr>
          <w:b/>
          <w:bCs/>
        </w:rPr>
        <w:t>14 dias</w:t>
      </w:r>
      <w:r w:rsidR="004262CC">
        <w:rPr>
          <w:b/>
          <w:bCs/>
        </w:rPr>
        <w:t>)</w:t>
      </w:r>
      <w:r w:rsidRPr="00F770BD">
        <w:rPr>
          <w:b/>
          <w:bCs/>
        </w:rPr>
        <w:t xml:space="preserve"> </w:t>
      </w:r>
      <w:r w:rsidRPr="00F770BD">
        <w:br/>
        <w:t>c) Hematoma é sempre sinal de infecção</w:t>
      </w:r>
      <w:r w:rsidRPr="00F770BD">
        <w:br/>
        <w:t>d) A ausência de reação local indica falha do produto</w:t>
      </w:r>
    </w:p>
    <w:p w14:paraId="43F664B2" w14:textId="77777777" w:rsidR="00F770BD" w:rsidRPr="00F770BD" w:rsidRDefault="00F770BD" w:rsidP="00F770BD">
      <w:r w:rsidRPr="00F770BD">
        <w:pict w14:anchorId="338073C8">
          <v:rect id="_x0000_i1096" style="width:0;height:1.5pt" o:hralign="center" o:hrstd="t" o:hr="t" fillcolor="#a0a0a0" stroked="f"/>
        </w:pict>
      </w:r>
    </w:p>
    <w:p w14:paraId="5E81E97D" w14:textId="77777777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>6) Qual conjunto abaixo representa reações locais transitórias mais alinhadas ao conteúdo?</w:t>
      </w:r>
    </w:p>
    <w:p w14:paraId="38E73EAC" w14:textId="61F8A9F6" w:rsidR="00F770BD" w:rsidRPr="00F770BD" w:rsidRDefault="00F770BD" w:rsidP="00F770BD">
      <w:r w:rsidRPr="00F770BD">
        <w:t>a) Hipertensão, taquicardia e dispneia</w:t>
      </w:r>
      <w:r w:rsidRPr="00F770BD">
        <w:br/>
        <w:t xml:space="preserve">b) </w:t>
      </w:r>
      <w:r w:rsidRPr="00F770BD">
        <w:rPr>
          <w:b/>
          <w:bCs/>
        </w:rPr>
        <w:t>Edema, eritema, hematoma, nódulos subcutâneos, leve queimação</w:t>
      </w:r>
      <w:r w:rsidRPr="00F770BD">
        <w:br/>
        <w:t>c) Icterícia, febre persistente e urina escura</w:t>
      </w:r>
      <w:r w:rsidRPr="00F770BD">
        <w:br/>
        <w:t>d) Crise convulsiva e síncope recorrente</w:t>
      </w:r>
    </w:p>
    <w:p w14:paraId="1A5C134B" w14:textId="77777777" w:rsidR="00F770BD" w:rsidRPr="00F770BD" w:rsidRDefault="00F770BD" w:rsidP="00F770BD">
      <w:r w:rsidRPr="00F770BD">
        <w:pict w14:anchorId="61E68257">
          <v:rect id="_x0000_i1097" style="width:0;height:1.5pt" o:hralign="center" o:hrstd="t" o:hr="t" fillcolor="#a0a0a0" stroked="f"/>
        </w:pict>
      </w:r>
    </w:p>
    <w:p w14:paraId="595CF0AC" w14:textId="77777777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>7) Sobre cuidados imediatos (primeiras 24–48h), é correto:</w:t>
      </w:r>
    </w:p>
    <w:p w14:paraId="5D89DAD0" w14:textId="77777777" w:rsidR="00F770BD" w:rsidRPr="00F770BD" w:rsidRDefault="00F770BD" w:rsidP="00F770BD">
      <w:r w:rsidRPr="00F770BD">
        <w:t>a) Massagear vigorosamente para “dispersar” o produto</w:t>
      </w:r>
      <w:r w:rsidRPr="00F770BD">
        <w:br/>
        <w:t>b) Expor ao calor e atividade intensa para acelerar o metabolismo</w:t>
      </w:r>
      <w:r w:rsidRPr="00F770BD">
        <w:br/>
        <w:t xml:space="preserve">c) </w:t>
      </w:r>
      <w:r w:rsidRPr="00F770BD">
        <w:rPr>
          <w:b/>
          <w:bCs/>
        </w:rPr>
        <w:t>Compressas frias nas primeiras 24h e evitar pressão/massagens intensas por ~48h</w:t>
      </w:r>
      <w:r w:rsidRPr="00F770BD">
        <w:br/>
        <w:t>d) Interromper hidratação para reduzir edema</w:t>
      </w:r>
    </w:p>
    <w:p w14:paraId="0C9C3FB9" w14:textId="77777777" w:rsidR="00F770BD" w:rsidRPr="00F770BD" w:rsidRDefault="00F770BD" w:rsidP="00F770BD">
      <w:r w:rsidRPr="00F770BD">
        <w:pict w14:anchorId="632336C5">
          <v:rect id="_x0000_i1098" style="width:0;height:1.5pt" o:hralign="center" o:hrstd="t" o:hr="t" fillcolor="#a0a0a0" stroked="f"/>
        </w:pict>
      </w:r>
    </w:p>
    <w:p w14:paraId="61454DBC" w14:textId="77777777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>8) A reavaliação em 15 dias é importante principalmente para:</w:t>
      </w:r>
    </w:p>
    <w:p w14:paraId="3AC4019C" w14:textId="77777777" w:rsidR="00F770BD" w:rsidRPr="00F770BD" w:rsidRDefault="00F770BD" w:rsidP="00F770BD">
      <w:r w:rsidRPr="00F770BD">
        <w:t>a) Garantir que haja hiperpigmentação pós-inflamatória</w:t>
      </w:r>
      <w:r w:rsidRPr="00F770BD">
        <w:br/>
        <w:t xml:space="preserve">b) </w:t>
      </w:r>
      <w:r w:rsidRPr="00F770BD">
        <w:rPr>
          <w:b/>
          <w:bCs/>
        </w:rPr>
        <w:t>Monitorar resposta tecidual, regressão do edema e desaparecimento de nódulos</w:t>
      </w:r>
      <w:r w:rsidRPr="00F770BD">
        <w:br/>
        <w:t>c) Indicar nova aplicação obrigatória em todos os casos</w:t>
      </w:r>
      <w:r w:rsidRPr="00F770BD">
        <w:br/>
        <w:t>d) Prescrever antibiótico profilático de rotina</w:t>
      </w:r>
    </w:p>
    <w:p w14:paraId="0C7E8F1F" w14:textId="77777777" w:rsidR="00F770BD" w:rsidRPr="00F770BD" w:rsidRDefault="00F770BD" w:rsidP="00F770BD">
      <w:r w:rsidRPr="00F770BD">
        <w:pict w14:anchorId="58F9045F">
          <v:rect id="_x0000_i1099" style="width:0;height:1.5pt" o:hralign="center" o:hrstd="t" o:hr="t" fillcolor="#a0a0a0" stroked="f"/>
        </w:pict>
      </w:r>
    </w:p>
    <w:p w14:paraId="6E455CBE" w14:textId="77777777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>9) Entre as contraindicações exibidas, qual opção está corretamente contemplada?</w:t>
      </w:r>
    </w:p>
    <w:p w14:paraId="7603E5F9" w14:textId="77777777" w:rsidR="00F770BD" w:rsidRPr="00F770BD" w:rsidRDefault="00F770BD" w:rsidP="00F770BD">
      <w:r w:rsidRPr="00F770BD">
        <w:t>a) Pele oleosa e acne ativa leve</w:t>
      </w:r>
      <w:r w:rsidRPr="00F770BD">
        <w:br/>
        <w:t xml:space="preserve">b) </w:t>
      </w:r>
      <w:r w:rsidRPr="00F770BD">
        <w:rPr>
          <w:b/>
          <w:bCs/>
        </w:rPr>
        <w:t>Gestantes e lactantes</w:t>
      </w:r>
      <w:r w:rsidRPr="00F770BD">
        <w:br/>
        <w:t>c) Fototipo alto (IV–VI)</w:t>
      </w:r>
      <w:r w:rsidRPr="00F770BD">
        <w:br/>
        <w:t>d) Uso de protetor solar diário</w:t>
      </w:r>
    </w:p>
    <w:p w14:paraId="0E9A7287" w14:textId="77777777" w:rsidR="00F770BD" w:rsidRPr="00F770BD" w:rsidRDefault="00F770BD" w:rsidP="00F770BD">
      <w:r w:rsidRPr="00F770BD">
        <w:pict w14:anchorId="6429A46D">
          <v:rect id="_x0000_i1100" style="width:0;height:1.5pt" o:hralign="center" o:hrstd="t" o:hr="t" fillcolor="#a0a0a0" stroked="f"/>
        </w:pict>
      </w:r>
    </w:p>
    <w:p w14:paraId="56285C44" w14:textId="77777777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lastRenderedPageBreak/>
        <w:t>10) Sobre expectativa e indicação, a orientação correta é:</w:t>
      </w:r>
    </w:p>
    <w:p w14:paraId="65687185" w14:textId="79922E95" w:rsidR="00F770BD" w:rsidRPr="00F770BD" w:rsidRDefault="00F770BD" w:rsidP="00F770BD">
      <w:r w:rsidRPr="00F770BD">
        <w:t xml:space="preserve">a) O </w:t>
      </w:r>
      <w:r w:rsidR="004262CC">
        <w:t>m</w:t>
      </w:r>
      <w:r w:rsidRPr="00F770BD">
        <w:t>esoestabyl substitui lipoaspiração em grandes volumes</w:t>
      </w:r>
      <w:r w:rsidRPr="00F770BD">
        <w:br/>
        <w:t xml:space="preserve">b) </w:t>
      </w:r>
      <w:r w:rsidRPr="00F770BD">
        <w:rPr>
          <w:b/>
          <w:bCs/>
        </w:rPr>
        <w:t>É ideal para áreas pequenas e localizadas; exige alinhamento de expectativa (não substitui cirurgia plástica)</w:t>
      </w:r>
      <w:r w:rsidRPr="00F770BD">
        <w:br/>
        <w:t>c) É indicado principalmente quando há flacidez moderada a grave</w:t>
      </w:r>
      <w:r w:rsidRPr="00F770BD">
        <w:br/>
        <w:t>d) Quanto maior o IMC, melhor a previsibilidade do remodelamento</w:t>
      </w:r>
    </w:p>
    <w:p w14:paraId="72D7ECD4" w14:textId="77777777" w:rsidR="00F770BD" w:rsidRPr="00F770BD" w:rsidRDefault="00F770BD" w:rsidP="00F770BD">
      <w:r w:rsidRPr="00F770BD">
        <w:pict w14:anchorId="2C95C35D">
          <v:rect id="_x0000_i1101" style="width:0;height:1.5pt" o:hralign="center" o:hrstd="t" o:hr="t" fillcolor="#a0a0a0" stroked="f"/>
        </w:pict>
      </w:r>
    </w:p>
    <w:p w14:paraId="60A58856" w14:textId="77777777" w:rsidR="00F770BD" w:rsidRPr="00F770BD" w:rsidRDefault="00F770BD" w:rsidP="00F770BD">
      <w:pPr>
        <w:rPr>
          <w:b/>
          <w:bCs/>
        </w:rPr>
      </w:pPr>
      <w:r w:rsidRPr="00F770BD">
        <w:rPr>
          <w:b/>
          <w:bCs/>
        </w:rPr>
        <w:t>Gabarito</w:t>
      </w:r>
    </w:p>
    <w:p w14:paraId="496C26E1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c</w:t>
      </w:r>
    </w:p>
    <w:p w14:paraId="551C6532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c</w:t>
      </w:r>
    </w:p>
    <w:p w14:paraId="3D6318BD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b</w:t>
      </w:r>
    </w:p>
    <w:p w14:paraId="1DB8E1E1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b</w:t>
      </w:r>
    </w:p>
    <w:p w14:paraId="58BE38B2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b</w:t>
      </w:r>
    </w:p>
    <w:p w14:paraId="1491FB34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b</w:t>
      </w:r>
    </w:p>
    <w:p w14:paraId="3F5EBB01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c</w:t>
      </w:r>
    </w:p>
    <w:p w14:paraId="3038E949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b</w:t>
      </w:r>
    </w:p>
    <w:p w14:paraId="125A59C8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b</w:t>
      </w:r>
    </w:p>
    <w:p w14:paraId="2F331357" w14:textId="77777777" w:rsidR="00F770BD" w:rsidRPr="00F770BD" w:rsidRDefault="00F770BD" w:rsidP="00F770BD">
      <w:pPr>
        <w:numPr>
          <w:ilvl w:val="0"/>
          <w:numId w:val="1"/>
        </w:numPr>
      </w:pPr>
      <w:r w:rsidRPr="00F770BD">
        <w:t>b</w:t>
      </w:r>
    </w:p>
    <w:sectPr w:rsidR="00F770BD" w:rsidRPr="00F77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71FE9"/>
    <w:multiLevelType w:val="multilevel"/>
    <w:tmpl w:val="D96C7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67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BD"/>
    <w:rsid w:val="004262CC"/>
    <w:rsid w:val="00D821B4"/>
    <w:rsid w:val="00F7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D7F04"/>
  <w15:chartTrackingRefBased/>
  <w15:docId w15:val="{05EA72D6-45D1-42F5-9229-BC0641ED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70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70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70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70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70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70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70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70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70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70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7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495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2</cp:revision>
  <dcterms:created xsi:type="dcterms:W3CDTF">2026-01-22T14:16:00Z</dcterms:created>
  <dcterms:modified xsi:type="dcterms:W3CDTF">2026-01-22T15:48:00Z</dcterms:modified>
</cp:coreProperties>
</file>