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Qual é uma das principais funções do ácido hialurônico na pele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a) Aumentar a sensibilidade ao sol.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b) Retirar totalmente o colágeno.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c) Reter uma alta quantidade de água, proporcionando hidratação e volume.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d) Diminuir a elasticidade e a firmeza dos tecidos.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Qual é uma das características preferidas dos preenchedores</w:t>
      </w:r>
      <w:r w:rsidDel="00000000" w:rsidR="00000000" w:rsidRPr="00000000">
        <w:rPr>
          <w:b w:val="1"/>
          <w:bCs w:val="1"/>
          <w:rtl w:val="0"/>
        </w:rPr>
        <w:t xml:space="preserve"> de ácido hialurônico?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a) Resultados de muito curta duração.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b) Tempo de recuperação pós-inserção prolongado.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c) Ser minimamente invasivo.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d) Ser de origem animal.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Qual tecnologia exclusiva é utilizada no desenvolvimento da linha mesofiller® para garantir sua qualidade, segurança e eficácia?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a) Swelling Factor.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b) densiMatrix®.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c) Luer-Lock.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d) TSK 30G.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Qual a concentração de ácido hialurônico (AH) no produto mesofiller® periocular?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a) 20 mg/ml.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b) 30 mg/ml.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c) 15 mg/ml.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d) 400 µm.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Como o ácido hialurônico se comporta, sendo um material viscoelástico?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a) Possui apenas propriedades viscosas.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b) Não possui propriedades elásticas.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c) Possui propriedades viscosas e elásticas quando se deformam.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d) Não se deforma sob força externa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que mede o Módulo Elástico (G’) o G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prime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um dos parâmetros que define o comportamento do </w:t>
      </w:r>
      <w:r w:rsidDel="00000000" w:rsidR="00000000" w:rsidRPr="00000000">
        <w:rPr>
          <w:b w:val="1"/>
          <w:bCs w:val="1"/>
          <w:rtl w:val="0"/>
        </w:rPr>
        <w:t xml:space="preserve">filler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?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a) A viscosidade ou característica pegajosa do preenchimento.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b) A capacidade de resistir à deformação e manter sua forma original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c) As interações com a fase líquida.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d) O Swelling Factor.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Qual é a durabilidade máxima da permanência no tecido do preenchedor mesofiller®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a) Até 6 meses.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b) Até 9 meses.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c) Até 12 meses.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d) Até 18 meses.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Qual é um dos benefícios de um 'swelling factor' muito baixo nos preenchedores mesofiller®?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a) Aumenta o risco de edema.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b) Torna o volume imprevisível após a inserção.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c) Diminui o risco de edema, especialmente em zonas de tecido fino.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d) Aumenta o tamanho residual de BDDE.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mesofiller® periocular é especificamente indicado para qual área de tratamento?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a) Aumento e contorno de lábios.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b) Zona temporal.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c) Zona periorbitária.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d) Cicatrizes hipotróficas.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Qual a zona de aplicação ideal para o mesofiller® global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a) Linha nasojugal.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b) Rugas periorbitárias externas.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c) Rinomodelação: dorso e supratip.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d) Somente hidratação de lábios.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