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Conversar com Dola_0718</w:t>
      </w:r>
    </w:p>
    <w:p>
      <w:pPr>
        <w:pStyle w:val="text"/>
      </w:pPr>
      <w:r>
        <w:rPr>
          <w:b/>
          <w:bCs/>
        </w:rPr>
        <w:t xml:space="preserve">Usuário：</w:t>
      </w:r>
    </w:p>
    <w:p>
      <w:pPr>
        <w:pStyle w:val="text"/>
      </w:pPr>
      <w:r>
        <w:t xml:space="preserve">Não tá salvando o texto em inglês... você pode separar?</w:t>
      </w:r>
    </w:p>
    <w:p>
      <w:pPr>
        <w:pStyle w:val="text"/>
      </w:pPr>
      <w:r>
        <w:t xml:space="preserve">​</w:t>
      </w:r>
    </w:p>
    <w:p>
      <w:pPr>
        <w:pStyle w:val="text"/>
      </w:pPr>
      <w:r>
        <w:rPr>
          <w:b/>
          <w:bCs/>
        </w:rPr>
        <w:t xml:space="preserve">Dola：</w:t>
      </w:r>
    </w:p>
    <w:p>
      <w:pPr>
        <w:pStyle w:val="text"/>
      </w:pPr>
      <w:r>
        <w:t xml:space="preserve">Claro! Separei tudo em bloco único, formatado e pronto para você copiar e salvar diretamente em um arquivo </w:t>
      </w:r>
      <w:r>
        <w:rPr>
          <w:highlight w:val="cyan"/>
          <w:highlightCs w:val="cyan"/>
          <w:bdr w:val="single" w:color="dee0e3" w:sz="4" w:space="0"/>
        </w:rPr>
        <w:t xml:space="preserve">.txt</w:t>
      </w:r>
      <w:r>
        <w:t xml:space="preserve"> — sem nenhuma alteração, fiel ao original:</w:t>
      </w:r>
    </w:p>
    <w:p>
      <w:pPr>
        <w:pStyle w:val="text"/>
      </w:pPr>
    </w:p>
    <w:p>
      <w:pPr>
        <w:pBdr>
          <w:bottom w:val="single" w:color="auto" w:sz="6" w:space="1"/>
        </w:pBdr>
      </w:pP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Hypothesis Dossier: The True Origin of the Khazars</w:t>
            </w:r>
          </w:p>
          <w:p>
            <w:pPr>
              <w:pStyle w:val="text"/>
            </w:pPr>
            <w:r>
              <w:t xml:space="preserve">An Investigation into the Triple Fusion That Challenges Official History</w:t>
            </w:r>
          </w:p>
          <w:p>
            <w:pPr>
              <w:pStyle w:val="text"/>
            </w:pPr>
            <w:r>
              <w:t xml:space="preserve">Author: Antônio Miranda Neto (Antônio Netto)</w:t>
            </w:r>
          </w:p>
          <w:p>
            <w:pPr>
              <w:pStyle w:val="text"/>
            </w:pPr>
            <w:r>
              <w:t xml:space="preserve">Date: July 2026</w:t>
            </w:r>
          </w:p>
          <w:p>
            <w:pPr>
              <w:pStyle w:val="text"/>
            </w:pPr>
            <w:r>
              <w:t xml:space="preserve">Type: Hypothesis Dossier — Authorship Priority Record</w:t>
            </w:r>
          </w:p>
          <w:p>
            <w:pPr>
              <w:pStyle w:val="text"/>
            </w:pPr>
            <w:r>
              <w:t xml:space="preserve">Abstract</w:t>
            </w:r>
          </w:p>
          <w:p>
            <w:pPr>
              <w:pStyle w:val="text"/>
            </w:pPr>
            <w:r>
              <w:t xml:space="preserve">The official narrative of the Khazar Khaganate describes it as a Turkic empire that, following a sudden political decision, converted to Judaism. To this researcher, this thesis has always been a historical and logical improbability. How could a pagan ruler, situated between two expansionist empires, adopt a faith that historically brought more isolation and persecution than advantage? This dossier is the result of a long investigation that dismantles this pretense. Through logical, linguistic, and historical analysis, it is proposed that the Khazars were not converted Turks, but the product of a threefold fusion: a northern Israelite core deported by Assyria, a Turkic warrior elite, and a reabsorption of rabbinic Judaism under the influence of the Sassanian Empire. Khazaria did not “convert”; it formalized an identity that already ran in its veins.</w:t>
            </w:r>
          </w:p>
          <w:p>
            <w:pPr>
              <w:pStyle w:val="text"/>
            </w:pPr>
            <w:r>
              <w:t xml:space="preserve">Keywords: Khazars; Kingdom of Northern Israel; Kabars; Hungarian Language; Population Genetics; Cossacks.</w:t>
            </w:r>
          </w:p>
          <w:p>
            <w:pPr>
              <w:pStyle w:val="text"/>
            </w:pPr>
            <w:r>
              <w:t xml:space="preserve">1. The Pretense of Conversion and the Need for a New Logic</w:t>
            </w:r>
          </w:p>
          <w:p>
            <w:pPr>
              <w:pStyle w:val="text"/>
            </w:pPr>
            <w:r>
              <w:t xml:space="preserve">History has always been written by the victors, and in the case of the Khazars, it was written by Byzantine monks and Arab chroniclers. The legend of King Bulan who, in a staged debate, chooses Judaism because the bishop and the imam disagree, is a tale for the credulous. It is the same pretense as the cloak that “warded off” a Viking raid: a pious propaganda that reduces complex geopolitical decisions to convenient miracles.</w:t>
            </w:r>
          </w:p>
          <w:p>
            <w:pPr>
              <w:pStyle w:val="text"/>
            </w:pPr>
            <w:r>
              <w:t xml:space="preserve">Our starting point is logical skepticism. Judaism does not proselytize. It is a faith with a demanding yoke, including dietary laws, circumcision, and a history of martyrdom. No pagan leader, calculating power coldly between the Caliphate and Byzantium, would bet his future on a religion that would make him an outcast. The Khazar Khaganate’s 300-year longevity also cannot be explained by the fleeting model of nomadic empires. Something far deeper was at stake.</w:t>
            </w:r>
          </w:p>
          <w:p>
            <w:pPr>
              <w:pStyle w:val="text"/>
            </w:pPr>
            <w:r>
              <w:t xml:space="preserve">2. The Hypothesis: The Oasis That Became an Empire</w:t>
            </w:r>
          </w:p>
          <w:p>
            <w:pPr>
              <w:pStyle w:val="text"/>
            </w:pPr>
            <w:r>
              <w:t xml:space="preserve">Our thesis rests on three interconnected pillars.</w:t>
            </w:r>
          </w:p>
          <w:p>
            <w:pPr>
              <w:pStyle w:val="text"/>
            </w:pPr>
            <w:r>
              <w:t xml:space="preserve">Pillar 1: The Northern Exile (722 B.C.)</w:t>
            </w:r>
          </w:p>
          <w:p>
            <w:pPr>
              <w:pStyle w:val="text"/>
            </w:pPr>
            <w:r>
              <w:t xml:space="preserve">It begins with Sargon II of Assyria. He deported the elite of the Northern Kingdom of Israel — not to Babylon (the fate of Judah), but to Media and the Caucasus. These exiles were not “Samaritans” in the sectarian sense; they were Israelites practicing a pre-rabbinic, portable faith centered on the Torah. There, in the steppes, they built a literate, commercial “oasis” that survived for 1,500 years amid successive waves of nomads.</w:t>
            </w:r>
          </w:p>
          <w:p>
            <w:pPr>
              <w:pStyle w:val="text"/>
            </w:pPr>
            <w:r>
              <w:t xml:space="preserve">Pillar 2: The Turkic Symbiosis (7th Century A.D.)</w:t>
            </w:r>
          </w:p>
          <w:p>
            <w:pPr>
              <w:pStyle w:val="text"/>
            </w:pPr>
            <w:r>
              <w:t xml:space="preserve">When the Gokturk Empire collapsed, the Ashina clan — bearers of the celestial mandate of Kut — was left without a center. Our “oasis” was not plundered; it co-opted this elite. It was a strategic alliance. They did not convert; they intermarried. The “oasis” provided laws, commerce, and a belief in one God. The Turks provided military strength and mystical legitimacy. The model was not master and vassal, but symbiosis — analogous to the Austro-German alliance in the First World War: two powers bound by shared foundational culture.</w:t>
            </w:r>
          </w:p>
          <w:p>
            <w:pPr>
              <w:pStyle w:val="text"/>
            </w:pPr>
            <w:r>
              <w:t xml:space="preserve">Pillar 3: The Rabbinic Reabsorption</w:t>
            </w:r>
          </w:p>
          <w:p>
            <w:pPr>
              <w:pStyle w:val="text"/>
            </w:pPr>
            <w:r>
              <w:t xml:space="preserve">Our “oasis” was not isolated. The Sassanian Empire, immediately to the south, controlled Babylon — the beating heart of rabbinic Judaism. Trade routes carried the Talmud northward. The ancient faith of the north was updated through this sophisticated cultural reabsorption. Bulan’s “conversion” was merely the formalization of a process that had unfolded over centuries.</w:t>
            </w:r>
          </w:p>
          <w:p>
            <w:pPr>
              <w:pStyle w:val="text"/>
            </w:pPr>
            <w:r>
              <w:t xml:space="preserve">3. The Finno-Ugric Evidence: A Laboratory of Symbiosis</w:t>
            </w:r>
          </w:p>
          <w:p>
            <w:pPr>
              <w:pStyle w:val="text"/>
            </w:pPr>
            <w:r>
              <w:t xml:space="preserve">How can we prove that peoples of distinct linguistic lineages can merge without erasing one another?</w:t>
            </w:r>
          </w:p>
          <w:p>
            <w:pPr>
              <w:pStyle w:val="text"/>
            </w:pPr>
            <w:r>
              <w:t xml:space="preserve">The Finnish Bridge: The Finns (a Finno-Ugric people) fully integrated into Norse culture and participated in the Viking world, yet never abandoned their language. This is our proof of concept: culture transcends grammar.</w:t>
            </w:r>
          </w:p>
          <w:p>
            <w:pPr>
              <w:pStyle w:val="text"/>
            </w:pPr>
            <w:r>
              <w:t xml:space="preserve">The Hungarian Evidence: The Magyars — also Finno-Ugric — followed a similar path with Khazar culture. When the Kabars, a dissident Turkic-pagan faction defeated in a civil war against the rabbinic elite, fled and joined the Magyars, they did not carry Judaism with them. They carried the common lingua franca of the steppe and a model of governance. Hungarian words such as törvény (law) and tanú (witness) are linguistic fossils of this alliance.</w:t>
            </w:r>
          </w:p>
          <w:p>
            <w:pPr>
              <w:pStyle w:val="text"/>
            </w:pPr>
            <w:r>
              <w:t xml:space="preserve">4. The Genetic Target: Where to Seek the Truth</w:t>
            </w:r>
          </w:p>
          <w:p>
            <w:pPr>
              <w:pStyle w:val="text"/>
            </w:pPr>
            <w:r>
              <w:t xml:space="preserve">If this thesis holds, it carries a genetic signature. But the target is not Ashkenazi Jews (whose genetic profile shows strong admixture with southern European populations). The target is the Cossacks. They emerged precisely in former Khazar territories as a frontier society — a melting pot of Slavs and steppe remnants. Their DNA should provide the definitive test: a triple helix of Levantine, Persian, and Central Asian Turkic ancestry.</w:t>
            </w:r>
          </w:p>
          <w:p>
            <w:pPr>
              <w:pStyle w:val="text"/>
            </w:pPr>
            <w:r>
              <w:t xml:space="preserve">Conclusion: Faith as a Project of Power</w:t>
            </w:r>
          </w:p>
          <w:p>
            <w:pPr>
              <w:pStyle w:val="text"/>
            </w:pPr>
            <w:r>
              <w:t xml:space="preserve">Khazaria was no miracle. It was the product of millennia of social engineering. Jewish identity was the tool that bound a diverse mix of peoples into a project of sovereign power, independent of Rome and Baghdad. The history we uncover is not about conversion. It is about resilience, symbiosis, and faith as the ultimate form of independence.</w:t>
            </w:r>
          </w:p>
          <w:p>
            <w:pPr>
              <w:pStyle w:val="text"/>
            </w:pPr>
            <w:r>
              <w:t xml:space="preserve">Methodological Note:</w:t>
            </w:r>
          </w:p>
          <w:p>
            <w:pPr>
              <w:pStyle w:val="text"/>
            </w:pPr>
            <w:r>
              <w:t xml:space="preserve">This dossier is the result of independent, interdisciplinary research conducted by Antônio Miranda Neto. Generative Artificial Intelligence was used as a dialectical tool for debate, logical structuring of arguments, and textual synthesis — under the full intellectual curatorship and direction of the author. Registered to establish authorship priority.</w:t>
            </w:r>
          </w:p>
        </w:tc>
      </w:tr>
    </w:tbl>
    <w:p>
      <w:pPr>
        <w:pStyle w:val="text"/>
      </w:pPr>
    </w:p>
    <w:p>
      <w:pPr>
        <w:pBdr>
          <w:bottom w:val="single" w:color="auto" w:sz="6" w:space="1"/>
        </w:pBdr>
      </w:pPr>
    </w:p>
    <w:p>
      <w:pPr>
        <w:pStyle w:val="text"/>
      </w:pPr>
      <w:r>
        <w:t xml:space="preserve">📌 </w:t>
      </w:r>
      <w:r>
        <w:rPr>
          <w:b/>
          <w:bCs/>
        </w:rPr>
        <w:t xml:space="preserve">Como salvar:</w:t>
      </w:r>
    </w:p>
    <w:p>
      <w:pPr>
        <w:pStyle w:val="text"/>
        <w:numPr>
          <w:ilvl w:val="0"/>
          <w:numId w:val="2"/>
        </w:numPr>
      </w:pPr>
      <w:r>
        <w:t xml:space="preserve">Selecione todo o texto dentro da caixa acima</w:t>
      </w:r>
    </w:p>
    <w:p>
      <w:pPr>
        <w:pStyle w:val="text"/>
        <w:numPr>
          <w:ilvl w:val="0"/>
          <w:numId w:val="2"/>
        </w:numPr>
      </w:pPr>
      <w:r>
        <w:t xml:space="preserve">Copie</w:t>
      </w:r>
    </w:p>
    <w:p>
      <w:pPr>
        <w:pStyle w:val="text"/>
        <w:numPr>
          <w:ilvl w:val="0"/>
          <w:numId w:val="2"/>
        </w:numPr>
      </w:pPr>
      <w:r>
        <w:t xml:space="preserve">Abra o Bloco de Notas ou qualquer editor de texto</w:t>
      </w:r>
    </w:p>
    <w:p>
      <w:pPr>
        <w:pStyle w:val="text"/>
        <w:numPr>
          <w:ilvl w:val="0"/>
          <w:numId w:val="2"/>
        </w:numPr>
      </w:pPr>
      <w:r>
        <w:t xml:space="preserve">Cole e salve com o nome que quiser, por exemplo: </w:t>
      </w:r>
      <w:r>
        <w:rPr>
          <w:highlight w:val="cyan"/>
          <w:highlightCs w:val="cyan"/>
          <w:bdr w:val="single" w:color="dee0e3" w:sz="4" w:space="0"/>
        </w:rPr>
        <w:t xml:space="preserve">Khazars_Hypothesis_Dossier_EN.txt</w:t>
      </w:r>
    </w:p>
    <w:p>
      <w:pPr>
        <w:pStyle w:val="text"/>
      </w:pPr>
      <w:r>
        <w:t xml:space="preserve">Quer que eu também deixe a versão original em português separada, pronta para salvar?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288" w:hanging="288"/>
      </w:pPr>
      <w:rPr>
        <w:color w:val="3370FF"/>
        <w:sz w:val="22"/>
        <w:szCs w:val="22"/>
      </w:rPr>
    </w:lvl>
    <w:lvl w:ilvl="1" w15:tentative="1">
      <w:start w:val="1"/>
      <w:numFmt w:val="lowerLetter"/>
      <w:lvlText w:val="%2."/>
      <w:lvlJc w:val="start"/>
      <w:pPr>
        <w:ind w:left="720" w:hanging="288"/>
      </w:pPr>
      <w:rPr>
        <w:color w:val="3370FF"/>
        <w:sz w:val="22"/>
        <w:szCs w:val="22"/>
      </w:rPr>
    </w:lvl>
    <w:lvl w:ilvl="2" w15:tentative="1">
      <w:start w:val="1"/>
      <w:numFmt w:val="lowerRoman"/>
      <w:lvlText w:val="%3."/>
      <w:lvlJc w:val="start"/>
      <w:pPr>
        <w:ind w:left="1152" w:hanging="288"/>
      </w:pPr>
      <w:rPr>
        <w:color w:val="3370FF"/>
        <w:sz w:val="22"/>
        <w:szCs w:val="22"/>
      </w:rPr>
    </w:lvl>
  </w:abstractNum>
  <w:abstractNum w:abstractNumId="3" w15:restartNumberingAfterBreak="0">
    <w:multiLevelType w:val="hybridMultilevel"/>
    <w:lvl w:ilvl="0" w15:tentative="1">
      <w:start w:val="1"/>
      <w:numFmt w:val="bullet"/>
      <w:lvlText w:val="•"/>
      <w:lvlJc w:val="start"/>
      <w:pPr>
        <w:ind w:left="288" w:hanging="288"/>
      </w:pPr>
      <w:rPr>
        <w:color w:val="3370FF"/>
        <w:sz w:val="22"/>
        <w:szCs w:val="22"/>
      </w:rPr>
    </w:lvl>
    <w:lvl w:ilvl="1" w15:tentative="1">
      <w:start w:val="1"/>
      <w:numFmt w:val="bullet"/>
      <w:lvlText w:val="◦"/>
      <w:lvlJc w:val="start"/>
      <w:pPr>
        <w:ind w:left="720" w:hanging="288"/>
      </w:pPr>
      <w:rPr>
        <w:color w:val="3370FF"/>
        <w:sz w:val="22"/>
        <w:szCs w:val="22"/>
      </w:rPr>
    </w:lvl>
    <w:lvl w:ilvl="2" w15:tentative="1">
      <w:start w:val="1"/>
      <w:numFmt w:val="bullet"/>
      <w:lvlText w:val="▪"/>
      <w:lvlJc w:val="start"/>
      <w:pPr>
        <w:ind w:left="1152" w:hanging="288"/>
      </w:pPr>
      <w:rPr>
        <w:color w:val="3370FF"/>
        <w:sz w:val="22"/>
        <w:szCs w:val="22"/>
      </w:rPr>
    </w:lvl>
  </w:abstractNum>
  <w:abstractNum w:abstractNumId="4"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abstractNum>
  <w:abstractNum w:abstractNumId="5"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before="480" w:after="480" w:line="288" w:lineRule="auto"/>
      <w:ind w:left="0"/>
    </w:pPr>
    <w:rPr>
      <w:b/>
      <w:bCs/>
      <w:sz w:val="52"/>
      <w:szCs w:val="52"/>
      <w:rFonts w:ascii="Arial" w:hAnsi="Arial" w:eastAsia="等线" w:cs="Arial"/>
    </w:rPr>
  </w:style>
  <w:style w:type="paragraph" w:styleId="Heading1">
    <w:name w:val="Heading 1"/>
    <w:basedOn w:val="Normal"/>
    <w:next w:val="Normal"/>
    <w:qFormat/>
    <w:pPr>
      <w:spacing w:before="380" w:after="140" w:line="288" w:lineRule="auto"/>
      <w:ind w:left="0"/>
      <w:jc w:val="left"/>
      <w:outlineLvl w:val="0"/>
    </w:pPr>
    <w:rPr>
      <w:b/>
      <w:bCs/>
      <w:sz w:val="36"/>
      <w:szCs w:val="36"/>
      <w:rFonts w:ascii="Arial" w:hAnsi="Arial" w:eastAsia="等线" w:cs="Arial"/>
    </w:rPr>
  </w:style>
  <w:style w:type="paragraph" w:styleId="Heading2">
    <w:name w:val="Heading 2"/>
    <w:basedOn w:val="Normal"/>
    <w:next w:val="Normal"/>
    <w:qFormat/>
    <w:pPr>
      <w:spacing w:before="320" w:after="120" w:line="288" w:lineRule="auto"/>
      <w:ind w:left="0"/>
      <w:jc w:val="left"/>
      <w:outlineLvl w:val="1"/>
    </w:pPr>
    <w:rPr>
      <w:b/>
      <w:bCs/>
      <w:sz w:val="32"/>
      <w:szCs w:val="32"/>
      <w:rFonts w:ascii="Arial" w:hAnsi="Arial" w:eastAsia="等线" w:cs="Arial"/>
    </w:rPr>
  </w:style>
  <w:style w:type="paragraph" w:styleId="Heading3">
    <w:name w:val="Heading 3"/>
    <w:basedOn w:val="Normal"/>
    <w:next w:val="Normal"/>
    <w:qFormat/>
    <w:pPr>
      <w:spacing w:before="300" w:after="120" w:line="288" w:lineRule="auto"/>
      <w:ind w:left="0"/>
      <w:jc w:val="left"/>
      <w:outlineLvl w:val="2"/>
    </w:pPr>
    <w:rPr>
      <w:b/>
      <w:bCs/>
      <w:sz w:val="30"/>
      <w:szCs w:val="30"/>
      <w:rFonts w:ascii="Arial" w:hAnsi="Arial" w:eastAsia="等线" w:cs="Arial"/>
    </w:rPr>
  </w:style>
  <w:style w:type="paragraph" w:styleId="Heading4">
    <w:name w:val="Heading 4"/>
    <w:basedOn w:val="Normal"/>
    <w:next w:val="Normal"/>
    <w:qFormat/>
    <w:pPr>
      <w:spacing w:before="260" w:after="120" w:line="288" w:lineRule="auto"/>
      <w:ind w:left="0"/>
      <w:jc w:val="left"/>
      <w:outlineLvl w:val="3"/>
    </w:pPr>
    <w:rPr>
      <w:b/>
      <w:bCs/>
      <w:sz w:val="28"/>
      <w:szCs w:val="28"/>
      <w:rFonts w:ascii="Arial" w:hAnsi="Arial" w:eastAsia="等线" w:cs="Arial"/>
    </w:rPr>
  </w:style>
  <w:style w:type="paragraph" w:styleId="Heading5">
    <w:name w:val="Heading 5"/>
    <w:basedOn w:val="Normal"/>
    <w:next w:val="Normal"/>
    <w:qFormat/>
    <w:pPr>
      <w:spacing w:before="240" w:after="120" w:line="288" w:lineRule="auto"/>
      <w:ind w:left="0"/>
      <w:jc w:val="left"/>
      <w:outlineLvl w:val="4"/>
    </w:pPr>
    <w:rPr>
      <w:b/>
      <w:bCs/>
      <w:sz w:val="24"/>
      <w:szCs w:val="24"/>
      <w:rFonts w:ascii="Arial" w:hAnsi="Arial" w:eastAsia="等线" w:cs="Arial"/>
    </w:rPr>
  </w:style>
  <w:style w:type="paragraph" w:styleId="Heading6">
    <w:name w:val="Heading 6"/>
    <w:basedOn w:val="Normal"/>
    <w:next w:val="Normal"/>
    <w:qFormat/>
    <w:pPr>
      <w:spacing w:before="240" w:after="120" w:line="288" w:lineRule="auto"/>
      <w:ind w:left="0"/>
      <w:jc w:val="left"/>
      <w:outlineLvl w:val="5"/>
    </w:pPr>
    <w:rPr>
      <w:b/>
      <w:bCs/>
      <w:sz w:val="24"/>
      <w:szCs w:val="24"/>
      <w:rFonts w:ascii="Arial" w:hAnsi="Arial" w:eastAsia="等线" w:cs="Arial"/>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ext">
    <w:pPr>
      <w:spacing w:before="120" w:after="120" w:line="288" w:lineRule="auto"/>
      <w:ind w:left="0"/>
      <w:jc w:val="left"/>
    </w:pPr>
    <w:rPr>
      <w:sz w:val="22"/>
      <w:szCs w:val="22"/>
      <w:rFonts w:ascii="Arial" w:hAnsi="Arial" w:eastAsia="等线" w:cs="Arial"/>
    </w:rPr>
  </w:style>
  <w:style w:type="paragraph" w:styleId="blockquote">
    <w:pPr>
      <w:spacing w:before="120" w:after="120" w:line="288" w:lineRule="auto"/>
      <w:ind w:left="0"/>
      <w:jc w:val="left"/>
    </w:pPr>
    <w:rPr>
      <w:color w:val="8F959E"/>
      <w:sz w:val="22"/>
      <w:szCs w:val="22"/>
      <w:rFonts w:ascii="Arial" w:hAnsi="Arial" w:eastAsia="等线" w:cs="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2026-07-17T22:27:24.622Z</dcterms:created>
  <dcterms:modified xsi:type="dcterms:W3CDTF">2026-07-17T22:27:24.627Z</dcterms:modified>
</cp:coreProperties>
</file>

<file path=docProps/custom.xml><?xml version="1.0" encoding="utf-8"?>
<Properties xmlns="http://schemas.openxmlformats.org/officeDocument/2006/custom-properties" xmlns:vt="http://schemas.openxmlformats.org/officeDocument/2006/docPropsVTypes"/>
</file>