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Proposal Rencana Anggaran Biaya (RAB) Proyek Agroplay</w:t>
      </w:r>
    </w:p>
    <w:p>
      <w:r>
        <w:t>Dokumen ini menyajikan Rencana Anggaran Biaya (RAB) untuk pengembangan proyek Agroplay dalam skema Minimum Viable Product (MVP). Penyusunan anggaran dilakukan dengan pendekatan efisiensi teknologi, pembatasan ruang lingkup pekerjaan, serta pemanfaatan infrastruktur cloud modern agar biaya tetap rendah tanpa mengorbankan kualitas dan profesionalitas produk.</w:t>
      </w:r>
    </w:p>
    <w:p>
      <w:pPr>
        <w:pStyle w:val="Heading2"/>
      </w:pPr>
      <w:r>
        <w:t>Tabel Estimasi Biaya Proyek Agroplay (Paket MVP Hemat)</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No</w:t>
            </w:r>
          </w:p>
        </w:tc>
        <w:tc>
          <w:tcPr>
            <w:tcW w:type="dxa" w:w="1728"/>
          </w:tcPr>
          <w:p>
            <w:r>
              <w:t>Kategori Pengeluaran</w:t>
            </w:r>
          </w:p>
        </w:tc>
        <w:tc>
          <w:tcPr>
            <w:tcW w:type="dxa" w:w="1728"/>
          </w:tcPr>
          <w:p>
            <w:r>
              <w:t>Ruang Lingkup Teknis</w:t>
            </w:r>
          </w:p>
        </w:tc>
        <w:tc>
          <w:tcPr>
            <w:tcW w:type="dxa" w:w="1728"/>
          </w:tcPr>
          <w:p>
            <w:r>
              <w:t>Alokasi Dana (IDR)</w:t>
            </w:r>
          </w:p>
        </w:tc>
        <w:tc>
          <w:tcPr>
            <w:tcW w:type="dxa" w:w="1728"/>
          </w:tcPr>
          <w:p>
            <w:r>
              <w:t>Persentase</w:t>
            </w:r>
          </w:p>
        </w:tc>
      </w:tr>
      <w:tr>
        <w:tc>
          <w:tcPr>
            <w:tcW w:type="dxa" w:w="1728"/>
          </w:tcPr>
          <w:p>
            <w:r>
              <w:t>1</w:t>
            </w:r>
          </w:p>
        </w:tc>
        <w:tc>
          <w:tcPr>
            <w:tcW w:type="dxa" w:w="1728"/>
          </w:tcPr>
          <w:p>
            <w:r>
              <w:t>Jasa Development (Frontend &amp; PWA)</w:t>
            </w:r>
          </w:p>
        </w:tc>
        <w:tc>
          <w:tcPr>
            <w:tcW w:type="dxa" w:w="1728"/>
          </w:tcPr>
          <w:p>
            <w:r>
              <w:t>Implementasi UI dari wireframe ke kode produksi, pengembangan navigasi, fitur pencarian dan filter, optimasi performa, serta konfigurasi Progressive Web App agar dapat di-install di perangkat pengguna.</w:t>
            </w:r>
          </w:p>
        </w:tc>
        <w:tc>
          <w:tcPr>
            <w:tcW w:type="dxa" w:w="1728"/>
          </w:tcPr>
          <w:p>
            <w:r>
              <w:t>Rp 2.400.000</w:t>
            </w:r>
          </w:p>
        </w:tc>
        <w:tc>
          <w:tcPr>
            <w:tcW w:type="dxa" w:w="1728"/>
          </w:tcPr>
          <w:p>
            <w:r>
              <w:t>60%</w:t>
            </w:r>
          </w:p>
        </w:tc>
      </w:tr>
      <w:tr>
        <w:tc>
          <w:tcPr>
            <w:tcW w:type="dxa" w:w="1728"/>
          </w:tcPr>
          <w:p>
            <w:r>
              <w:t>2</w:t>
            </w:r>
          </w:p>
        </w:tc>
        <w:tc>
          <w:tcPr>
            <w:tcW w:type="dxa" w:w="1728"/>
          </w:tcPr>
          <w:p>
            <w:r>
              <w:t>Manajemen Konten &amp; Aset Visual</w:t>
            </w:r>
          </w:p>
        </w:tc>
        <w:tc>
          <w:tcPr>
            <w:tcW w:type="dxa" w:w="1728"/>
          </w:tcPr>
          <w:p>
            <w:r>
              <w:t>Kurasi dan optimasi aset visual produk pertanian, kompresi manual gambar, standarisasi resolusi dan rasio agar ramah bandwidth dan cepat dimuat.</w:t>
            </w:r>
          </w:p>
        </w:tc>
        <w:tc>
          <w:tcPr>
            <w:tcW w:type="dxa" w:w="1728"/>
          </w:tcPr>
          <w:p>
            <w:r>
              <w:t>Rp 600.000</w:t>
            </w:r>
          </w:p>
        </w:tc>
        <w:tc>
          <w:tcPr>
            <w:tcW w:type="dxa" w:w="1728"/>
          </w:tcPr>
          <w:p>
            <w:r>
              <w:t>15%</w:t>
            </w:r>
          </w:p>
        </w:tc>
      </w:tr>
      <w:tr>
        <w:tc>
          <w:tcPr>
            <w:tcW w:type="dxa" w:w="1728"/>
          </w:tcPr>
          <w:p>
            <w:r>
              <w:t>3</w:t>
            </w:r>
          </w:p>
        </w:tc>
        <w:tc>
          <w:tcPr>
            <w:tcW w:type="dxa" w:w="1728"/>
          </w:tcPr>
          <w:p>
            <w:r>
              <w:t>Infrastruktur &amp; Deployment</w:t>
            </w:r>
          </w:p>
        </w:tc>
        <w:tc>
          <w:tcPr>
            <w:tcW w:type="dxa" w:w="1728"/>
          </w:tcPr>
          <w:p>
            <w:r>
              <w:t>Registrasi domain 1 tahun (.com/.id), deployment aplikasi ke Vercel/Netlify/Cloudflare Pages menggunakan free tier, konfigurasi DNS dan SSL.</w:t>
            </w:r>
          </w:p>
        </w:tc>
        <w:tc>
          <w:tcPr>
            <w:tcW w:type="dxa" w:w="1728"/>
          </w:tcPr>
          <w:p>
            <w:r>
              <w:t>Rp 400.000</w:t>
            </w:r>
          </w:p>
        </w:tc>
        <w:tc>
          <w:tcPr>
            <w:tcW w:type="dxa" w:w="1728"/>
          </w:tcPr>
          <w:p>
            <w:r>
              <w:t>10%</w:t>
            </w:r>
          </w:p>
        </w:tc>
      </w:tr>
      <w:tr>
        <w:tc>
          <w:tcPr>
            <w:tcW w:type="dxa" w:w="1728"/>
          </w:tcPr>
          <w:p>
            <w:r>
              <w:t>4</w:t>
            </w:r>
          </w:p>
        </w:tc>
        <w:tc>
          <w:tcPr>
            <w:tcW w:type="dxa" w:w="1728"/>
          </w:tcPr>
          <w:p>
            <w:r>
              <w:t>Support, Dokumentasi &amp; Handover</w:t>
            </w:r>
          </w:p>
        </w:tc>
        <w:tc>
          <w:tcPr>
            <w:tcW w:type="dxa" w:w="1728"/>
          </w:tcPr>
          <w:p>
            <w:r>
              <w:t>Pelatihan pengguna via Zoom/Meet, dokumentasi penggunaan singkat, serta garansi perbaikan bug selama 1 bulan setelah aplikasi dirilis.</w:t>
            </w:r>
          </w:p>
        </w:tc>
        <w:tc>
          <w:tcPr>
            <w:tcW w:type="dxa" w:w="1728"/>
          </w:tcPr>
          <w:p>
            <w:r>
              <w:t>Rp 600.000</w:t>
            </w:r>
          </w:p>
        </w:tc>
        <w:tc>
          <w:tcPr>
            <w:tcW w:type="dxa" w:w="1728"/>
          </w:tcPr>
          <w:p>
            <w:r>
              <w:t>15%</w:t>
            </w:r>
          </w:p>
        </w:tc>
      </w:tr>
    </w:tbl>
    <w:p>
      <w:r>
        <w:t>Total Anggaran Proyek: Rp 4.000.000 (Seratus persen)</w:t>
      </w:r>
    </w:p>
    <w:p>
      <w:pPr>
        <w:pStyle w:val="Heading2"/>
      </w:pPr>
      <w:r>
        <w:t>Perbandingan dengan Harga Pasar Pengembangan Aplikasi</w:t>
      </w:r>
    </w:p>
    <w:tbl>
      <w:tblPr>
        <w:tblW w:type="auto" w:w="0"/>
        <w:tblLook w:firstColumn="1" w:firstRow="1" w:lastColumn="0" w:lastRow="0" w:noHBand="0" w:noVBand="1" w:val="04A0"/>
      </w:tblPr>
      <w:tblGrid>
        <w:gridCol w:w="2880"/>
        <w:gridCol w:w="2880"/>
        <w:gridCol w:w="2880"/>
      </w:tblGrid>
      <w:tr>
        <w:tc>
          <w:tcPr>
            <w:tcW w:type="dxa" w:w="2880"/>
          </w:tcPr>
          <w:p>
            <w:r>
              <w:t>Komponen</w:t>
            </w:r>
          </w:p>
        </w:tc>
        <w:tc>
          <w:tcPr>
            <w:tcW w:type="dxa" w:w="2880"/>
          </w:tcPr>
          <w:p>
            <w:r>
              <w:t>Harga Pasar Umum</w:t>
            </w:r>
          </w:p>
        </w:tc>
        <w:tc>
          <w:tcPr>
            <w:tcW w:type="dxa" w:w="2880"/>
          </w:tcPr>
          <w:p>
            <w:r>
              <w:t>Harga Proposal Agroplay</w:t>
            </w:r>
          </w:p>
        </w:tc>
      </w:tr>
      <w:tr>
        <w:tc>
          <w:tcPr>
            <w:tcW w:type="dxa" w:w="2880"/>
          </w:tcPr>
          <w:p>
            <w:r>
              <w:t>Frontend Web App + PWA</w:t>
            </w:r>
          </w:p>
        </w:tc>
        <w:tc>
          <w:tcPr>
            <w:tcW w:type="dxa" w:w="2880"/>
          </w:tcPr>
          <w:p>
            <w:r>
              <w:t>Rp 5.000.000 – Rp 12.000.000</w:t>
            </w:r>
          </w:p>
        </w:tc>
        <w:tc>
          <w:tcPr>
            <w:tcW w:type="dxa" w:w="2880"/>
          </w:tcPr>
          <w:p>
            <w:r>
              <w:t>Rp 2.400.000</w:t>
            </w:r>
          </w:p>
        </w:tc>
      </w:tr>
      <w:tr>
        <w:tc>
          <w:tcPr>
            <w:tcW w:type="dxa" w:w="2880"/>
          </w:tcPr>
          <w:p>
            <w:r>
              <w:t>Manajemen Konten &amp; Aset</w:t>
            </w:r>
          </w:p>
        </w:tc>
        <w:tc>
          <w:tcPr>
            <w:tcW w:type="dxa" w:w="2880"/>
          </w:tcPr>
          <w:p>
            <w:r>
              <w:t>Rp 1.000.000 – Rp 3.000.000</w:t>
            </w:r>
          </w:p>
        </w:tc>
        <w:tc>
          <w:tcPr>
            <w:tcW w:type="dxa" w:w="2880"/>
          </w:tcPr>
          <w:p>
            <w:r>
              <w:t>Rp 600.000</w:t>
            </w:r>
          </w:p>
        </w:tc>
      </w:tr>
      <w:tr>
        <w:tc>
          <w:tcPr>
            <w:tcW w:type="dxa" w:w="2880"/>
          </w:tcPr>
          <w:p>
            <w:r>
              <w:t>Infrastruktur &amp; Deployment</w:t>
            </w:r>
          </w:p>
        </w:tc>
        <w:tc>
          <w:tcPr>
            <w:tcW w:type="dxa" w:w="2880"/>
          </w:tcPr>
          <w:p>
            <w:r>
              <w:t>Rp 500.000 – Rp 1.500.000</w:t>
            </w:r>
          </w:p>
        </w:tc>
        <w:tc>
          <w:tcPr>
            <w:tcW w:type="dxa" w:w="2880"/>
          </w:tcPr>
          <w:p>
            <w:r>
              <w:t>Rp 400.000</w:t>
            </w:r>
          </w:p>
        </w:tc>
      </w:tr>
      <w:tr>
        <w:tc>
          <w:tcPr>
            <w:tcW w:type="dxa" w:w="2880"/>
          </w:tcPr>
          <w:p>
            <w:r>
              <w:t>Support &amp; Training</w:t>
            </w:r>
          </w:p>
        </w:tc>
        <w:tc>
          <w:tcPr>
            <w:tcW w:type="dxa" w:w="2880"/>
          </w:tcPr>
          <w:p>
            <w:r>
              <w:t>Rp 1.000.000 – Rp 2.000.000</w:t>
            </w:r>
          </w:p>
        </w:tc>
        <w:tc>
          <w:tcPr>
            <w:tcW w:type="dxa" w:w="2880"/>
          </w:tcPr>
          <w:p>
            <w:r>
              <w:t>Rp 600.000</w:t>
            </w:r>
          </w:p>
        </w:tc>
      </w:tr>
      <w:tr>
        <w:tc>
          <w:tcPr>
            <w:tcW w:type="dxa" w:w="2880"/>
          </w:tcPr>
          <w:p>
            <w:r>
              <w:t>Total</w:t>
            </w:r>
          </w:p>
        </w:tc>
        <w:tc>
          <w:tcPr>
            <w:tcW w:type="dxa" w:w="2880"/>
          </w:tcPr>
          <w:p>
            <w:r>
              <w:t>Rp 8.000.000 – Rp 18.000.000</w:t>
            </w:r>
          </w:p>
        </w:tc>
        <w:tc>
          <w:tcPr>
            <w:tcW w:type="dxa" w:w="2880"/>
          </w:tcPr>
          <w:p>
            <w:r>
              <w:t>Rp 4.000.000</w:t>
            </w:r>
          </w:p>
        </w:tc>
      </w:tr>
    </w:tbl>
    <w:p>
      <w:pPr>
        <w:pStyle w:val="Heading2"/>
      </w:pPr>
      <w:r>
        <w:t>Strategi Infrastruktur dan Deployment</w:t>
      </w:r>
    </w:p>
    <w:p>
      <w:r>
        <w:t>Penggunaan platform deployment seperti Vercel, Netlify, atau Cloudflare Pages pada skema free tier dipilih karena memberikan performa tinggi, global CDN, SSL otomatis, dan stabilitas layanan. Strategi ini umum digunakan pada pengembangan MVP dan startup tahap awal, sehingga biaya operasional dapat ditekan tanpa menurunkan kualitas teknis aplikasi.</w:t>
      </w:r>
    </w:p>
    <w:p>
      <w:pPr>
        <w:pStyle w:val="Heading2"/>
      </w:pPr>
      <w:r>
        <w:t>Batasan Ruang Lingkup Pekerjaan (Scope Limitation)</w:t>
      </w:r>
    </w:p>
    <w:p>
      <w:r>
        <w:t>Proyek ini dibatasi pada pengembangan Web App atau Progressive Web App dan tidak mencakup pengembangan aplikasi native Android yang dipublikasikan ke Play Store. Data aplikasi bersifat statis atau semi-statis tanpa dashboard admin kompleks. Revisi desain dibatasi maksimal dua kali untuk perubahan minor pada aspek visual, tidak termasuk perubahan alur dan fitur utama aplikasi.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