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770" w:hRule="exact"/>
        </w:trPr>
        <w:tc>
          <w:tcPr>
            <w:tcW w:type="dxa" w:w="9638"/>
            <w:tcBorders>
              <w:top w:val="none" w:color="FFFFFF" w:sz="0"/>
              <w:left w:val="none" w:color="FFFFFF" w:sz="0"/>
              <w:bottom w:val="none" w:color="FFFFFF" w:sz="0"/>
              <w:right w:val="none" w:color="FFFFFF" w:sz="0"/>
            </w:tcBorders>
            <w:shd w:fill="2E2E2E" w:val="clear"/>
            <w:tcMar>
              <w:top w:type="dxa" w:w="1200"/>
              <w:left w:type="dxa" w:w="800"/>
              <w:bottom w:type="dxa" w:w="800"/>
              <w:right w:type="dxa" w:w="800"/>
            </w:tcMar>
            <w:vAlign w:val="top"/>
          </w:tcPr>
          <w:p>
            <w:pPr>
              <w:spacing w:after="60"/>
            </w:pPr>
            <w:r>
              <w:rPr>
                <w:rFonts w:ascii="Montserrat" w:cs="Montserrat" w:eastAsia="Montserrat" w:hAnsi="Montserrat"/>
                <w:b/>
                <w:bCs/>
                <w:color w:val="FF3535"/>
                <w:sz w:val="20"/>
                <w:szCs w:val="20"/>
              </w:rPr>
              <w:t xml:space="preserve">CONFIDENTIAL</w:t>
            </w:r>
          </w:p>
          <w:p>
            <w:pPr>
              <w:spacing w:after="700"/>
            </w:pPr>
          </w:p>
          <w:p>
            <w:pPr>
              <w:spacing w:after="0" w:line="240" w:lineRule="auto"/>
            </w:pPr>
            <w:r>
              <w:rPr>
                <w:rFonts w:ascii="Montserrat" w:cs="Montserrat" w:eastAsia="Montserrat" w:hAnsi="Montserrat"/>
                <w:b/>
                <w:bCs/>
                <w:color w:val="FFFFFF"/>
                <w:sz w:val="112"/>
                <w:szCs w:val="112"/>
              </w:rPr>
              <w:t xml:space="preserve">OneXtel</w:t>
            </w:r>
          </w:p>
          <w:p>
            <w:pPr>
              <w:spacing w:after="0" w:line="280" w:lineRule="auto"/>
            </w:pPr>
            <w:r>
              <w:rPr>
                <w:rFonts w:ascii="Montserrat" w:cs="Montserrat" w:eastAsia="Montserrat" w:hAnsi="Montserrat"/>
                <w:b w:val="false"/>
                <w:bCs w:val="false"/>
                <w:color w:val="FFFFFF"/>
                <w:sz w:val="60"/>
                <w:szCs w:val="60"/>
              </w:rPr>
              <w:t xml:space="preserve">Product State &amp;</w:t>
            </w:r>
          </w:p>
          <w:p>
            <w:pPr>
              <w:spacing w:after="0" w:line="280" w:lineRule="auto"/>
            </w:pPr>
            <w:r>
              <w:rPr>
                <w:rFonts w:ascii="Montserrat" w:cs="Montserrat" w:eastAsia="Montserrat" w:hAnsi="Montserrat"/>
                <w:b w:val="false"/>
                <w:bCs w:val="false"/>
                <w:color w:val="FFFFFF"/>
                <w:sz w:val="60"/>
                <w:szCs w:val="60"/>
              </w:rPr>
              <w:t xml:space="preserve">Direction Report</w:t>
            </w:r>
          </w:p>
          <w:p>
            <w:pPr>
              <w:spacing w:after="900"/>
            </w:pPr>
          </w:p>
          <w:p>
            <w:pPr>
              <w:pBdr>
                <w:bottom w:val="single" w:color="FF3535" w:sz="12" w:space="1"/>
              </w:pBdr>
              <w:spacing w:after="400" w:before="0"/>
            </w:pPr>
          </w:p>
          <w:p>
            <w:pPr>
              <w:spacing w:after="60"/>
            </w:pPr>
            <w:r>
              <w:rPr>
                <w:rFonts w:ascii="Montserrat" w:cs="Montserrat" w:eastAsia="Montserrat" w:hAnsi="Montserrat"/>
                <w:color w:val="9CA3AF"/>
                <w:sz w:val="20"/>
                <w:szCs w:val="20"/>
              </w:rPr>
              <w:t xml:space="preserve">Prepared for</w:t>
            </w:r>
          </w:p>
          <w:p>
            <w:pPr>
              <w:spacing w:after="240"/>
            </w:pPr>
            <w:r>
              <w:rPr>
                <w:rFonts w:ascii="Montserrat" w:cs="Montserrat" w:eastAsia="Montserrat" w:hAnsi="Montserrat"/>
                <w:b/>
                <w:bCs/>
                <w:color w:val="FFFFFF"/>
                <w:sz w:val="28"/>
                <w:szCs w:val="28"/>
              </w:rPr>
              <w:t xml:space="preserve">Leon &amp; Tarik</w:t>
            </w:r>
          </w:p>
          <w:p>
            <w:pPr>
              <w:spacing w:after="60"/>
            </w:pPr>
            <w:r>
              <w:rPr>
                <w:rFonts w:ascii="Montserrat" w:cs="Montserrat" w:eastAsia="Montserrat" w:hAnsi="Montserrat"/>
                <w:color w:val="9CA3AF"/>
                <w:sz w:val="20"/>
                <w:szCs w:val="20"/>
              </w:rPr>
              <w:t xml:space="preserve">From</w:t>
            </w:r>
          </w:p>
          <w:p>
            <w:pPr>
              <w:spacing w:after="240"/>
            </w:pPr>
            <w:r>
              <w:rPr>
                <w:rFonts w:ascii="Montserrat" w:cs="Montserrat" w:eastAsia="Montserrat" w:hAnsi="Montserrat"/>
                <w:color w:val="FFFFFF"/>
                <w:sz w:val="26"/>
                <w:szCs w:val="26"/>
              </w:rPr>
              <w:t xml:space="preserve">Udayan Das Chowdhury, Director of Products</w:t>
            </w:r>
          </w:p>
          <w:p>
            <w:pPr>
              <w:spacing w:after="0"/>
            </w:pPr>
            <w:r>
              <w:rPr>
                <w:rFonts w:ascii="Montserrat" w:cs="Montserrat" w:eastAsia="Montserrat" w:hAnsi="Montserrat"/>
                <w:color w:val="FF3535"/>
                <w:sz w:val="26"/>
                <w:szCs w:val="26"/>
              </w:rPr>
              <w:t xml:space="preserve">May 2026</w:t>
            </w:r>
          </w:p>
        </w:tc>
      </w:tr>
    </w:tbl>
    <w:p>
      <w:pPr>
        <w:spacing w:after="0" w:before="0"/>
      </w:pPr>
      <w:r>
        <w:rPr>
          <w:sz w:val="2"/>
          <w:szCs w:val="2"/>
        </w:rPr>
        <w:t xml:space="preserve"/>
      </w:r>
    </w:p>
    <w:p>
      <w:pPr>
        <w:sectPr>
          <w:pgSz w:w="11906" w:h="16838" w:orient="portrait"/>
          <w:pgMar w:top="1134" w:right="1134" w:bottom="1134" w:left="1134" w:header="708" w:footer="708" w:gutter="0"/>
          <w:pgNumType/>
          <w:docGrid w:linePitch="360"/>
        </w:sectPr>
      </w:pPr>
    </w:p>
    <w:p>
      <w:pPr>
        <w:spacing w:after="80"/>
      </w:pPr>
      <w:r>
        <w:rPr>
          <w:rFonts w:ascii="Montserrat" w:cs="Montserrat" w:eastAsia="Montserrat" w:hAnsi="Montserrat"/>
          <w:b/>
          <w:bCs/>
          <w:color w:val="FF3535"/>
          <w:sz w:val="20"/>
          <w:szCs w:val="20"/>
        </w:rPr>
        <w:t xml:space="preserve">EXECUTIVE SUMMARY</w:t>
      </w:r>
    </w:p>
    <w:p>
      <w:pPr>
        <w:spacing w:after="60"/>
      </w:pPr>
    </w:p>
    <w:p>
      <w:pPr>
        <w:spacing w:after="160" w:line="340" w:lineRule="auto"/>
      </w:pPr>
      <w:r>
        <w:rPr>
          <w:rFonts w:ascii="Open Sans" w:cs="Open Sans" w:eastAsia="Open Sans" w:hAnsi="Open Sans"/>
          <w:color w:val="2E2E2E"/>
          <w:sz w:val="28"/>
          <w:szCs w:val="28"/>
        </w:rPr>
        <w:t xml:space="preserve">This report consolidates findings from five independent data sources: a full product teardown of the Aura platform, analysis of </w:t>
      </w:r>
      <w:r>
        <w:rPr>
          <w:rFonts w:ascii="Open Sans" w:cs="Open Sans" w:eastAsia="Open Sans" w:hAnsi="Open Sans"/>
          <w:b/>
          <w:bCs/>
          <w:color w:val="2E2E2E"/>
          <w:sz w:val="28"/>
          <w:szCs w:val="28"/>
        </w:rPr>
        <w:t xml:space="preserve">7,139 customer support tickets</w:t>
      </w:r>
      <w:r>
        <w:rPr>
          <w:rFonts w:ascii="Open Sans" w:cs="Open Sans" w:eastAsia="Open Sans" w:hAnsi="Open Sans"/>
          <w:color w:val="2E2E2E"/>
          <w:sz w:val="28"/>
          <w:szCs w:val="28"/>
        </w:rPr>
        <w:t xml:space="preserve">, </w:t>
      </w:r>
      <w:r>
        <w:rPr>
          <w:rFonts w:ascii="Open Sans" w:cs="Open Sans" w:eastAsia="Open Sans" w:hAnsi="Open Sans"/>
          <w:b/>
          <w:bCs/>
          <w:color w:val="2E2E2E"/>
          <w:sz w:val="28"/>
          <w:szCs w:val="28"/>
        </w:rPr>
        <w:t xml:space="preserve">376 production incident tickets</w:t>
      </w:r>
      <w:r>
        <w:rPr>
          <w:rFonts w:ascii="Open Sans" w:cs="Open Sans" w:eastAsia="Open Sans" w:hAnsi="Open Sans"/>
          <w:color w:val="2E2E2E"/>
          <w:sz w:val="28"/>
          <w:szCs w:val="28"/>
        </w:rPr>
        <w:t xml:space="preserve"> raised in the last 7 weeks (JIRA PROD project), the </w:t>
      </w:r>
      <w:r>
        <w:rPr>
          <w:rFonts w:ascii="Open Sans" w:cs="Open Sans" w:eastAsia="Open Sans" w:hAnsi="Open Sans"/>
          <w:b/>
          <w:bCs/>
          <w:color w:val="2E2E2E"/>
          <w:sz w:val="28"/>
          <w:szCs w:val="28"/>
        </w:rPr>
        <w:t xml:space="preserve">JIRA AURA project backlog</w:t>
      </w:r>
      <w:r>
        <w:rPr>
          <w:rFonts w:ascii="Open Sans" w:cs="Open Sans" w:eastAsia="Open Sans" w:hAnsi="Open Sans"/>
          <w:color w:val="2E2E2E"/>
          <w:sz w:val="28"/>
          <w:szCs w:val="28"/>
        </w:rPr>
        <w:t xml:space="preserve"> covering active development across SMS, WhatsApp/RCS, I2I, ILDO, Government, and UAE platforms, and a </w:t>
      </w:r>
      <w:r>
        <w:rPr>
          <w:rFonts w:ascii="Open Sans" w:cs="Open Sans" w:eastAsia="Open Sans" w:hAnsi="Open Sans"/>
          <w:b/>
          <w:bCs/>
          <w:color w:val="2E2E2E"/>
          <w:sz w:val="28"/>
          <w:szCs w:val="28"/>
        </w:rPr>
        <w:t xml:space="preserve">competitive landscape review</w:t>
      </w:r>
      <w:r>
        <w:rPr>
          <w:rFonts w:ascii="Open Sans" w:cs="Open Sans" w:eastAsia="Open Sans" w:hAnsi="Open Sans"/>
          <w:color w:val="2E2E2E"/>
          <w:sz w:val="28"/>
          <w:szCs w:val="28"/>
        </w:rPr>
        <w:t xml:space="preserve"> of the $21–23B global CPaaS market.</w:t>
      </w:r>
    </w:p>
    <w:p>
      <w:pPr>
        <w:spacing w:after="120"/>
      </w:pPr>
    </w:p>
    <w:p>
      <w:pPr>
        <w:spacing w:after="160" w:line="340" w:lineRule="auto"/>
      </w:pPr>
      <w:r>
        <w:rPr>
          <w:rFonts w:ascii="Open Sans" w:cs="Open Sans" w:eastAsia="Open Sans" w:hAnsi="Open Sans"/>
          <w:color w:val="2E2E2E"/>
          <w:sz w:val="28"/>
          <w:szCs w:val="28"/>
        </w:rPr>
        <w:t xml:space="preserve">Three findings define the situation: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1.  Aura is a strong infrastructure business with a weak product surface. The routing, delivery, and operator connectivity layer is genuinely world-class. The customer-facing product on top of it is not. Customers use Aura to send messages — they do not use it to understand, improve, or automate their communications.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2.  The product is losing enterprise deals it should be winning. RBAC, Maker-Checker, and Audit Logs are absent from every platform. These are not feature requests — they are procurement requirements for every BFSI and Government customer. Deals are being lost because of their absence, not because of pricing or channel coverage.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3.  The path forward is clear. OneXtel is not a redesign of Aura. It is the product layer that Aura never built — surfacing Aura’s infrastructure through an engagement platform that customers actually want to use daily.</w:t>
            </w:r>
          </w:p>
        </w:tc>
      </w:tr>
    </w:tbl>
    <w:p>
      <w:pPr>
        <w:spacing w:after="200"/>
      </w:pPr>
    </w:p>
    <w:p>
      <w:pPr>
        <w:pBdr>
          <w:bottom w:val="single" w:color="FF3535" w:sz="6" w:space="1"/>
        </w:pBdr>
        <w:spacing w:after="240" w:before="240"/>
      </w:pPr>
    </w:p>
    <w:p>
      <w:pPr>
        <w:pStyle w:val="Heading1"/>
        <w:pBdr>
          <w:left w:val="single" w:color="FF3535" w:sz="24" w:space="10"/>
        </w:pBdr>
        <w:spacing w:after="220" w:before="480"/>
        <w:ind w:left="280"/>
      </w:pPr>
      <w:r>
        <w:rPr>
          <w:rFonts w:ascii="Montserrat" w:cs="Montserrat" w:eastAsia="Montserrat" w:hAnsi="Montserrat"/>
          <w:b/>
          <w:bCs/>
          <w:color w:val="2E2E2E"/>
          <w:sz w:val="44"/>
          <w:szCs w:val="44"/>
        </w:rPr>
        <w:t xml:space="preserve">Part 1 — What Aura Is Today</w:t>
      </w:r>
    </w:p>
    <w:p>
      <w:pPr>
        <w:pStyle w:val="Heading2"/>
        <w:spacing w:after="120" w:before="340"/>
      </w:pPr>
      <w:r>
        <w:rPr>
          <w:rFonts w:ascii="Montserrat" w:cs="Montserrat" w:eastAsia="Montserrat" w:hAnsi="Montserrat"/>
          <w:b/>
          <w:bCs/>
          <w:color w:val="2E2E2E"/>
          <w:sz w:val="36"/>
          <w:szCs w:val="36"/>
        </w:rPr>
        <w:t xml:space="preserve">The Product in One Sentence</w:t>
      </w:r>
    </w:p>
    <w:p>
      <w:pPr>
        <w:spacing w:after="160" w:line="340" w:lineRule="auto"/>
      </w:pPr>
      <w:r>
        <w:rPr>
          <w:rFonts w:ascii="Open Sans" w:cs="Open Sans" w:eastAsia="Open Sans" w:hAnsi="Open Sans"/>
          <w:color w:val="2E2E2E"/>
          <w:sz w:val="28"/>
          <w:szCs w:val="28"/>
        </w:rPr>
        <w:t xml:space="preserve">Aura is a </w:t>
      </w:r>
      <w:r>
        <w:rPr>
          <w:rFonts w:ascii="Open Sans" w:cs="Open Sans" w:eastAsia="Open Sans" w:hAnsi="Open Sans"/>
          <w:b/>
          <w:bCs/>
          <w:color w:val="2E2E2E"/>
          <w:sz w:val="28"/>
          <w:szCs w:val="28"/>
        </w:rPr>
        <w:t xml:space="preserve">telecoms operator console</w:t>
      </w:r>
      <w:r>
        <w:rPr>
          <w:rFonts w:ascii="Open Sans" w:cs="Open Sans" w:eastAsia="Open Sans" w:hAnsi="Open Sans"/>
          <w:color w:val="2E2E2E"/>
          <w:sz w:val="28"/>
          <w:szCs w:val="28"/>
        </w:rPr>
        <w:t xml:space="preserve"> built for ops teams verifying SMS delivery, not for marketers building customer relationships. The current UI (onexaura.com) reflects this — the sidebar reads: Dashboard · Campaign · User Management · Credits · Channels · Reports · Telco Reports · DLT · API · Phonebook · Config. The dashboard is a bar chart of Submitted/Delivered/Failed/Awaited counts by day of week. It is a monitoring tool, not an engagement tool.</w:t>
      </w:r>
    </w:p>
    <w:p>
      <w:pPr>
        <w:spacing w:after="80"/>
      </w:pPr>
    </w:p>
    <w:p>
      <w:pPr>
        <w:pBdr>
          <w:bottom w:val="single" w:color="FF3535" w:sz="6" w:space="1"/>
        </w:pBdr>
        <w:spacing w:after="240" w:before="240"/>
      </w:pPr>
    </w:p>
    <w:p>
      <w:pPr>
        <w:pStyle w:val="Heading2"/>
        <w:spacing w:after="120" w:before="340"/>
      </w:pPr>
      <w:r>
        <w:rPr>
          <w:rFonts w:ascii="Montserrat" w:cs="Montserrat" w:eastAsia="Montserrat" w:hAnsi="Montserrat"/>
          <w:b/>
          <w:bCs/>
          <w:color w:val="2E2E2E"/>
          <w:sz w:val="36"/>
          <w:szCs w:val="36"/>
        </w:rPr>
        <w:t xml:space="preserve">Full Feature Inventory — What’s Actually Shipped</w:t>
      </w:r>
    </w:p>
    <w:p>
      <w:pPr>
        <w:spacing w:after="60"/>
      </w:pPr>
    </w:p>
    <w:p>
      <w:pPr>
        <w:pStyle w:val="Heading3"/>
        <w:spacing w:after="80" w:before="240"/>
      </w:pPr>
      <w:r>
        <w:rPr>
          <w:rFonts w:ascii="Montserrat" w:cs="Montserrat" w:eastAsia="Montserrat" w:hAnsi="Montserrat"/>
          <w:b/>
          <w:bCs/>
          <w:color w:val="2E2E2E"/>
          <w:sz w:val="30"/>
          <w:szCs w:val="30"/>
        </w:rPr>
        <w:t xml:space="preserve">SMS Platform (V2)</w:t>
      </w:r>
    </w:p>
    <w:p>
      <w:pPr>
        <w:pStyle w:val="ListParagraph"/>
        <w:numPr>
          <w:ilvl w:val="0"/>
          <w:numId w:val="2"/>
        </w:numPr>
        <w:spacing w:after="80" w:line="320" w:lineRule="auto"/>
      </w:pPr>
      <w:r>
        <w:rPr>
          <w:rFonts w:ascii="Open Sans" w:cs="Open Sans" w:eastAsia="Open Sans" w:hAnsi="Open Sans"/>
          <w:color w:val="2E2E2E"/>
          <w:sz w:val="28"/>
          <w:szCs w:val="28"/>
        </w:rPr>
        <w:t xml:space="preserve">DLT Template Management (full PE-TM chain binding)</w:t>
      </w:r>
    </w:p>
    <w:p>
      <w:pPr>
        <w:pStyle w:val="ListParagraph"/>
        <w:numPr>
          <w:ilvl w:val="0"/>
          <w:numId w:val="2"/>
        </w:numPr>
        <w:spacing w:after="80" w:line="320" w:lineRule="auto"/>
      </w:pPr>
      <w:r>
        <w:rPr>
          <w:rFonts w:ascii="Open Sans" w:cs="Open Sans" w:eastAsia="Open Sans" w:hAnsi="Open Sans"/>
          <w:color w:val="2E2E2E"/>
          <w:sz w:val="28"/>
          <w:szCs w:val="28"/>
        </w:rPr>
        <w:t xml:space="preserve">Single Endpoint API, Sender ID + Entity ID mapping</w:t>
      </w:r>
    </w:p>
    <w:p>
      <w:pPr>
        <w:pStyle w:val="ListParagraph"/>
        <w:numPr>
          <w:ilvl w:val="0"/>
          <w:numId w:val="2"/>
        </w:numPr>
        <w:spacing w:after="80" w:line="320" w:lineRule="auto"/>
      </w:pPr>
      <w:r>
        <w:rPr>
          <w:rFonts w:ascii="Open Sans" w:cs="Open Sans" w:eastAsia="Open Sans" w:hAnsi="Open Sans"/>
          <w:color w:val="2E2E2E"/>
          <w:sz w:val="28"/>
          <w:szCs w:val="28"/>
        </w:rPr>
        <w:t xml:space="preserve">Bulk campaigns: file upload, dynamic, scheduling</w:t>
      </w:r>
    </w:p>
    <w:p>
      <w:pPr>
        <w:pStyle w:val="ListParagraph"/>
        <w:numPr>
          <w:ilvl w:val="0"/>
          <w:numId w:val="2"/>
        </w:numPr>
        <w:spacing w:after="80" w:line="320" w:lineRule="auto"/>
      </w:pPr>
      <w:r>
        <w:rPr>
          <w:rFonts w:ascii="Open Sans" w:cs="Open Sans" w:eastAsia="Open Sans" w:hAnsi="Open Sans"/>
          <w:color w:val="2E2E2E"/>
          <w:sz w:val="28"/>
          <w:szCs w:val="28"/>
        </w:rPr>
        <w:t xml:space="preserve">Reports: Summary, Detailed, Sender ID-wise, Template, Campaign, Latency, Clicker</w:t>
      </w:r>
    </w:p>
    <w:p>
      <w:pPr>
        <w:pStyle w:val="ListParagraph"/>
        <w:numPr>
          <w:ilvl w:val="0"/>
          <w:numId w:val="2"/>
        </w:numPr>
        <w:spacing w:after="80" w:line="320" w:lineRule="auto"/>
      </w:pPr>
      <w:r>
        <w:rPr>
          <w:rFonts w:ascii="Open Sans" w:cs="Open Sans" w:eastAsia="Open Sans" w:hAnsi="Open Sans"/>
          <w:color w:val="2E2E2E"/>
          <w:sz w:val="28"/>
          <w:szCs w:val="28"/>
        </w:rPr>
        <w:t xml:space="preserve">CRM Plugins: CleverTap, MoEngage, WebEngage live; Shopify + LeadSquared in progress</w:t>
      </w:r>
    </w:p>
    <w:p>
      <w:pPr>
        <w:pStyle w:val="ListParagraph"/>
        <w:numPr>
          <w:ilvl w:val="0"/>
          <w:numId w:val="2"/>
        </w:numPr>
        <w:spacing w:after="80" w:line="320" w:lineRule="auto"/>
      </w:pPr>
      <w:r>
        <w:rPr>
          <w:rFonts w:ascii="Open Sans" w:cs="Open Sans" w:eastAsia="Open Sans" w:hAnsi="Open Sans"/>
          <w:color w:val="2E2E2E"/>
          <w:sz w:val="28"/>
          <w:szCs w:val="28"/>
        </w:rPr>
        <w:t xml:space="preserve">2FA login, Global Number Blacklist/Whitelist, Data Masking</w:t>
      </w:r>
    </w:p>
    <w:p>
      <w:pPr>
        <w:pStyle w:val="ListParagraph"/>
        <w:numPr>
          <w:ilvl w:val="0"/>
          <w:numId w:val="2"/>
        </w:numPr>
        <w:spacing w:after="80" w:line="320" w:lineRule="auto"/>
      </w:pPr>
      <w:r>
        <w:rPr>
          <w:rFonts w:ascii="Open Sans" w:cs="Open Sans" w:eastAsia="Open Sans" w:hAnsi="Open Sans"/>
          <w:color w:val="2E2E2E"/>
          <w:sz w:val="28"/>
          <w:szCs w:val="28"/>
        </w:rPr>
        <w:t xml:space="preserve">Error Code Mapping (customer + platform level), Pull API</w:t>
      </w:r>
    </w:p>
    <w:p>
      <w:pPr>
        <w:spacing w:after="100"/>
      </w:pPr>
    </w:p>
    <w:p>
      <w:pPr>
        <w:pStyle w:val="Heading3"/>
        <w:spacing w:after="80" w:before="240"/>
      </w:pPr>
      <w:r>
        <w:rPr>
          <w:rFonts w:ascii="Montserrat" w:cs="Montserrat" w:eastAsia="Montserrat" w:hAnsi="Montserrat"/>
          <w:b/>
          <w:bCs/>
          <w:color w:val="2E2E2E"/>
          <w:sz w:val="30"/>
          <w:szCs w:val="30"/>
        </w:rPr>
        <w:t xml:space="preserve">WhatsApp + RCS Platform (WARCS)</w:t>
      </w:r>
    </w:p>
    <w:p>
      <w:pPr>
        <w:pStyle w:val="ListParagraph"/>
        <w:numPr>
          <w:ilvl w:val="0"/>
          <w:numId w:val="2"/>
        </w:numPr>
        <w:spacing w:after="80" w:line="320" w:lineRule="auto"/>
      </w:pPr>
      <w:r>
        <w:rPr>
          <w:rFonts w:ascii="Open Sans" w:cs="Open Sans" w:eastAsia="Open Sans" w:hAnsi="Open Sans"/>
          <w:color w:val="2E2E2E"/>
          <w:sz w:val="28"/>
          <w:szCs w:val="28"/>
        </w:rPr>
        <w:t xml:space="preserve">Embedded Signup, OBO (On-Behalf-Of), RCS Bots, auto credit-line attach</w:t>
      </w:r>
    </w:p>
    <w:p>
      <w:pPr>
        <w:pStyle w:val="ListParagraph"/>
        <w:numPr>
          <w:ilvl w:val="0"/>
          <w:numId w:val="2"/>
        </w:numPr>
        <w:spacing w:after="80" w:line="320" w:lineRule="auto"/>
      </w:pPr>
      <w:r>
        <w:rPr>
          <w:rFonts w:ascii="Open Sans" w:cs="Open Sans" w:eastAsia="Open Sans" w:hAnsi="Open Sans"/>
          <w:color w:val="2E2E2E"/>
          <w:sz w:val="28"/>
          <w:szCs w:val="28"/>
        </w:rPr>
        <w:t xml:space="preserve">Templates: LTO, Carousel, Product Catalog, Flows (~90–95% of Meta/VI/Jio spec)</w:t>
      </w:r>
    </w:p>
    <w:p>
      <w:pPr>
        <w:pStyle w:val="ListParagraph"/>
        <w:numPr>
          <w:ilvl w:val="0"/>
          <w:numId w:val="2"/>
        </w:numPr>
        <w:spacing w:after="80" w:line="320" w:lineRule="auto"/>
      </w:pPr>
      <w:r>
        <w:rPr>
          <w:rFonts w:ascii="Open Sans" w:cs="Open Sans" w:eastAsia="Open Sans" w:hAnsi="Open Sans"/>
          <w:color w:val="2E2E2E"/>
          <w:sz w:val="28"/>
          <w:szCs w:val="28"/>
        </w:rPr>
        <w:t xml:space="preserve">Campaigns: multi-file, exclude file, duplicate check, scheduling, test, repeat, batching, clone</w:t>
      </w:r>
    </w:p>
    <w:p>
      <w:pPr>
        <w:pStyle w:val="ListParagraph"/>
        <w:numPr>
          <w:ilvl w:val="0"/>
          <w:numId w:val="2"/>
        </w:numPr>
        <w:spacing w:after="80" w:line="320" w:lineRule="auto"/>
      </w:pPr>
      <w:r>
        <w:rPr>
          <w:rFonts w:ascii="Open Sans" w:cs="Open Sans" w:eastAsia="Open Sans" w:hAnsi="Open Sans"/>
          <w:color w:val="2E2E2E"/>
          <w:sz w:val="28"/>
          <w:szCs w:val="28"/>
        </w:rPr>
        <w:t xml:space="preserve">Link Tracking + URL Shortener (web + API, button + body)</w:t>
      </w:r>
    </w:p>
    <w:p>
      <w:pPr>
        <w:pStyle w:val="ListParagraph"/>
        <w:numPr>
          <w:ilvl w:val="0"/>
          <w:numId w:val="2"/>
        </w:numPr>
        <w:spacing w:after="80" w:line="320" w:lineRule="auto"/>
      </w:pPr>
      <w:r>
        <w:rPr>
          <w:rFonts w:ascii="Open Sans" w:cs="Open Sans" w:eastAsia="Open Sans" w:hAnsi="Open Sans"/>
          <w:color w:val="2E2E2E"/>
          <w:sz w:val="28"/>
          <w:szCs w:val="28"/>
        </w:rPr>
        <w:t xml:space="preserve">APIs: Send Template, Non-Template, Create/Fetch Template, Status Check, Media Upload</w:t>
      </w:r>
    </w:p>
    <w:p>
      <w:pPr>
        <w:pStyle w:val="ListParagraph"/>
        <w:numPr>
          <w:ilvl w:val="0"/>
          <w:numId w:val="2"/>
        </w:numPr>
        <w:spacing w:after="80" w:line="320" w:lineRule="auto"/>
      </w:pPr>
      <w:r>
        <w:rPr>
          <w:rFonts w:ascii="Open Sans" w:cs="Open Sans" w:eastAsia="Open Sans" w:hAnsi="Open Sans"/>
          <w:color w:val="2E2E2E"/>
          <w:sz w:val="28"/>
          <w:szCs w:val="28"/>
        </w:rPr>
        <w:t xml:space="preserve">Multi-provider setup (WA + RCS vendors + resellers)</w:t>
      </w:r>
    </w:p>
    <w:p>
      <w:pPr>
        <w:pStyle w:val="ListParagraph"/>
        <w:numPr>
          <w:ilvl w:val="0"/>
          <w:numId w:val="2"/>
        </w:numPr>
        <w:spacing w:after="80" w:line="320" w:lineRule="auto"/>
      </w:pPr>
      <w:r>
        <w:rPr>
          <w:rFonts w:ascii="Open Sans" w:cs="Open Sans" w:eastAsia="Open Sans" w:hAnsi="Open Sans"/>
          <w:color w:val="2E2E2E"/>
          <w:sz w:val="28"/>
          <w:szCs w:val="28"/>
        </w:rPr>
        <w:t xml:space="preserve">Reporting: Summary + Detailed + Download Centre + button click + URL click</w:t>
      </w:r>
    </w:p>
    <w:p>
      <w:pPr>
        <w:pStyle w:val="ListParagraph"/>
        <w:numPr>
          <w:ilvl w:val="0"/>
          <w:numId w:val="2"/>
        </w:numPr>
        <w:spacing w:after="80" w:line="320" w:lineRule="auto"/>
      </w:pPr>
      <w:r>
        <w:rPr>
          <w:rFonts w:ascii="Open Sans" w:cs="Open Sans" w:eastAsia="Open Sans" w:hAnsi="Open Sans"/>
          <w:color w:val="2E2E2E"/>
          <w:sz w:val="28"/>
          <w:szCs w:val="28"/>
        </w:rPr>
        <w:t xml:space="preserve">Frequency Capping, Time Window (discard/next-day)</w:t>
      </w:r>
    </w:p>
    <w:p>
      <w:pPr>
        <w:pStyle w:val="ListParagraph"/>
        <w:numPr>
          <w:ilvl w:val="0"/>
          <w:numId w:val="2"/>
        </w:numPr>
        <w:spacing w:after="80" w:line="320" w:lineRule="auto"/>
      </w:pPr>
      <w:r>
        <w:rPr>
          <w:rFonts w:ascii="Open Sans" w:cs="Open Sans" w:eastAsia="Open Sans" w:hAnsi="Open Sans"/>
          <w:color w:val="2E2E2E"/>
          <w:sz w:val="28"/>
          <w:szCs w:val="28"/>
        </w:rPr>
        <w:t xml:space="preserve">Billing: Category/region-wise WA; Basic/Rich-wise RCS; OneX Currency</w:t>
      </w:r>
    </w:p>
    <w:p>
      <w:pPr>
        <w:pStyle w:val="ListParagraph"/>
        <w:numPr>
          <w:ilvl w:val="0"/>
          <w:numId w:val="2"/>
        </w:numPr>
        <w:spacing w:after="80" w:line="320" w:lineRule="auto"/>
      </w:pPr>
      <w:r>
        <w:rPr>
          <w:rFonts w:ascii="Open Sans" w:cs="Open Sans" w:eastAsia="Open Sans" w:hAnsi="Open Sans"/>
          <w:color w:val="2E2E2E"/>
          <w:sz w:val="28"/>
          <w:szCs w:val="28"/>
        </w:rPr>
        <w:t xml:space="preserve">Reseller mode: domain, short URL, logo, embedded signup</w:t>
      </w:r>
    </w:p>
    <w:p>
      <w:pPr>
        <w:spacing w:after="100"/>
      </w:pPr>
    </w:p>
    <w:p>
      <w:pPr>
        <w:pStyle w:val="Heading3"/>
        <w:spacing w:after="80" w:before="240"/>
      </w:pPr>
      <w:r>
        <w:rPr>
          <w:rFonts w:ascii="Montserrat" w:cs="Montserrat" w:eastAsia="Montserrat" w:hAnsi="Montserrat"/>
          <w:b/>
          <w:bCs/>
          <w:color w:val="2E2E2E"/>
          <w:sz w:val="30"/>
          <w:szCs w:val="30"/>
        </w:rPr>
        <w:t xml:space="preserve">Government &amp; International</w:t>
      </w:r>
    </w:p>
    <w:p>
      <w:pPr>
        <w:pStyle w:val="ListParagraph"/>
        <w:numPr>
          <w:ilvl w:val="0"/>
          <w:numId w:val="2"/>
        </w:numPr>
        <w:spacing w:after="80" w:line="320" w:lineRule="auto"/>
      </w:pPr>
      <w:r>
        <w:rPr>
          <w:rFonts w:ascii="Open Sans" w:cs="Open Sans" w:eastAsia="Open Sans" w:hAnsi="Open Sans"/>
          <w:color w:val="2E2E2E"/>
          <w:sz w:val="28"/>
          <w:szCs w:val="28"/>
        </w:rPr>
        <w:t xml:space="preserve">Four concurrent deployments: Aura Domestic (V2), I2I (International-to-International), ILDO (International Long Distance Operator), Government SMS</w:t>
      </w:r>
    </w:p>
    <w:p>
      <w:pPr>
        <w:pStyle w:val="ListParagraph"/>
        <w:numPr>
          <w:ilvl w:val="0"/>
          <w:numId w:val="2"/>
        </w:numPr>
        <w:spacing w:after="80" w:line="320" w:lineRule="auto"/>
      </w:pPr>
      <w:r>
        <w:rPr>
          <w:rFonts w:ascii="Open Sans" w:cs="Open Sans" w:eastAsia="Open Sans" w:hAnsi="Open Sans"/>
          <w:color w:val="2E2E2E"/>
          <w:sz w:val="28"/>
          <w:szCs w:val="28"/>
        </w:rPr>
        <w:t xml:space="preserve">Active government clients: NICSI, IOCL BSNL, CRIS, ICSI, Indian Bank</w:t>
      </w:r>
    </w:p>
    <w:p>
      <w:pPr>
        <w:pStyle w:val="ListParagraph"/>
        <w:numPr>
          <w:ilvl w:val="0"/>
          <w:numId w:val="2"/>
        </w:numPr>
        <w:spacing w:after="80" w:line="320" w:lineRule="auto"/>
      </w:pPr>
      <w:r>
        <w:rPr>
          <w:rFonts w:ascii="Open Sans" w:cs="Open Sans" w:eastAsia="Open Sans" w:hAnsi="Open Sans"/>
          <w:color w:val="2E2E2E"/>
          <w:sz w:val="28"/>
          <w:szCs w:val="28"/>
        </w:rPr>
        <w:t xml:space="preserve">UAE Phase 1 live — first international market deployment</w:t>
      </w:r>
    </w:p>
    <w:p>
      <w:pPr>
        <w:pStyle w:val="ListParagraph"/>
        <w:numPr>
          <w:ilvl w:val="0"/>
          <w:numId w:val="2"/>
        </w:numPr>
        <w:spacing w:after="80" w:line="320" w:lineRule="auto"/>
      </w:pPr>
      <w:r>
        <w:rPr>
          <w:rFonts w:ascii="Open Sans" w:cs="Open Sans" w:eastAsia="Open Sans" w:hAnsi="Open Sans"/>
          <w:color w:val="2E2E2E"/>
          <w:sz w:val="28"/>
          <w:szCs w:val="28"/>
        </w:rPr>
        <w:t xml:space="preserve">Plugins: CleverTap, MoEngage integrations live</w:t>
      </w:r>
    </w:p>
    <w:p>
      <w:pPr>
        <w:spacing w:after="140"/>
      </w:pPr>
    </w:p>
    <w:p>
      <w:pPr>
        <w:pBdr>
          <w:bottom w:val="single" w:color="FF3535" w:sz="6" w:space="1"/>
        </w:pBdr>
        <w:spacing w:after="240" w:before="240"/>
      </w:pPr>
    </w:p>
    <w:p>
      <w:pPr>
        <w:pStyle w:val="Heading2"/>
        <w:spacing w:after="120" w:before="340"/>
      </w:pPr>
      <w:r>
        <w:rPr>
          <w:rFonts w:ascii="Montserrat" w:cs="Montserrat" w:eastAsia="Montserrat" w:hAnsi="Montserrat"/>
          <w:b/>
          <w:bCs/>
          <w:color w:val="2E2E2E"/>
          <w:sz w:val="36"/>
          <w:szCs w:val="36"/>
        </w:rPr>
        <w:t xml:space="preserve">The V2 Architecture Backbone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3535" w:sz="8"/>
              <w:left w:val="single" w:color="FF3535" w:sz="20"/>
              <w:bottom w:val="single" w:color="E2E8F0" w:sz="4"/>
              <w:right w:val="single" w:color="E2E8F0" w:sz="4"/>
            </w:tcBorders>
            <w:shd w:fill="F8F8F8" w:val="clear"/>
            <w:tcMar>
              <w:top w:type="dxa" w:w="120"/>
              <w:left w:type="dxa" w:w="220"/>
              <w:bottom w:type="dxa" w:w="120"/>
              <w:right w:type="dxa" w:w="160"/>
            </w:tcMar>
          </w:tcPr>
          <w:p>
            <w:pPr>
              <w:spacing w:after="20" w:line="260" w:lineRule="auto"/>
            </w:pPr>
            <w:r>
              <w:rPr>
                <w:rFonts w:ascii="Courier New" w:cs="Courier New" w:eastAsia="Courier New" w:hAnsi="Courier New"/>
                <w:color w:val="2E2E2E"/>
                <w:sz w:val="18"/>
                <w:szCs w:val="18"/>
              </w:rPr>
              <w:t xml:space="preserve">Inputs:   Campaign UI (Java + React) + gRPC API (Erlang, high throughput) + SMPP + Plugins (MoEngage / CleverTap)</w:t>
            </w:r>
          </w:p>
          <w:p>
            <w:pPr>
              <w:spacing w:after="20" w:line="260" w:lineRule="auto"/>
            </w:pPr>
            <w:r>
              <w:rPr>
                <w:rFonts w:ascii="Courier New" w:cs="Courier New" w:eastAsia="Courier New" w:hAnsi="Courier New"/>
                <w:color w:val="2E2E2E"/>
                <w:sz w:val="18"/>
                <w:szCs w:val="18"/>
              </w:rPr>
              <w:t xml:space="preserve">Core:     Distributed Docker Hubs → Routing Engine → Gateway</w:t>
            </w:r>
          </w:p>
          <w:p>
            <w:pPr>
              <w:spacing w:after="20" w:line="260" w:lineRule="auto"/>
            </w:pPr>
            <w:r>
              <w:rPr>
                <w:rFonts w:ascii="Courier New" w:cs="Courier New" w:eastAsia="Courier New" w:hAnsi="Courier New"/>
                <w:color w:val="2E2E2E"/>
                <w:sz w:val="18"/>
                <w:szCs w:val="18"/>
              </w:rPr>
              <w:t xml:space="preserve">Stream:   Kafka (MO / MT / DLR event streaming)</w:t>
            </w:r>
          </w:p>
          <w:p>
            <w:pPr>
              <w:spacing w:after="20" w:line="260" w:lineRule="auto"/>
            </w:pPr>
            <w:r>
              <w:rPr>
                <w:rFonts w:ascii="Courier New" w:cs="Courier New" w:eastAsia="Courier New" w:hAnsi="Courier New"/>
                <w:color w:val="2E2E2E"/>
                <w:sz w:val="18"/>
                <w:szCs w:val="18"/>
              </w:rPr>
              <w:t xml:space="preserve">Channels: Meta WhatsApp + Jio RCS + Vi RCS + SMS Operators (Airtel / Jio / Vi / BSNL)</w:t>
            </w:r>
          </w:p>
          <w:p>
            <w:pPr>
              <w:spacing w:after="20" w:line="260" w:lineRule="auto"/>
            </w:pPr>
            <w:r>
              <w:rPr>
                <w:rFonts w:ascii="Courier New" w:cs="Courier New" w:eastAsia="Courier New" w:hAnsi="Courier New"/>
                <w:color w:val="2E2E2E"/>
                <w:sz w:val="18"/>
                <w:szCs w:val="18"/>
              </w:rPr>
              <w:t xml:space="preserve">Data:     Doris OLAP (analytics, separated from transactional DB) + PostgreSQL (transactions) + ODP</w:t>
            </w:r>
          </w:p>
          <w:p>
            <w:pPr>
              <w:spacing w:after="20" w:line="260" w:lineRule="auto"/>
            </w:pPr>
            <w:r>
              <w:rPr>
                <w:rFonts w:ascii="Courier New" w:cs="Courier New" w:eastAsia="Courier New" w:hAnsi="Courier New"/>
                <w:color w:val="2E2E2E"/>
                <w:sz w:val="18"/>
                <w:szCs w:val="18"/>
              </w:rPr>
              <w:t xml:space="preserve">Support:  Redis (session cache) + RocksDB (persistent KV) + Media Server + Callback Server + Billing</w:t>
            </w:r>
          </w:p>
        </w:tc>
      </w:tr>
    </w:tbl>
    <w:p>
      <w:pPr>
        <w:spacing w:after="100"/>
      </w:pPr>
    </w:p>
    <w:p>
      <w:pPr>
        <w:spacing w:after="160" w:line="340" w:lineRule="auto"/>
      </w:pPr>
      <w:r>
        <w:rPr>
          <w:rFonts w:ascii="Open Sans" w:cs="Open Sans" w:eastAsia="Open Sans" w:hAnsi="Open Sans"/>
          <w:color w:val="2E2E2E"/>
          <w:sz w:val="28"/>
          <w:szCs w:val="28"/>
        </w:rPr>
        <w:t xml:space="preserve">The architecture is technically sound. Kafka-based event streaming and separated OLAP are the right choices at scale. Distributed Docker Hubs with horizontal scaling remove the single bottleneck risk.</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The infrastructure is not the problem.</w:t>
            </w:r>
          </w:p>
        </w:tc>
      </w:tr>
    </w:tbl>
    <w:p>
      <w:pPr>
        <w:spacing w:after="200"/>
      </w:pPr>
    </w:p>
    <w:p>
      <w:pPr>
        <w:pBdr>
          <w:bottom w:val="single" w:color="FF3535" w:sz="6" w:space="1"/>
        </w:pBdr>
        <w:spacing w:after="240" w:before="240"/>
      </w:pPr>
    </w:p>
    <w:p>
      <w:pPr>
        <w:pStyle w:val="Heading1"/>
        <w:pBdr>
          <w:left w:val="single" w:color="FF3535" w:sz="24" w:space="10"/>
        </w:pBdr>
        <w:spacing w:after="220" w:before="480"/>
        <w:ind w:left="280"/>
      </w:pPr>
      <w:r>
        <w:rPr>
          <w:rFonts w:ascii="Montserrat" w:cs="Montserrat" w:eastAsia="Montserrat" w:hAnsi="Montserrat"/>
          <w:b/>
          <w:bCs/>
          <w:color w:val="2E2E2E"/>
          <w:sz w:val="44"/>
          <w:szCs w:val="44"/>
        </w:rPr>
        <w:t xml:space="preserve">Part 2 — What’s Broken (Now Quantified)</w:t>
      </w:r>
    </w:p>
    <w:p>
      <w:pPr>
        <w:spacing w:after="160" w:line="340" w:lineRule="auto"/>
      </w:pPr>
      <w:r>
        <w:rPr>
          <w:rFonts w:ascii="Open Sans" w:cs="Open Sans" w:eastAsia="Open Sans" w:hAnsi="Open Sans"/>
          <w:color w:val="2E2E2E"/>
          <w:sz w:val="28"/>
          <w:szCs w:val="28"/>
        </w:rPr>
        <w:t xml:space="preserve">The following findings are confirmed and quantified across 7,139 support tickets and 376 PROD incident tickets raised in the last 7 weeks. Of those 376 PROD tickets, 43% remain open — compared to 13% open in the customer support system. PROD is where the hard, unresolved problems live.</w:t>
      </w:r>
    </w:p>
    <w:p>
      <w:pPr>
        <w:spacing w:after="100"/>
      </w:pPr>
    </w:p>
    <w:p>
      <w:pPr>
        <w:pStyle w:val="Heading2"/>
        <w:spacing w:after="120" w:before="340"/>
      </w:pPr>
      <w:r>
        <w:rPr>
          <w:rFonts w:ascii="Montserrat" w:cs="Montserrat" w:eastAsia="Montserrat" w:hAnsi="Montserrat"/>
          <w:b/>
          <w:bCs/>
          <w:color w:val="2E2E2E"/>
          <w:sz w:val="36"/>
          <w:szCs w:val="36"/>
        </w:rPr>
        <w:t xml:space="preserve">2.1  Customers Cannot Trust Their Own Data</w:t>
      </w:r>
    </w:p>
    <w:p>
      <w:pPr>
        <w:spacing w:after="80"/>
      </w:pPr>
      <w:r>
        <w:rPr>
          <w:rFonts w:ascii="Montserrat" w:cs="Montserrat" w:eastAsia="Montserrat" w:hAnsi="Montserrat"/>
          <w:b/>
          <w:bCs/>
          <w:color w:val="FF3535"/>
          <w:sz w:val="20"/>
          <w:szCs w:val="20"/>
        </w:rPr>
        <w:t xml:space="preserve">1,841 DELIVERY CONCERN TICKETS  ·  97 PROD REPORTS/MIS TICKETS  ·  58 PROD DELIVERY/STATUS TICKETS</w:t>
      </w:r>
    </w:p>
    <w:p>
      <w:pPr>
        <w:spacing w:after="80"/>
      </w:pPr>
    </w:p>
    <w:p>
      <w:pPr>
        <w:spacing w:after="160" w:line="340" w:lineRule="auto"/>
      </w:pPr>
      <w:r>
        <w:rPr>
          <w:rFonts w:ascii="Open Sans" w:cs="Open Sans" w:eastAsia="Open Sans" w:hAnsi="Open Sans"/>
          <w:color w:val="2E2E2E"/>
          <w:sz w:val="28"/>
          <w:szCs w:val="28"/>
        </w:rPr>
        <w:t xml:space="preserve">The Submitted vs. Delivered count mismatch is the single most-reported problem across every data source. Previously identified as a P0 bug (AURA-8895, AURA-9418), it is now confirmed as an ongoing operational failure, not a discrete bug awaiting a fix.</w:t>
      </w:r>
    </w:p>
    <w:p>
      <w:pPr>
        <w:spacing w:after="80"/>
      </w:pPr>
    </w:p>
    <w:p>
      <w:pPr>
        <w:spacing w:after="160" w:line="340" w:lineRule="auto"/>
      </w:pPr>
      <w:r>
        <w:rPr>
          <w:rFonts w:ascii="Open Sans" w:cs="Open Sans" w:eastAsia="Open Sans" w:hAnsi="Open Sans"/>
          <w:b/>
          <w:bCs/>
          <w:color w:val="2E2E2E"/>
          <w:sz w:val="28"/>
          <w:szCs w:val="28"/>
        </w:rPr>
        <w:t xml:space="preserve">The concrete evidence: </w:t>
      </w:r>
      <w:r>
        <w:rPr>
          <w:rFonts w:ascii="Open Sans" w:cs="Open Sans" w:eastAsia="Open Sans" w:hAnsi="Open Sans"/>
          <w:color w:val="2E2E2E"/>
          <w:sz w:val="28"/>
          <w:szCs w:val="28"/>
        </w:rPr>
        <w:t xml:space="preserve">engineers are manually running database commands every few days to update stuck “Awaited” transactions to Delivered or Failed. At least 8 production tickets in the last 7 weeks are exactly this manual ritual — PROD-200, PROD-291, PROD-378, PROD-183, PROD-228, PROD-94, PROD-164, PROD-213. This will not be resolved by a one-time fix; it is a broken automated process being patched by hand indefinitely.</w:t>
      </w:r>
    </w:p>
    <w:p>
      <w:pPr>
        <w:spacing w:after="80"/>
      </w:pPr>
    </w:p>
    <w:p>
      <w:pPr>
        <w:spacing w:after="160" w:line="340" w:lineRule="auto"/>
      </w:pPr>
      <w:r>
        <w:rPr>
          <w:rFonts w:ascii="Open Sans" w:cs="Open Sans" w:eastAsia="Open Sans" w:hAnsi="Open Sans"/>
          <w:color w:val="2E2E2E"/>
          <w:sz w:val="28"/>
          <w:szCs w:val="28"/>
        </w:rPr>
        <w:t xml:space="preserve">Additionally: two data centres (Ocean DC and Ocean DR) show different counts for the same traffic, compounding the confusion for enterprise customers.</w:t>
      </w:r>
    </w:p>
    <w:p>
      <w:pPr>
        <w:spacing w:after="100"/>
      </w:pPr>
    </w:p>
    <w:p>
      <w:pPr>
        <w:pStyle w:val="Heading2"/>
        <w:spacing w:after="120" w:before="340"/>
      </w:pPr>
      <w:r>
        <w:rPr>
          <w:rFonts w:ascii="Montserrat" w:cs="Montserrat" w:eastAsia="Montserrat" w:hAnsi="Montserrat"/>
          <w:b/>
          <w:bCs/>
          <w:color w:val="2E2E2E"/>
          <w:sz w:val="36"/>
          <w:szCs w:val="36"/>
        </w:rPr>
        <w:t xml:space="preserve">2.2  Reporting Is a Support Cost, Not a Product Feature</w:t>
      </w:r>
    </w:p>
    <w:p>
      <w:pPr>
        <w:spacing w:after="80"/>
      </w:pPr>
      <w:r>
        <w:rPr>
          <w:rFonts w:ascii="Montserrat" w:cs="Montserrat" w:eastAsia="Montserrat" w:hAnsi="Montserrat"/>
          <w:b/>
          <w:bCs/>
          <w:color w:val="FF3535"/>
          <w:sz w:val="20"/>
          <w:szCs w:val="20"/>
        </w:rPr>
        <w:t xml:space="preserve">1,126 REPORTS SUPPORT TICKETS  ·  97 PROD TICKETS IN 7 WEEKS</w:t>
      </w:r>
    </w:p>
    <w:p>
      <w:pPr>
        <w:spacing w:after="80"/>
      </w:pPr>
    </w:p>
    <w:p>
      <w:pPr>
        <w:spacing w:after="160" w:line="340" w:lineRule="auto"/>
      </w:pPr>
      <w:r>
        <w:rPr>
          <w:rFonts w:ascii="Open Sans" w:cs="Open Sans" w:eastAsia="Open Sans" w:hAnsi="Open Sans"/>
          <w:color w:val="2E2E2E"/>
          <w:sz w:val="28"/>
          <w:szCs w:val="28"/>
        </w:rPr>
        <w:t xml:space="preserve">Customers raise support tickets to get their own data because the product does not give it to them self-serve:</w:t>
      </w:r>
    </w:p>
    <w:p>
      <w:pPr>
        <w:pStyle w:val="ListParagraph"/>
        <w:numPr>
          <w:ilvl w:val="0"/>
          <w:numId w:val="2"/>
        </w:numPr>
        <w:spacing w:after="80" w:line="320" w:lineRule="auto"/>
      </w:pPr>
      <w:r>
        <w:rPr>
          <w:rFonts w:ascii="Open Sans" w:cs="Open Sans" w:eastAsia="Open Sans" w:hAnsi="Open Sans"/>
          <w:color w:val="2E2E2E"/>
          <w:sz w:val="28"/>
          <w:szCs w:val="28"/>
        </w:rPr>
        <w:t xml:space="preserve">No custom column selection (AURA-11614)</w:t>
      </w:r>
    </w:p>
    <w:p>
      <w:pPr>
        <w:pStyle w:val="ListParagraph"/>
        <w:numPr>
          <w:ilvl w:val="0"/>
          <w:numId w:val="2"/>
        </w:numPr>
        <w:spacing w:after="80" w:line="320" w:lineRule="auto"/>
      </w:pPr>
      <w:r>
        <w:rPr>
          <w:rFonts w:ascii="Open Sans" w:cs="Open Sans" w:eastAsia="Open Sans" w:hAnsi="Open Sans"/>
          <w:color w:val="2E2E2E"/>
          <w:sz w:val="28"/>
          <w:szCs w:val="28"/>
        </w:rPr>
        <w:t xml:space="preserve">No scheduled delivery to SFTP or email (generating recurring PROD tickets: </w:t>
      </w:r>
      <w:r>
        <w:rPr>
          <w:rFonts w:ascii="Open Sans" w:cs="Open Sans" w:eastAsia="Open Sans" w:hAnsi="Open Sans"/>
          <w:b/>
          <w:bCs/>
          <w:color w:val="2E2E2E"/>
          <w:sz w:val="28"/>
          <w:szCs w:val="28"/>
        </w:rPr>
        <w:t xml:space="preserve">PROD-137 Hero FinCorp, PROD-363 ILDO, PROD-376 OYO, PROD-380 Growtele</w:t>
      </w:r>
      <w:r>
        <w:rPr>
          <w:rFonts w:ascii="Open Sans" w:cs="Open Sans" w:eastAsia="Open Sans" w:hAnsi="Open Sans"/>
          <w:color w:val="2E2E2E"/>
          <w:sz w:val="28"/>
          <w:szCs w:val="28"/>
        </w:rPr>
        <w:t xml:space="preserve">)</w:t>
      </w:r>
    </w:p>
    <w:p>
      <w:pPr>
        <w:pStyle w:val="ListParagraph"/>
        <w:numPr>
          <w:ilvl w:val="0"/>
          <w:numId w:val="2"/>
        </w:numPr>
        <w:spacing w:after="80" w:line="320" w:lineRule="auto"/>
      </w:pPr>
      <w:r>
        <w:rPr>
          <w:rFonts w:ascii="Open Sans" w:cs="Open Sans" w:eastAsia="Open Sans" w:hAnsi="Open Sans"/>
          <w:color w:val="2E2E2E"/>
          <w:sz w:val="28"/>
          <w:szCs w:val="28"/>
        </w:rPr>
        <w:t xml:space="preserve">Reports load in 30–40 seconds (PROD-301)</w:t>
      </w:r>
    </w:p>
    <w:p>
      <w:pPr>
        <w:pStyle w:val="ListParagraph"/>
        <w:numPr>
          <w:ilvl w:val="0"/>
          <w:numId w:val="2"/>
        </w:numPr>
        <w:spacing w:after="80" w:line="320" w:lineRule="auto"/>
      </w:pPr>
      <w:r>
        <w:rPr>
          <w:rFonts w:ascii="Open Sans" w:cs="Open Sans" w:eastAsia="Open Sans" w:hAnsi="Open Sans"/>
          <w:color w:val="2E2E2E"/>
          <w:sz w:val="28"/>
          <w:szCs w:val="28"/>
        </w:rPr>
        <w:t xml:space="preserve">All reports run in IST — blocks UAE and global customers (AURA-9233)</w:t>
      </w:r>
    </w:p>
    <w:p>
      <w:pPr>
        <w:pStyle w:val="ListParagraph"/>
        <w:numPr>
          <w:ilvl w:val="0"/>
          <w:numId w:val="2"/>
        </w:numPr>
        <w:spacing w:after="80" w:line="320" w:lineRule="auto"/>
      </w:pPr>
      <w:r>
        <w:rPr>
          <w:rFonts w:ascii="Open Sans" w:cs="Open Sans" w:eastAsia="Open Sans" w:hAnsi="Open Sans"/>
          <w:color w:val="2E2E2E"/>
          <w:sz w:val="28"/>
          <w:szCs w:val="28"/>
        </w:rPr>
        <w:t xml:space="preserve">Account Managers have no visibility into their accounts (P0 gap from teardown, still open)</w:t>
      </w:r>
    </w:p>
    <w:p>
      <w:pPr>
        <w:spacing w:after="100"/>
      </w:pPr>
    </w:p>
    <w:p>
      <w:pPr>
        <w:pStyle w:val="Heading2"/>
        <w:spacing w:after="120" w:before="340"/>
      </w:pPr>
      <w:r>
        <w:rPr>
          <w:rFonts w:ascii="Montserrat" w:cs="Montserrat" w:eastAsia="Montserrat" w:hAnsi="Montserrat"/>
          <w:b/>
          <w:bCs/>
          <w:color w:val="2E2E2E"/>
          <w:sz w:val="36"/>
          <w:szCs w:val="36"/>
        </w:rPr>
        <w:t xml:space="preserve">2.3  Active P0 Issues Confirmed Still Open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38"/>
      </w:tblGrid>
      <w:tr>
        <w:trPr>
          <w:tblHeader/>
        </w:trPr>
        <w:tc>
          <w:tcPr>
            <w:tcW w:type="dxa" w:w="340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Issue</w:t>
            </w:r>
          </w:p>
        </w:tc>
        <w:tc>
          <w:tcPr>
            <w:tcW w:type="dxa" w:w="220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Jira</w:t>
            </w:r>
          </w:p>
        </w:tc>
        <w:tc>
          <w:tcPr>
            <w:tcW w:type="dxa" w:w="4038"/>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PROD Confirmation</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Customer-facing fallback absent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AURA-10023</w:t>
            </w:r>
          </w:p>
        </w:tc>
        <w:tc>
          <w:tcPr>
            <w:tcW w:type="dxa" w:w="4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PROD-345, PROD-397, PROD-400</w:t>
            </w:r>
          </w:p>
        </w:tc>
      </w:tr>
      <w:tr>
        <w:tc>
          <w:tcPr>
            <w:tcW w:type="dxa" w:w="34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Report masking broken</w:t>
            </w:r>
          </w:p>
        </w:tc>
        <w:tc>
          <w:tcPr>
            <w:tcW w:type="dxa" w:w="2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AURA-11388</w:t>
            </w:r>
          </w:p>
        </w:tc>
        <w:tc>
          <w:tcPr>
            <w:tcW w:type="dxa" w:w="4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Still open</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Submitted vs Received counts wrong</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AURA-9418, AURA-8895</w:t>
            </w:r>
          </w:p>
        </w:tc>
        <w:tc>
          <w:tcPr>
            <w:tcW w:type="dxa" w:w="4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PROD-111, PROD-122, PROD-219</w:t>
            </w:r>
          </w:p>
        </w:tc>
      </w:tr>
      <w:tr>
        <w:tc>
          <w:tcPr>
            <w:tcW w:type="dxa" w:w="34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Blacklist/Whitelist granularity</w:t>
            </w:r>
          </w:p>
        </w:tc>
        <w:tc>
          <w:tcPr>
            <w:tcW w:type="dxa" w:w="2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AURA-11548</w:t>
            </w:r>
          </w:p>
        </w:tc>
        <w:tc>
          <w:tcPr>
            <w:tcW w:type="dxa" w:w="4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PROD-175</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Campaign failure reason not shown</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AURA-11390</w:t>
            </w:r>
          </w:p>
        </w:tc>
        <w:tc>
          <w:tcPr>
            <w:tcW w:type="dxa" w:w="4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PROD-308</w:t>
            </w:r>
          </w:p>
        </w:tc>
      </w:tr>
      <w:tr>
        <w:tc>
          <w:tcPr>
            <w:tcW w:type="dxa" w:w="34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Encryption incomplete on WARCS</w:t>
            </w:r>
          </w:p>
        </w:tc>
        <w:tc>
          <w:tcPr>
            <w:tcW w:type="dxa" w:w="2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AURA-11444</w:t>
            </w:r>
          </w:p>
        </w:tc>
        <w:tc>
          <w:tcPr>
            <w:tcW w:type="dxa" w:w="4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Still open</w:t>
            </w:r>
          </w:p>
        </w:tc>
      </w:tr>
    </w:tbl>
    <w:p>
      <w:pPr>
        <w:spacing w:after="100"/>
      </w:pPr>
    </w:p>
    <w:p>
      <w:pPr>
        <w:pStyle w:val="Heading2"/>
        <w:spacing w:after="120" w:before="340"/>
      </w:pPr>
      <w:r>
        <w:rPr>
          <w:rFonts w:ascii="Montserrat" w:cs="Montserrat" w:eastAsia="Montserrat" w:hAnsi="Montserrat"/>
          <w:b/>
          <w:bCs/>
          <w:color w:val="2E2E2E"/>
          <w:sz w:val="36"/>
          <w:szCs w:val="36"/>
        </w:rPr>
        <w:t xml:space="preserve">2.4  Enterprise Governance — In Development but Unstable</w:t>
      </w:r>
    </w:p>
    <w:p>
      <w:pPr>
        <w:spacing w:after="160" w:line="340" w:lineRule="auto"/>
      </w:pPr>
      <w:r>
        <w:rPr>
          <w:rFonts w:ascii="Open Sans" w:cs="Open Sans" w:eastAsia="Open Sans" w:hAnsi="Open Sans"/>
          <w:color w:val="2E2E2E"/>
          <w:sz w:val="28"/>
          <w:szCs w:val="28"/>
        </w:rPr>
        <w:t xml:space="preserve">Maker-Checker and RBAC are being built, but have generated critical bugs immediately upon deployment.</w:t>
      </w:r>
    </w:p>
    <w:p>
      <w:pPr>
        <w:pStyle w:val="ListParagraph"/>
        <w:numPr>
          <w:ilvl w:val="0"/>
          <w:numId w:val="2"/>
        </w:numPr>
        <w:spacing w:after="80" w:line="320" w:lineRule="auto"/>
      </w:pPr>
      <w:r>
        <w:rPr>
          <w:rFonts w:ascii="Open Sans" w:cs="Open Sans" w:eastAsia="Open Sans" w:hAnsi="Open Sans"/>
          <w:color w:val="2E2E2E"/>
          <w:sz w:val="28"/>
          <w:szCs w:val="28"/>
        </w:rPr>
        <w:t xml:space="preserve">PROD-311 (Critical): Multiple Issues in Maker Checker Workflow for Campaign Approval and Scheduling Time Validation</w:t>
      </w:r>
    </w:p>
    <w:p>
      <w:pPr>
        <w:pStyle w:val="ListParagraph"/>
        <w:numPr>
          <w:ilvl w:val="0"/>
          <w:numId w:val="2"/>
        </w:numPr>
        <w:spacing w:after="80" w:line="320" w:lineRule="auto"/>
      </w:pPr>
      <w:r>
        <w:rPr>
          <w:rFonts w:ascii="Open Sans" w:cs="Open Sans" w:eastAsia="Open Sans" w:hAnsi="Open Sans"/>
          <w:color w:val="2E2E2E"/>
          <w:sz w:val="28"/>
          <w:szCs w:val="28"/>
        </w:rPr>
        <w:t xml:space="preserve">PROD-305 (Critical): Multiple Issues in TUC User Management Roles and Access Control</w:t>
      </w:r>
    </w:p>
    <w:p>
      <w:pPr>
        <w:spacing w:after="80"/>
      </w:pPr>
    </w:p>
    <w:p>
      <w:pPr>
        <w:spacing w:after="160" w:line="340" w:lineRule="auto"/>
      </w:pPr>
      <w:r>
        <w:rPr>
          <w:rFonts w:ascii="Open Sans" w:cs="Open Sans" w:eastAsia="Open Sans" w:hAnsi="Open Sans"/>
          <w:color w:val="2E2E2E"/>
          <w:sz w:val="28"/>
          <w:szCs w:val="28"/>
        </w:rPr>
        <w:t xml:space="preserve">The task is not greenfield build — it is stabilisation and product-quality delivery of something that already exists in a fragile state.</w:t>
      </w:r>
    </w:p>
    <w:p>
      <w:pPr>
        <w:spacing w:after="100"/>
      </w:pPr>
    </w:p>
    <w:p>
      <w:pPr>
        <w:pStyle w:val="Heading2"/>
        <w:spacing w:after="120" w:before="340"/>
      </w:pPr>
      <w:r>
        <w:rPr>
          <w:rFonts w:ascii="Montserrat" w:cs="Montserrat" w:eastAsia="Montserrat" w:hAnsi="Montserrat"/>
          <w:b/>
          <w:bCs/>
          <w:color w:val="2E2E2E"/>
          <w:sz w:val="36"/>
          <w:szCs w:val="36"/>
        </w:rPr>
        <w:t xml:space="preserve">2.5  Platform Performance</w:t>
      </w:r>
    </w:p>
    <w:p>
      <w:pPr>
        <w:pStyle w:val="ListParagraph"/>
        <w:numPr>
          <w:ilvl w:val="0"/>
          <w:numId w:val="2"/>
        </w:numPr>
        <w:spacing w:after="80" w:line="320" w:lineRule="auto"/>
      </w:pPr>
      <w:r>
        <w:rPr>
          <w:rFonts w:ascii="Open Sans" w:cs="Open Sans" w:eastAsia="Open Sans" w:hAnsi="Open Sans"/>
          <w:color w:val="2E2E2E"/>
          <w:sz w:val="28"/>
          <w:szCs w:val="28"/>
        </w:rPr>
        <w:t xml:space="preserve">Login to Ocean DC: 35–40 seconds (PROD-300, Priority: Highest)</w:t>
      </w:r>
    </w:p>
    <w:p>
      <w:pPr>
        <w:pStyle w:val="ListParagraph"/>
        <w:numPr>
          <w:ilvl w:val="0"/>
          <w:numId w:val="2"/>
        </w:numPr>
        <w:spacing w:after="80" w:line="320" w:lineRule="auto"/>
      </w:pPr>
      <w:r>
        <w:rPr>
          <w:rFonts w:ascii="Open Sans" w:cs="Open Sans" w:eastAsia="Open Sans" w:hAnsi="Open Sans"/>
          <w:color w:val="2E2E2E"/>
          <w:sz w:val="28"/>
          <w:szCs w:val="28"/>
        </w:rPr>
        <w:t xml:space="preserve">WA/RCS reports page: 30–40 seconds to load (PROD-301, Priority: Highest)</w:t>
      </w:r>
    </w:p>
    <w:p>
      <w:pPr>
        <w:pStyle w:val="ListParagraph"/>
        <w:numPr>
          <w:ilvl w:val="0"/>
          <w:numId w:val="2"/>
        </w:numPr>
        <w:spacing w:after="80" w:line="320" w:lineRule="auto"/>
      </w:pPr>
      <w:r>
        <w:rPr>
          <w:rFonts w:ascii="Open Sans" w:cs="Open Sans" w:eastAsia="Open Sans" w:hAnsi="Open Sans"/>
          <w:color w:val="2E2E2E"/>
          <w:sz w:val="28"/>
          <w:szCs w:val="28"/>
        </w:rPr>
        <w:t xml:space="preserve">HTTP 502 — full platform down (PROD-206, PROD-398)</w:t>
      </w:r>
    </w:p>
    <w:p>
      <w:pPr>
        <w:pStyle w:val="ListParagraph"/>
        <w:numPr>
          <w:ilvl w:val="0"/>
          <w:numId w:val="2"/>
        </w:numPr>
        <w:spacing w:after="80" w:line="320" w:lineRule="auto"/>
      </w:pPr>
      <w:r>
        <w:rPr>
          <w:rFonts w:ascii="Open Sans" w:cs="Open Sans" w:eastAsia="Open Sans" w:hAnsi="Open Sans"/>
          <w:color w:val="2E2E2E"/>
          <w:sz w:val="28"/>
          <w:szCs w:val="28"/>
        </w:rPr>
        <w:t xml:space="preserve">SMPP WaitTime delays on Ocean DR (PROD-412)</w:t>
      </w:r>
    </w:p>
    <w:p>
      <w:pPr>
        <w:spacing w:after="100"/>
      </w:pPr>
    </w:p>
    <w:p>
      <w:pPr>
        <w:pStyle w:val="Heading2"/>
        <w:spacing w:after="120" w:before="340"/>
      </w:pPr>
      <w:r>
        <w:rPr>
          <w:rFonts w:ascii="Montserrat" w:cs="Montserrat" w:eastAsia="Montserrat" w:hAnsi="Montserrat"/>
          <w:b/>
          <w:bCs/>
          <w:color w:val="2E2E2E"/>
          <w:sz w:val="36"/>
          <w:szCs w:val="36"/>
        </w:rPr>
        <w:t xml:space="preserve">2.6  I2I and ILDO Remain in Sustained Crisis</w:t>
      </w:r>
    </w:p>
    <w:p>
      <w:pPr>
        <w:spacing w:after="160" w:line="340" w:lineRule="auto"/>
      </w:pPr>
      <w:r>
        <w:rPr>
          <w:rFonts w:ascii="Open Sans" w:cs="Open Sans" w:eastAsia="Open Sans" w:hAnsi="Open Sans"/>
          <w:color w:val="2E2E2E"/>
          <w:sz w:val="28"/>
          <w:szCs w:val="28"/>
        </w:rPr>
        <w:t xml:space="preserve">18 I2I/ILDO tickets in 7 weeks, several Critical and open. The 8–10 hour billing query has not been resolved. Multiple routing errors, wrong report data, and missing CDR logs remain open.</w:t>
      </w:r>
    </w:p>
    <w:p>
      <w:pPr>
        <w:spacing w:after="200"/>
      </w:pPr>
    </w:p>
    <w:p>
      <w:pPr>
        <w:pBdr>
          <w:bottom w:val="single" w:color="FF3535" w:sz="6" w:space="1"/>
        </w:pBdr>
        <w:spacing w:after="240" w:before="240"/>
      </w:pPr>
    </w:p>
    <w:p>
      <w:pPr>
        <w:pStyle w:val="Heading1"/>
        <w:pBdr>
          <w:left w:val="single" w:color="FF3535" w:sz="24" w:space="10"/>
        </w:pBdr>
        <w:spacing w:after="220" w:before="480"/>
        <w:ind w:left="280"/>
      </w:pPr>
      <w:r>
        <w:rPr>
          <w:rFonts w:ascii="Montserrat" w:cs="Montserrat" w:eastAsia="Montserrat" w:hAnsi="Montserrat"/>
          <w:b/>
          <w:bCs/>
          <w:color w:val="2E2E2E"/>
          <w:sz w:val="44"/>
          <w:szCs w:val="44"/>
        </w:rPr>
        <w:t xml:space="preserve">Part 3 — What’s Missing Entirely</w:t>
      </w:r>
    </w:p>
    <w:p>
      <w:pPr>
        <w:spacing w:after="160" w:line="340" w:lineRule="auto"/>
      </w:pPr>
      <w:r>
        <w:rPr>
          <w:rFonts w:ascii="Open Sans" w:cs="Open Sans" w:eastAsia="Open Sans" w:hAnsi="Open Sans"/>
          <w:color w:val="2E2E2E"/>
          <w:sz w:val="28"/>
          <w:szCs w:val="28"/>
        </w:rPr>
        <w:t xml:space="preserve">Unchanged from the initial analysis. Confirmed by support ticket data where noted.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38"/>
      </w:tblGrid>
      <w:tr>
        <w:trPr>
          <w:tblHeader/>
        </w:trPr>
        <w:tc>
          <w:tcPr>
            <w:tcW w:type="dxa" w:w="260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Capability</w:t>
            </w:r>
          </w:p>
        </w:tc>
        <w:tc>
          <w:tcPr>
            <w:tcW w:type="dxa" w:w="400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Status</w:t>
            </w:r>
          </w:p>
        </w:tc>
        <w:tc>
          <w:tcPr>
            <w:tcW w:type="dxa" w:w="3038"/>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Evidence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AI / OneX Aura Intelligence</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Zero features built despite being the primary marketing claim</w:t>
            </w:r>
          </w:p>
        </w:tc>
        <w:tc>
          <w:tcPr>
            <w:tcW w:type="dxa" w:w="3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No JIRA items, no roadmap</w:t>
            </w:r>
          </w:p>
        </w:tc>
      </w:tr>
      <w:tr>
        <w:tc>
          <w:tcPr>
            <w:tcW w:type="dxa" w:w="2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Journey Automation</w:t>
            </w:r>
          </w:p>
        </w:tc>
        <w:tc>
          <w:tcPr>
            <w:tcW w:type="dxa" w:w="4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Entirely absent — CRM integrations exist as a workaround</w:t>
            </w:r>
          </w:p>
        </w:tc>
        <w:tc>
          <w:tcPr>
            <w:tcW w:type="dxa" w:w="3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Plugin integrations confirm customers need this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Email Channel</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On the website, not in the product or roadmap</w:t>
            </w:r>
          </w:p>
        </w:tc>
        <w:tc>
          <w:tcPr>
            <w:tcW w:type="dxa" w:w="3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w:t>
            </w:r>
          </w:p>
        </w:tc>
      </w:tr>
      <w:tr>
        <w:tc>
          <w:tcPr>
            <w:tcW w:type="dxa" w:w="2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Voice / IVR</w:t>
            </w:r>
          </w:p>
        </w:tc>
        <w:tc>
          <w:tcPr>
            <w:tcW w:type="dxa" w:w="4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On the website, not in the roadmap</w:t>
            </w:r>
          </w:p>
        </w:tc>
        <w:tc>
          <w:tcPr>
            <w:tcW w:type="dxa" w:w="3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431 support tickets — real demand exists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Audience Segments</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Only flat phonebook — no rule builder, no event history</w:t>
            </w:r>
          </w:p>
        </w:tc>
        <w:tc>
          <w:tcPr>
            <w:tcW w:type="dxa" w:w="3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Limits every campaign to broadcast</w:t>
            </w:r>
          </w:p>
        </w:tc>
      </w:tr>
      <w:tr>
        <w:tc>
          <w:tcPr>
            <w:tcW w:type="dxa" w:w="2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Developer Portal</w:t>
            </w:r>
          </w:p>
        </w:tc>
        <w:tc>
          <w:tcPr>
            <w:tcW w:type="dxa" w:w="4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No unified docs, no SDK, no sandbox, no in-UI API key gen</w:t>
            </w:r>
          </w:p>
        </w:tc>
        <w:tc>
          <w:tcPr>
            <w:tcW w:type="dxa" w:w="3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AURA-11608</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Unified Cross-Channel Dashboard</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Every channel is siloed</w:t>
            </w:r>
          </w:p>
        </w:tc>
        <w:tc>
          <w:tcPr>
            <w:tcW w:type="dxa" w:w="3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Competitors have had this for 2–3 years</w:t>
            </w:r>
          </w:p>
        </w:tc>
      </w:tr>
      <w:tr>
        <w:tc>
          <w:tcPr>
            <w:tcW w:type="dxa" w:w="2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365cx.io Contact Centre</w:t>
            </w:r>
          </w:p>
        </w:tc>
        <w:tc>
          <w:tcPr>
            <w:tcW w:type="dxa" w:w="4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Flagship in marketing, absent from roadmap</w:t>
            </w:r>
          </w:p>
        </w:tc>
        <w:tc>
          <w:tcPr>
            <w:tcW w:type="dxa" w:w="3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Unknown maintenance status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Webhook Reliability</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No retry logic, no monitoring, no dead-letter queues</w:t>
            </w:r>
          </w:p>
        </w:tc>
        <w:tc>
          <w:tcPr>
            <w:tcW w:type="dxa" w:w="30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PROD-382, PROD-392</w:t>
            </w:r>
          </w:p>
        </w:tc>
      </w:tr>
      <w:tr>
        <w:tc>
          <w:tcPr>
            <w:tcW w:type="dxa" w:w="2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Platform SLA Monitoring</w:t>
            </w:r>
          </w:p>
        </w:tc>
        <w:tc>
          <w:tcPr>
            <w:tcW w:type="dxa" w:w="4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Listed as P0, no Jira, not being tracked</w:t>
            </w:r>
          </w:p>
        </w:tc>
        <w:tc>
          <w:tcPr>
            <w:tcW w:type="dxa" w:w="30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Teardown finding</w:t>
            </w:r>
          </w:p>
        </w:tc>
      </w:tr>
    </w:tbl>
    <w:p>
      <w:pPr>
        <w:spacing w:after="200"/>
      </w:pPr>
    </w:p>
    <w:p>
      <w:pPr>
        <w:pBdr>
          <w:bottom w:val="single" w:color="FF3535" w:sz="6" w:space="1"/>
        </w:pBdr>
        <w:spacing w:after="240" w:before="240"/>
      </w:pPr>
    </w:p>
    <w:p>
      <w:pPr>
        <w:pStyle w:val="Heading1"/>
        <w:pBdr>
          <w:left w:val="single" w:color="FF3535" w:sz="24" w:space="10"/>
        </w:pBdr>
        <w:spacing w:after="220" w:before="480"/>
        <w:ind w:left="280"/>
      </w:pPr>
      <w:r>
        <w:rPr>
          <w:rFonts w:ascii="Montserrat" w:cs="Montserrat" w:eastAsia="Montserrat" w:hAnsi="Montserrat"/>
          <w:b/>
          <w:bCs/>
          <w:color w:val="2E2E2E"/>
          <w:sz w:val="44"/>
          <w:szCs w:val="44"/>
        </w:rPr>
        <w:t xml:space="preserve">Part 4 — The Competitive Position</w:t>
      </w:r>
    </w:p>
    <w:p>
      <w:pPr>
        <w:spacing w:after="160" w:line="340" w:lineRule="auto"/>
      </w:pPr>
      <w:r>
        <w:rPr>
          <w:rFonts w:ascii="Open Sans" w:cs="Open Sans" w:eastAsia="Open Sans" w:hAnsi="Open Sans"/>
          <w:color w:val="2E2E2E"/>
          <w:sz w:val="28"/>
          <w:szCs w:val="28"/>
        </w:rPr>
        <w:t xml:space="preserve">The global CPaaS market is valued at $21–23B in 2026, growing at 19–33% CAGR. The 2025 Gartner Magic Quadrant Leaders are Twilio, Infobip, Sinch, and Vonage.</w:t>
      </w:r>
    </w:p>
    <w:p>
      <w:pPr>
        <w:spacing w:after="100"/>
      </w:pPr>
    </w:p>
    <w:p>
      <w:pPr>
        <w:pStyle w:val="Heading2"/>
        <w:spacing w:after="120" w:before="340"/>
      </w:pPr>
      <w:r>
        <w:rPr>
          <w:rFonts w:ascii="Montserrat" w:cs="Montserrat" w:eastAsia="Montserrat" w:hAnsi="Montserrat"/>
          <w:b/>
          <w:bCs/>
          <w:color w:val="2E2E2E"/>
          <w:sz w:val="36"/>
          <w:szCs w:val="36"/>
        </w:rPr>
        <w:t xml:space="preserve">Where Onextel Has a Real, Durable Advantage</w:t>
      </w:r>
    </w:p>
    <w:p>
      <w:pPr>
        <w:pStyle w:val="ListParagraph"/>
        <w:numPr>
          <w:ilvl w:val="0"/>
          <w:numId w:val="2"/>
        </w:numPr>
        <w:spacing w:after="80" w:line="320" w:lineRule="auto"/>
      </w:pPr>
      <w:r>
        <w:rPr>
          <w:rFonts w:ascii="Open Sans" w:cs="Open Sans" w:eastAsia="Open Sans" w:hAnsi="Open Sans"/>
          <w:color w:val="2E2E2E"/>
          <w:sz w:val="28"/>
          <w:szCs w:val="28"/>
        </w:rPr>
        <w:t xml:space="preserve">DLT compliance and TRAI alignment — India-specific moat that global players cannot replicate</w:t>
      </w:r>
    </w:p>
    <w:p>
      <w:pPr>
        <w:pStyle w:val="ListParagraph"/>
        <w:numPr>
          <w:ilvl w:val="0"/>
          <w:numId w:val="2"/>
        </w:numPr>
        <w:spacing w:after="80" w:line="320" w:lineRule="auto"/>
      </w:pPr>
      <w:r>
        <w:rPr>
          <w:rFonts w:ascii="Open Sans" w:cs="Open Sans" w:eastAsia="Open Sans" w:hAnsi="Open Sans"/>
          <w:color w:val="2E2E2E"/>
          <w:sz w:val="28"/>
          <w:szCs w:val="28"/>
        </w:rPr>
        <w:t xml:space="preserve">Carrier-direct relationships (Airtel, Jio, Vi, BSNL) — delivery rates that international aggregators cannot match</w:t>
      </w:r>
    </w:p>
    <w:p>
      <w:pPr>
        <w:pStyle w:val="ListParagraph"/>
        <w:numPr>
          <w:ilvl w:val="0"/>
          <w:numId w:val="2"/>
        </w:numPr>
        <w:spacing w:after="80" w:line="320" w:lineRule="auto"/>
      </w:pPr>
      <w:r>
        <w:rPr>
          <w:rFonts w:ascii="Open Sans" w:cs="Open Sans" w:eastAsia="Open Sans" w:hAnsi="Open Sans"/>
          <w:color w:val="2E2E2E"/>
          <w:sz w:val="28"/>
          <w:szCs w:val="28"/>
        </w:rPr>
        <w:t xml:space="preserve">Government contract base (NICSI, CRIS) — validates enterprise trust</w:t>
      </w:r>
    </w:p>
    <w:p>
      <w:pPr>
        <w:pStyle w:val="ListParagraph"/>
        <w:numPr>
          <w:ilvl w:val="0"/>
          <w:numId w:val="2"/>
        </w:numPr>
        <w:spacing w:after="80" w:line="320" w:lineRule="auto"/>
      </w:pPr>
      <w:r>
        <w:rPr>
          <w:rFonts w:ascii="Open Sans" w:cs="Open Sans" w:eastAsia="Open Sans" w:hAnsi="Open Sans"/>
          <w:color w:val="2E2E2E"/>
          <w:sz w:val="28"/>
          <w:szCs w:val="28"/>
        </w:rPr>
        <w:t xml:space="preserve">WhatsApp and RCS feature breadth at ~90–95% of the Meta/Jio/Vi spec</w:t>
      </w:r>
    </w:p>
    <w:p>
      <w:pPr>
        <w:pStyle w:val="ListParagraph"/>
        <w:numPr>
          <w:ilvl w:val="0"/>
          <w:numId w:val="2"/>
        </w:numPr>
        <w:spacing w:after="80" w:line="320" w:lineRule="auto"/>
      </w:pPr>
      <w:r>
        <w:rPr>
          <w:rFonts w:ascii="Open Sans" w:cs="Open Sans" w:eastAsia="Open Sans" w:hAnsi="Open Sans"/>
          <w:color w:val="2E2E2E"/>
          <w:sz w:val="28"/>
          <w:szCs w:val="28"/>
        </w:rPr>
        <w:t xml:space="preserve">Multi-provider and reseller architecture — commercially flexible</w:t>
      </w:r>
    </w:p>
    <w:p>
      <w:pPr>
        <w:spacing w:after="100"/>
      </w:pPr>
    </w:p>
    <w:p>
      <w:pPr>
        <w:pStyle w:val="Heading2"/>
        <w:spacing w:after="120" w:before="340"/>
      </w:pPr>
      <w:r>
        <w:rPr>
          <w:rFonts w:ascii="Montserrat" w:cs="Montserrat" w:eastAsia="Montserrat" w:hAnsi="Montserrat"/>
          <w:b/>
          <w:bCs/>
          <w:color w:val="2E2E2E"/>
          <w:sz w:val="36"/>
          <w:szCs w:val="36"/>
        </w:rPr>
        <w:t xml:space="preserve">Where Onextel Is Behind — and the Gap Is Widening</w:t>
      </w:r>
    </w:p>
    <w:p>
      <w:pPr>
        <w:pStyle w:val="ListParagraph"/>
        <w:numPr>
          <w:ilvl w:val="0"/>
          <w:numId w:val="2"/>
        </w:numPr>
        <w:spacing w:after="80" w:line="320" w:lineRule="auto"/>
      </w:pPr>
      <w:r>
        <w:rPr>
          <w:rFonts w:ascii="Open Sans" w:cs="Open Sans" w:eastAsia="Open Sans" w:hAnsi="Open Sans"/>
          <w:b/>
          <w:bCs/>
          <w:color w:val="2E2E2E"/>
          <w:sz w:val="28"/>
          <w:szCs w:val="28"/>
        </w:rPr>
        <w:t xml:space="preserve">AI: </w:t>
      </w:r>
      <w:r>
        <w:rPr>
          <w:rFonts w:ascii="Open Sans" w:cs="Open Sans" w:eastAsia="Open Sans" w:hAnsi="Open Sans"/>
          <w:color w:val="2E2E2E"/>
          <w:sz w:val="28"/>
          <w:szCs w:val="28"/>
        </w:rPr>
        <w:t xml:space="preserve">Infobip has AgentOS — generative AI integrated into communication flows. Telnyx is agent-native. Twilio has Conversational Relay for Voice AI. Onextel has nothing.</w:t>
      </w:r>
    </w:p>
    <w:p>
      <w:pPr>
        <w:pStyle w:val="ListParagraph"/>
        <w:numPr>
          <w:ilvl w:val="0"/>
          <w:numId w:val="2"/>
        </w:numPr>
        <w:spacing w:after="80" w:line="320" w:lineRule="auto"/>
      </w:pPr>
      <w:r>
        <w:rPr>
          <w:rFonts w:ascii="Open Sans" w:cs="Open Sans" w:eastAsia="Open Sans" w:hAnsi="Open Sans"/>
          <w:b/>
          <w:bCs/>
          <w:color w:val="2E2E2E"/>
          <w:sz w:val="28"/>
          <w:szCs w:val="28"/>
        </w:rPr>
        <w:t xml:space="preserve">Journey orchestration: </w:t>
      </w:r>
      <w:r>
        <w:rPr>
          <w:rFonts w:ascii="Open Sans" w:cs="Open Sans" w:eastAsia="Open Sans" w:hAnsi="Open Sans"/>
          <w:color w:val="2E2E2E"/>
          <w:sz w:val="28"/>
          <w:szCs w:val="28"/>
        </w:rPr>
        <w:t xml:space="preserve">Every Tier 1 player has this. Customers go to CleverTap and MoEngage instead of using Onextel for automation.</w:t>
      </w:r>
    </w:p>
    <w:p>
      <w:pPr>
        <w:pStyle w:val="ListParagraph"/>
        <w:numPr>
          <w:ilvl w:val="0"/>
          <w:numId w:val="2"/>
        </w:numPr>
        <w:spacing w:after="80" w:line="320" w:lineRule="auto"/>
      </w:pPr>
      <w:r>
        <w:rPr>
          <w:rFonts w:ascii="Open Sans" w:cs="Open Sans" w:eastAsia="Open Sans" w:hAnsi="Open Sans"/>
          <w:b/>
          <w:bCs/>
          <w:color w:val="2E2E2E"/>
          <w:sz w:val="28"/>
          <w:szCs w:val="28"/>
        </w:rPr>
        <w:t xml:space="preserve">Developer experience: </w:t>
      </w:r>
      <w:r>
        <w:rPr>
          <w:rFonts w:ascii="Open Sans" w:cs="Open Sans" w:eastAsia="Open Sans" w:hAnsi="Open Sans"/>
          <w:color w:val="2E2E2E"/>
          <w:sz w:val="28"/>
          <w:szCs w:val="28"/>
        </w:rPr>
        <w:t xml:space="preserve">Twilio and Telnyx set the standard. Onextel has fragmented API versions and no sandbox.</w:t>
      </w:r>
    </w:p>
    <w:p>
      <w:pPr>
        <w:pStyle w:val="ListParagraph"/>
        <w:numPr>
          <w:ilvl w:val="0"/>
          <w:numId w:val="2"/>
        </w:numPr>
        <w:spacing w:after="80" w:line="320" w:lineRule="auto"/>
      </w:pPr>
      <w:r>
        <w:rPr>
          <w:rFonts w:ascii="Open Sans" w:cs="Open Sans" w:eastAsia="Open Sans" w:hAnsi="Open Sans"/>
          <w:b/>
          <w:bCs/>
          <w:color w:val="2E2E2E"/>
          <w:sz w:val="28"/>
          <w:szCs w:val="28"/>
        </w:rPr>
        <w:t xml:space="preserve">RCS at scale: </w:t>
      </w:r>
      <w:r>
        <w:rPr>
          <w:rFonts w:ascii="Open Sans" w:cs="Open Sans" w:eastAsia="Open Sans" w:hAnsi="Open Sans"/>
          <w:color w:val="2E2E2E"/>
          <w:sz w:val="28"/>
          <w:szCs w:val="28"/>
        </w:rPr>
        <w:t xml:space="preserve">Sinch and Infobip have broader carrier RCS coverage. Onextel is limited to Jio and Vi.</w:t>
      </w:r>
    </w:p>
    <w:p>
      <w:pPr>
        <w:spacing w:after="100"/>
      </w:pPr>
    </w:p>
    <w:p>
      <w:pPr>
        <w:pStyle w:val="Heading2"/>
        <w:spacing w:after="120" w:before="340"/>
      </w:pPr>
      <w:r>
        <w:rPr>
          <w:rFonts w:ascii="Montserrat" w:cs="Montserrat" w:eastAsia="Montserrat" w:hAnsi="Montserrat"/>
          <w:b/>
          <w:bCs/>
          <w:color w:val="2E2E2E"/>
          <w:sz w:val="36"/>
          <w:szCs w:val="36"/>
        </w:rPr>
        <w:t xml:space="preserve">The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Onextel’s India-market infrastructure advantage is real. The risk is that Infobip and Sinch are investing in India directly. The window to build the product layer on top of the infrastructure moat is 12–18 months.</w:t>
            </w:r>
          </w:p>
        </w:tc>
      </w:tr>
    </w:tbl>
    <w:p>
      <w:pPr>
        <w:spacing w:after="200"/>
      </w:pPr>
    </w:p>
    <w:p>
      <w:pPr>
        <w:pBdr>
          <w:bottom w:val="single" w:color="FF3535" w:sz="6" w:space="1"/>
        </w:pBdr>
        <w:spacing w:after="240" w:before="240"/>
      </w:pPr>
    </w:p>
    <w:p>
      <w:pPr>
        <w:pStyle w:val="Heading1"/>
        <w:pBdr>
          <w:left w:val="single" w:color="FF3535" w:sz="24" w:space="10"/>
        </w:pBdr>
        <w:spacing w:after="220" w:before="480"/>
        <w:ind w:left="280"/>
      </w:pPr>
      <w:r>
        <w:rPr>
          <w:rFonts w:ascii="Montserrat" w:cs="Montserrat" w:eastAsia="Montserrat" w:hAnsi="Montserrat"/>
          <w:b/>
          <w:bCs/>
          <w:color w:val="2E2E2E"/>
          <w:sz w:val="44"/>
          <w:szCs w:val="44"/>
        </w:rPr>
        <w:t xml:space="preserve">Part 5 — What OneXtel Must Be</w:t>
      </w:r>
    </w:p>
    <w:p>
      <w:pPr>
        <w:spacing w:after="160" w:line="340" w:lineRule="auto"/>
      </w:pPr>
      <w:r>
        <w:rPr>
          <w:rFonts w:ascii="Open Sans" w:cs="Open Sans" w:eastAsia="Open Sans" w:hAnsi="Open Sans"/>
          <w:color w:val="2E2E2E"/>
          <w:sz w:val="28"/>
          <w:szCs w:val="28"/>
        </w:rPr>
        <w:t xml:space="preserve">OneXtel is the engagement platform that Aura’s infrastructure makes possible but never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Aura handles messages. OneXtel handles outcomes.</w:t>
            </w:r>
          </w:p>
        </w:tc>
      </w:tr>
    </w:tbl>
    <w:p>
      <w:pPr>
        <w:spacing w:after="120"/>
      </w:pPr>
    </w:p>
    <w:p>
      <w:pPr>
        <w:pStyle w:val="Heading2"/>
        <w:spacing w:after="120" w:before="340"/>
      </w:pPr>
      <w:r>
        <w:rPr>
          <w:rFonts w:ascii="Montserrat" w:cs="Montserrat" w:eastAsia="Montserrat" w:hAnsi="Montserrat"/>
          <w:b/>
          <w:bCs/>
          <w:color w:val="2E2E2E"/>
          <w:sz w:val="36"/>
          <w:szCs w:val="36"/>
        </w:rPr>
        <w:t xml:space="preserve">The Superset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tblHeader/>
        </w:trPr>
        <w:tc>
          <w:tcPr>
            <w:tcW w:type="dxa" w:w="200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Capability</w:t>
            </w:r>
          </w:p>
        </w:tc>
        <w:tc>
          <w:tcPr>
            <w:tcW w:type="dxa" w:w="320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Aura Today</w:t>
            </w:r>
          </w:p>
        </w:tc>
        <w:tc>
          <w:tcPr>
            <w:tcW w:type="dxa" w:w="4438"/>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OneXtel Adds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Channels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SMS, WhatsApp, RCS</w:t>
            </w:r>
          </w:p>
        </w:tc>
        <w:tc>
          <w:tcPr>
            <w:tcW w:type="dxa" w:w="44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 Email, + Voice</w:t>
            </w:r>
          </w:p>
        </w:tc>
      </w:tr>
      <w:tr>
        <w:tc>
          <w:tcPr>
            <w:tcW w:type="dxa" w:w="2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Campaigns</w:t>
            </w:r>
          </w:p>
        </w:tc>
        <w:tc>
          <w:tcPr>
            <w:tcW w:type="dxa" w:w="3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Bulk broadcast, scheduling</w:t>
            </w:r>
          </w:p>
        </w:tc>
        <w:tc>
          <w:tcPr>
            <w:tcW w:type="dxa" w:w="44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 Journey automation, + A/B testing, + frequency capping UI</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Templates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Per-channel silos (DLT / WARCS)</w:t>
            </w:r>
          </w:p>
        </w:tc>
        <w:tc>
          <w:tcPr>
            <w:tcW w:type="dxa" w:w="44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Unified library across all channels</w:t>
            </w:r>
          </w:p>
        </w:tc>
      </w:tr>
      <w:tr>
        <w:tc>
          <w:tcPr>
            <w:tcW w:type="dxa" w:w="2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Contacts</w:t>
            </w:r>
          </w:p>
        </w:tc>
        <w:tc>
          <w:tcPr>
            <w:tcW w:type="dxa" w:w="3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Flat phonebook</w:t>
            </w:r>
          </w:p>
        </w:tc>
        <w:tc>
          <w:tcPr>
            <w:tcW w:type="dxa" w:w="44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Segments, rule builder, event history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Reporting</w:t>
            </w:r>
          </w:p>
        </w:tc>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Per-channel, often wrong, IST only</w:t>
            </w:r>
          </w:p>
        </w:tc>
        <w:tc>
          <w:tcPr>
            <w:tcW w:type="dxa" w:w="44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Unified, accurate, self-serve, timezone-aware, scheduled delivery</w:t>
            </w:r>
          </w:p>
        </w:tc>
      </w:tr>
      <w:tr>
        <w:tc>
          <w:tcPr>
            <w:tcW w:type="dxa" w:w="2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Governance</w:t>
            </w:r>
          </w:p>
        </w:tc>
        <w:tc>
          <w:tcPr>
            <w:tcW w:type="dxa" w:w="3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In development, currently unstable</w:t>
            </w:r>
          </w:p>
        </w:tc>
        <w:tc>
          <w:tcPr>
            <w:tcW w:type="dxa" w:w="44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RBAC + Maker-Checker + Audit Log as a stable, complete module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Failure visibility</w:t>
            </w:r>
          </w:p>
        </w:tc>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Silent failures</w:t>
            </w:r>
          </w:p>
        </w:tc>
        <w:tc>
          <w:tcPr>
            <w:tcW w:type="dxa" w:w="44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Every failure surfaced with reason + suggested fix + alerts</w:t>
            </w:r>
          </w:p>
        </w:tc>
      </w:tr>
      <w:tr>
        <w:tc>
          <w:tcPr>
            <w:tcW w:type="dxa" w:w="2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Delivery trust</w:t>
            </w:r>
          </w:p>
        </w:tc>
        <w:tc>
          <w:tcPr>
            <w:tcW w:type="dxa" w:w="3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Counts wrong, manual DB fixes</w:t>
            </w:r>
          </w:p>
        </w:tc>
        <w:tc>
          <w:tcPr>
            <w:tcW w:type="dxa" w:w="44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Accurate funnel, self-serve transaction repair tool</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Billing</w:t>
            </w:r>
          </w:p>
        </w:tc>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Per-channel credits</w:t>
            </w:r>
          </w:p>
        </w:tc>
        <w:tc>
          <w:tcPr>
            <w:tcW w:type="dxa" w:w="44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Unified wallet, cross-channel spend dashboard</w:t>
            </w:r>
          </w:p>
        </w:tc>
      </w:tr>
      <w:tr>
        <w:tc>
          <w:tcPr>
            <w:tcW w:type="dxa" w:w="2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Onboarding</w:t>
            </w:r>
          </w:p>
        </w:tc>
        <w:tc>
          <w:tcPr>
            <w:tcW w:type="dxa" w:w="3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339 RCS onboarding tickets</w:t>
            </w:r>
          </w:p>
        </w:tc>
        <w:tc>
          <w:tcPr>
            <w:tcW w:type="dxa" w:w="44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Self-serve setup wizard per channel</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AI (Product)</w:t>
            </w:r>
          </w:p>
        </w:tc>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Zero features shipped</w:t>
            </w:r>
          </w:p>
        </w:tc>
        <w:tc>
          <w:tcPr>
            <w:tcW w:type="dxa" w:w="443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Intelligent channel routing · Predictive delivery · Anomaly detection · Audience segmentation AI · Conversational flows · Usage &amp; cost insights</w:t>
            </w:r>
          </w:p>
        </w:tc>
      </w:tr>
      <w:tr>
        <w:tc>
          <w:tcPr>
            <w:tcW w:type="dxa" w:w="20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Developer</w:t>
            </w:r>
          </w:p>
        </w:tc>
        <w:tc>
          <w:tcPr>
            <w:tcW w:type="dxa" w:w="32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Fragmented APIs, no sandbox</w:t>
            </w:r>
          </w:p>
        </w:tc>
        <w:tc>
          <w:tcPr>
            <w:tcW w:type="dxa" w:w="443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Unified API, in-UI API key generator</w:t>
            </w:r>
          </w:p>
        </w:tc>
      </w:tr>
    </w:tbl>
    <w:p>
      <w:pPr>
        <w:spacing w:after="140"/>
      </w:pPr>
    </w:p>
    <w:p>
      <w:pPr>
        <w:pStyle w:val="Heading2"/>
        <w:spacing w:after="120" w:before="340"/>
      </w:pPr>
      <w:r>
        <w:rPr>
          <w:rFonts w:ascii="Montserrat" w:cs="Montserrat" w:eastAsia="Montserrat" w:hAnsi="Montserrat"/>
          <w:b/>
          <w:bCs/>
          <w:color w:val="2E2E2E"/>
          <w:sz w:val="36"/>
          <w:szCs w:val="36"/>
        </w:rPr>
        <w:t xml:space="preserve">Priority Order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558"/>
      </w:tblGrid>
      <w:tr>
        <w:trPr>
          <w:tblHeader/>
        </w:trPr>
        <w:tc>
          <w:tcPr>
            <w:tcW w:type="dxa" w:w="48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w:t>
            </w:r>
          </w:p>
        </w:tc>
        <w:tc>
          <w:tcPr>
            <w:tcW w:type="dxa" w:w="3600"/>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Problem</w:t>
            </w:r>
          </w:p>
        </w:tc>
        <w:tc>
          <w:tcPr>
            <w:tcW w:type="dxa" w:w="5558"/>
            <w:tcBorders>
              <w:top w:val="none" w:color="FFFFFF" w:sz="0"/>
              <w:left w:val="none" w:color="FFFFFF" w:sz="0"/>
              <w:bottom w:val="single" w:color="FF3535" w:sz="8"/>
              <w:right w:val="none" w:color="FFFFFF" w:sz="0"/>
            </w:tcBorders>
            <w:shd w:fill="2E2E2E" w:val="clear"/>
            <w:tcMar>
              <w:top w:type="dxa" w:w="100"/>
              <w:left w:type="dxa" w:w="160"/>
              <w:bottom w:type="dxa" w:w="100"/>
              <w:right w:type="dxa" w:w="160"/>
            </w:tcMar>
            <w:vAlign w:val="center"/>
          </w:tcPr>
          <w:p>
            <w:r>
              <w:rPr>
                <w:rFonts w:ascii="Montserrat" w:cs="Montserrat" w:eastAsia="Montserrat" w:hAnsi="Montserrat"/>
                <w:b/>
                <w:bCs/>
                <w:color w:val="FFFFFF"/>
                <w:sz w:val="22"/>
                <w:szCs w:val="22"/>
              </w:rPr>
              <w:t xml:space="preserve">Why This Order</w:t>
            </w:r>
          </w:p>
        </w:tc>
      </w:tr>
      <w:tr>
        <w:tc>
          <w:tcPr>
            <w:tcW w:type="dxa" w:w="4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1</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Data trust — accurate counts, self-serve transaction repair</w:t>
            </w:r>
          </w:p>
        </w:tc>
        <w:tc>
          <w:tcPr>
            <w:tcW w:type="dxa" w:w="555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Every other feature is undermined if the numbers are wrong</w:t>
            </w:r>
          </w:p>
        </w:tc>
      </w:tr>
      <w:tr>
        <w:tc>
          <w:tcPr>
            <w:tcW w:type="dxa" w:w="48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2</w:t>
            </w:r>
          </w:p>
        </w:tc>
        <w:tc>
          <w:tcPr>
            <w:tcW w:type="dxa" w:w="3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Reporting self-serve — builder, scheduled delivery, AM view</w:t>
            </w:r>
          </w:p>
        </w:tc>
        <w:tc>
          <w:tcPr>
            <w:tcW w:type="dxa" w:w="555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Converts 1,000+ recurring support tickets into product usage</w:t>
            </w:r>
          </w:p>
        </w:tc>
      </w:tr>
      <w:tr>
        <w:tc>
          <w:tcPr>
            <w:tcW w:type="dxa" w:w="4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3</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Enterprise governance — stabilise RBAC, Maker-Checker, add Audit Log</w:t>
            </w:r>
          </w:p>
        </w:tc>
        <w:tc>
          <w:tcPr>
            <w:tcW w:type="dxa" w:w="555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Directly unlocks BFSI and Govt deals currently blocked</w:t>
            </w:r>
          </w:p>
        </w:tc>
      </w:tr>
      <w:tr>
        <w:tc>
          <w:tcPr>
            <w:tcW w:type="dxa" w:w="48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4</w:t>
            </w:r>
          </w:p>
        </w:tc>
        <w:tc>
          <w:tcPr>
            <w:tcW w:type="dxa" w:w="3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Failure visibility — alerts, error reasons, template sync status</w:t>
            </w:r>
          </w:p>
        </w:tc>
        <w:tc>
          <w:tcPr>
            <w:tcW w:type="dxa" w:w="555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Reduces PROD ticket volume immediately</w:t>
            </w:r>
          </w:p>
        </w:tc>
      </w:tr>
      <w:tr>
        <w:tc>
          <w:tcPr>
            <w:tcW w:type="dxa" w:w="4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5</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Journey Automation — trigger-based, multi-channel, conditional</w:t>
            </w:r>
          </w:p>
        </w:tc>
        <w:tc>
          <w:tcPr>
            <w:tcW w:type="dxa" w:w="555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Moves OneXtel from broadcast tool to engagement platform</w:t>
            </w:r>
          </w:p>
        </w:tc>
      </w:tr>
      <w:tr>
        <w:tc>
          <w:tcPr>
            <w:tcW w:type="dxa" w:w="48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6</w:t>
            </w:r>
          </w:p>
        </w:tc>
        <w:tc>
          <w:tcPr>
            <w:tcW w:type="dxa" w:w="3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Audience Management — contact properties, segments, event history</w:t>
            </w:r>
          </w:p>
        </w:tc>
        <w:tc>
          <w:tcPr>
            <w:tcW w:type="dxa" w:w="555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Prerequisite for Journey and campaign personalisation</w:t>
            </w:r>
          </w:p>
        </w:tc>
      </w:tr>
      <w:tr>
        <w:tc>
          <w:tcPr>
            <w:tcW w:type="dxa" w:w="4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7</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Unified Content + Templates — across SMS/WA/RCS/Email/Voice</w:t>
            </w:r>
          </w:p>
        </w:tc>
        <w:tc>
          <w:tcPr>
            <w:tcW w:type="dxa" w:w="5558"/>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Prerequisite for Journey and multi-channel campaigns</w:t>
            </w:r>
          </w:p>
        </w:tc>
      </w:tr>
      <w:tr>
        <w:tc>
          <w:tcPr>
            <w:tcW w:type="dxa" w:w="48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8</w:t>
            </w:r>
          </w:p>
        </w:tc>
        <w:tc>
          <w:tcPr>
            <w:tcW w:type="dxa" w:w="3600"/>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Channel onboarding + Email + Voice — self-serve wizards, new channels</w:t>
            </w:r>
          </w:p>
        </w:tc>
        <w:tc>
          <w:tcPr>
            <w:tcW w:type="dxa" w:w="5558"/>
            <w:tcBorders>
              <w:top w:val="single" w:color="E2E8F0" w:sz="4"/>
              <w:left w:val="single" w:color="E2E8F0" w:sz="4"/>
              <w:bottom w:val="single" w:color="E2E8F0" w:sz="4"/>
              <w:right w:val="single" w:color="E2E8F0" w:sz="4"/>
            </w:tcBorders>
            <w:shd w:fill="DDE7F1" w:val="clear"/>
            <w:tcMar>
              <w:top w:type="dxa" w:w="80"/>
              <w:left w:type="dxa" w:w="160"/>
              <w:bottom w:type="dxa" w:w="80"/>
              <w:right w:type="dxa" w:w="160"/>
            </w:tcMar>
          </w:tcPr>
          <w:p>
            <w:pPr>
              <w:spacing w:after="40" w:line="300" w:lineRule="auto"/>
            </w:pPr>
            <w:r>
              <w:rPr>
                <w:rFonts w:ascii="Open Sans" w:cs="Open Sans" w:eastAsia="Open Sans" w:hAnsi="Open Sans"/>
                <w:color w:val="2E2E2E"/>
                <w:sz w:val="24"/>
                <w:szCs w:val="24"/>
              </w:rPr>
              <w:t xml:space="preserve">Completes the omnichannel story</w:t>
            </w:r>
          </w:p>
        </w:tc>
      </w:tr>
    </w:tbl>
    <w:p>
      <w:pPr>
        <w:spacing w:after="200"/>
      </w:pPr>
    </w:p>
    <w:p>
      <w:pPr>
        <w:pBdr>
          <w:bottom w:val="single" w:color="FF3535" w:sz="6" w:space="1"/>
        </w:pBdr>
        <w:spacing w:after="240" w:before="240"/>
      </w:pPr>
    </w:p>
    <w:p>
      <w:pPr>
        <w:pStyle w:val="Heading1"/>
        <w:pBdr>
          <w:left w:val="single" w:color="FF3535" w:sz="24" w:space="10"/>
        </w:pBdr>
        <w:spacing w:after="220" w:before="480"/>
        <w:ind w:left="280"/>
      </w:pPr>
      <w:r>
        <w:rPr>
          <w:rFonts w:ascii="Montserrat" w:cs="Montserrat" w:eastAsia="Montserrat" w:hAnsi="Montserrat"/>
          <w:b/>
          <w:bCs/>
          <w:color w:val="2E2E2E"/>
          <w:sz w:val="44"/>
          <w:szCs w:val="44"/>
        </w:rPr>
        <w:t xml:space="preserve">Part 6 — The Product Organisation Gap</w:t>
      </w:r>
    </w:p>
    <w:p>
      <w:pPr>
        <w:spacing w:after="160" w:line="340" w:lineRule="auto"/>
      </w:pPr>
      <w:r>
        <w:rPr>
          <w:rFonts w:ascii="Open Sans" w:cs="Open Sans" w:eastAsia="Open Sans" w:hAnsi="Open Sans"/>
          <w:color w:val="2E2E2E"/>
          <w:sz w:val="28"/>
          <w:szCs w:val="28"/>
        </w:rPr>
        <w:t xml:space="preserve">The previous five parts document what is wrong with the product that customers see. This part documents what is wrong with how the product is built. Both need to be fixed. The second determines whether the first ever gets resolved.</w:t>
      </w:r>
    </w:p>
    <w:p>
      <w:pPr>
        <w:spacing w:after="100"/>
      </w:pPr>
    </w:p>
    <w:p>
      <w:pPr>
        <w:pStyle w:val="Heading2"/>
        <w:spacing w:after="120" w:before="340"/>
      </w:pPr>
      <w:r>
        <w:rPr>
          <w:rFonts w:ascii="Montserrat" w:cs="Montserrat" w:eastAsia="Montserrat" w:hAnsi="Montserrat"/>
          <w:b/>
          <w:bCs/>
          <w:color w:val="2E2E2E"/>
          <w:sz w:val="36"/>
          <w:szCs w:val="36"/>
        </w:rPr>
        <w:t xml:space="preserve">6.1  Requirements Arrive Without Structure</w:t>
      </w:r>
    </w:p>
    <w:p>
      <w:pPr>
        <w:spacing w:after="160" w:line="340" w:lineRule="auto"/>
      </w:pPr>
      <w:r>
        <w:rPr>
          <w:rFonts w:ascii="Open Sans" w:cs="Open Sans" w:eastAsia="Open Sans" w:hAnsi="Open Sans"/>
          <w:color w:val="2E2E2E"/>
          <w:sz w:val="28"/>
          <w:szCs w:val="28"/>
        </w:rPr>
        <w:t xml:space="preserve">Product requirements currently arrive via Slack, email, and hallways. There is no formal intake process. There are no quarterly planning windows. There are no cutoff dates. There is no RICE prioritisation. The result is that priorities are reactive — whoever shouts loudest in any given week shapes what gets built. Strategic problems (the ones costing enterprise deals) wait behind urgent requests (the ones from the loudest customer on a given day).</w:t>
      </w:r>
    </w:p>
    <w:p>
      <w:pPr>
        <w:spacing w:after="80"/>
      </w:pPr>
    </w:p>
    <w:p>
      <w:pPr>
        <w:spacing w:after="160" w:line="340" w:lineRule="auto"/>
      </w:pPr>
      <w:r>
        <w:rPr>
          <w:rFonts w:ascii="Open Sans" w:cs="Open Sans" w:eastAsia="Open Sans" w:hAnsi="Open Sans"/>
          <w:b/>
          <w:bCs/>
          <w:color w:val="2E2E2E"/>
          <w:sz w:val="28"/>
          <w:szCs w:val="28"/>
        </w:rPr>
        <w:t xml:space="preserve">The consequence is visible in this report: </w:t>
      </w:r>
      <w:r>
        <w:rPr>
          <w:rFonts w:ascii="Open Sans" w:cs="Open Sans" w:eastAsia="Open Sans" w:hAnsi="Open Sans"/>
          <w:color w:val="2E2E2E"/>
          <w:sz w:val="28"/>
          <w:szCs w:val="28"/>
        </w:rPr>
        <w:t xml:space="preserve">RBAC and Maker-Checker have been listed as P0 on every Aura platform for multiple quarters. They are still not stable in production. Not because engineering can't build them — because there has been no forcing function to protect them from being deprioritised every sprint.</w:t>
      </w:r>
    </w:p>
    <w:p>
      <w:pPr>
        <w:spacing w:after="120"/>
      </w:pPr>
    </w:p>
    <w:p>
      <w:pPr>
        <w:pStyle w:val="Heading2"/>
        <w:spacing w:after="120" w:before="340"/>
      </w:pPr>
      <w:r>
        <w:rPr>
          <w:rFonts w:ascii="Montserrat" w:cs="Montserrat" w:eastAsia="Montserrat" w:hAnsi="Montserrat"/>
          <w:b/>
          <w:bCs/>
          <w:color w:val="2E2E2E"/>
          <w:sz w:val="36"/>
          <w:szCs w:val="36"/>
        </w:rPr>
        <w:t xml:space="preserve">6.2  Support Tickets Are Noise, Not Signal</w:t>
      </w:r>
    </w:p>
    <w:p>
      <w:pPr>
        <w:spacing w:after="160" w:line="340" w:lineRule="auto"/>
      </w:pPr>
      <w:r>
        <w:rPr>
          <w:rFonts w:ascii="Open Sans" w:cs="Open Sans" w:eastAsia="Open Sans" w:hAnsi="Open Sans"/>
          <w:color w:val="2E2E2E"/>
          <w:sz w:val="28"/>
          <w:szCs w:val="28"/>
        </w:rPr>
        <w:t xml:space="preserve">7,139 support tickets were manually analysed to produce this report. That analysis took significant time and was done once, for this document. It is not a live process. There is no taxonomy. Tickets are not tagged by problem type. There is no mechanism by which support volume — the clearest signal of product failure — flows into product decisions.</w:t>
      </w:r>
    </w:p>
    <w:p>
      <w:pPr>
        <w:spacing w:after="80"/>
      </w:pPr>
    </w:p>
    <w:p>
      <w:pPr>
        <w:spacing w:after="160" w:line="340" w:lineRule="auto"/>
      </w:pPr>
      <w:r>
        <w:rPr>
          <w:rFonts w:ascii="Open Sans" w:cs="Open Sans" w:eastAsia="Open Sans" w:hAnsi="Open Sans"/>
          <w:color w:val="2E2E2E"/>
          <w:sz w:val="28"/>
          <w:szCs w:val="28"/>
        </w:rPr>
        <w:t xml:space="preserve">The specific breakdown in this report (1,841 delivery concern tickets, 1,126 reporting tickets, 431 voice tickets) was extracted by hand. It should be a dashboard that refreshes automatically and drives the next planning cycle. It currently does not exist.</w:t>
      </w:r>
    </w:p>
    <w:p>
      <w:pPr>
        <w:spacing w:after="120"/>
      </w:pPr>
    </w:p>
    <w:p>
      <w:pPr>
        <w:pStyle w:val="Heading2"/>
        <w:spacing w:after="120" w:before="340"/>
      </w:pPr>
      <w:r>
        <w:rPr>
          <w:rFonts w:ascii="Montserrat" w:cs="Montserrat" w:eastAsia="Montserrat" w:hAnsi="Montserrat"/>
          <w:b/>
          <w:bCs/>
          <w:color w:val="2E2E2E"/>
          <w:sz w:val="36"/>
          <w:szCs w:val="36"/>
        </w:rPr>
        <w:t xml:space="preserve">6.3  Features Enter Engineering Without Design</w:t>
      </w:r>
    </w:p>
    <w:p>
      <w:pPr>
        <w:spacing w:after="160" w:line="340" w:lineRule="auto"/>
      </w:pPr>
      <w:r>
        <w:rPr>
          <w:rFonts w:ascii="Open Sans" w:cs="Open Sans" w:eastAsia="Open Sans" w:hAnsi="Open Sans"/>
          <w:color w:val="2E2E2E"/>
          <w:sz w:val="28"/>
          <w:szCs w:val="28"/>
        </w:rPr>
        <w:t xml:space="preserve">There is no mandatory design standard before sprint entry. Features are being built without Figma sign-off, without defined edge cases, without empty states, without error states. Issues that should be caught in a design review are instead discovered by the customer or raised as a PROD ticket after release.</w:t>
      </w:r>
    </w:p>
    <w:p>
      <w:pPr>
        <w:spacing w:after="80"/>
      </w:pPr>
    </w:p>
    <w:p>
      <w:pPr>
        <w:spacing w:after="160" w:line="340" w:lineRule="auto"/>
      </w:pPr>
      <w:r>
        <w:rPr>
          <w:rFonts w:ascii="Open Sans" w:cs="Open Sans" w:eastAsia="Open Sans" w:hAnsi="Open Sans"/>
          <w:color w:val="2E2E2E"/>
          <w:sz w:val="28"/>
          <w:szCs w:val="28"/>
        </w:rPr>
        <w:t xml:space="preserve">PROD-311 (Maker-Checker critical bugs immediately upon deployment) and PROD-305 (RBAC role issues) are partially symptoms of this — governance features with complex interaction states that were built without a structured design process.</w:t>
      </w:r>
    </w:p>
    <w:p>
      <w:pPr>
        <w:spacing w:after="120"/>
      </w:pPr>
    </w:p>
    <w:p>
      <w:pPr>
        <w:pStyle w:val="Heading2"/>
        <w:spacing w:after="120" w:before="340"/>
      </w:pPr>
      <w:r>
        <w:rPr>
          <w:rFonts w:ascii="Montserrat" w:cs="Montserrat" w:eastAsia="Montserrat" w:hAnsi="Montserrat"/>
          <w:b/>
          <w:bCs/>
          <w:color w:val="2E2E2E"/>
          <w:sz w:val="36"/>
          <w:szCs w:val="36"/>
        </w:rPr>
        <w:t xml:space="preserve">6.4  Design and Project Management Need to Be Processified</w:t>
      </w:r>
    </w:p>
    <w:p>
      <w:pPr>
        <w:spacing w:after="160" w:line="340" w:lineRule="auto"/>
      </w:pPr>
      <w:r>
        <w:rPr>
          <w:rFonts w:ascii="Open Sans" w:cs="Open Sans" w:eastAsia="Open Sans" w:hAnsi="Open Sans"/>
          <w:color w:val="2E2E2E"/>
          <w:sz w:val="28"/>
          <w:szCs w:val="28"/>
        </w:rPr>
        <w:t xml:space="preserve">Design is happening, but it is not yet a formal gate before engineering begins. There is no mandatory sign-off on edge cases, empty states, or error flows before sprint entry. Programme management — tracking roadmap commitments, publishing delivery outcomes, and reviewing what was promised versus what shipped — is not yet formalised at the scale the platform requires.</w:t>
      </w:r>
    </w:p>
    <w:p>
      <w:pPr>
        <w:spacing w:after="80"/>
      </w:pPr>
    </w:p>
    <w:p>
      <w:pPr>
        <w:spacing w:after="160" w:line="340" w:lineRule="auto"/>
      </w:pPr>
      <w:r>
        <w:rPr>
          <w:rFonts w:ascii="Open Sans" w:cs="Open Sans" w:eastAsia="Open Sans" w:hAnsi="Open Sans"/>
          <w:color w:val="2E2E2E"/>
          <w:sz w:val="28"/>
          <w:szCs w:val="28"/>
        </w:rPr>
        <w:t xml:space="preserve">As the platform matures and enterprise customer expectations grow, both design and programme management need to move from ad-hoc to structured. This is not a criticism of how things have been run — it is a natural next step for a product organisation at this stage of growth.</w:t>
      </w:r>
    </w:p>
    <w:p>
      <w:pPr>
        <w:spacing w:after="120"/>
      </w:pPr>
    </w:p>
    <w:p>
      <w:pPr>
        <w:pStyle w:val="Heading2"/>
        <w:spacing w:after="120" w:before="340"/>
      </w:pPr>
      <w:r>
        <w:rPr>
          <w:rFonts w:ascii="Montserrat" w:cs="Montserrat" w:eastAsia="Montserrat" w:hAnsi="Montserrat"/>
          <w:b/>
          <w:bCs/>
          <w:color w:val="2E2E2E"/>
          <w:sz w:val="36"/>
          <w:szCs w:val="36"/>
        </w:rPr>
        <w:t xml:space="preserve">6.5  Planning Cadence Needs to Scale for 2x Growth</w:t>
      </w:r>
    </w:p>
    <w:p>
      <w:pPr>
        <w:spacing w:after="160" w:line="340" w:lineRule="auto"/>
      </w:pPr>
      <w:r>
        <w:rPr>
          <w:rFonts w:ascii="Open Sans" w:cs="Open Sans" w:eastAsia="Open Sans" w:hAnsi="Open Sans"/>
          <w:color w:val="2E2E2E"/>
          <w:sz w:val="28"/>
          <w:szCs w:val="28"/>
        </w:rPr>
        <w:t xml:space="preserve">Quarterly planning and PI planning exist. The cadence and rigour that have supported the platform so far will need to be significantly more structured to handle 2x growth in one year. Published roadmaps with org-wide visibility, formal quarterly delivery reviews, and clear cutoff dates for planning windows are the next maturity step — not a replacement of what exists, but a formalisation of it.</w:t>
      </w:r>
    </w:p>
    <w:p>
      <w:pPr>
        <w:spacing w:after="80"/>
      </w:pPr>
    </w:p>
    <w:p>
      <w:pPr>
        <w:spacing w:after="160" w:line="340" w:lineRule="auto"/>
      </w:pPr>
      <w:r>
        <w:rPr>
          <w:rFonts w:ascii="Open Sans" w:cs="Open Sans" w:eastAsia="Open Sans" w:hAnsi="Open Sans"/>
          <w:color w:val="2E2E2E"/>
          <w:sz w:val="28"/>
          <w:szCs w:val="28"/>
        </w:rPr>
        <w:t xml:space="preserve">The goal is predictability: customers, sales, and engineering should be working from the same product timeline at any given point. That level of shared clarity is what enterprise accounts — and enterprise growth — require.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Collectively, these five gaps are a contributing reason that strong infrastructure produces a frustrating product. The operating model problems in Part 6 are not a failure — they are the natural limit of a startup operating model applied to an enterprise-scale platform. The Product Blueprint, attached separately, defines the transition across all seven dimensions: requirements intake, story standards, support taxonomy, design process, team structure, planning cadence, and growth levers.</w:t>
            </w:r>
          </w:p>
        </w:tc>
      </w:tr>
    </w:tbl>
    <w:p>
      <w:pPr>
        <w:spacing w:after="200"/>
      </w:pPr>
    </w:p>
    <w:p>
      <w:pPr>
        <w:pBdr>
          <w:bottom w:val="single" w:color="FF3535" w:sz="6" w:space="1"/>
        </w:pBdr>
        <w:spacing w:after="240" w:before="240"/>
      </w:pPr>
    </w:p>
    <w:p>
      <w:pPr>
        <w:pStyle w:val="Heading1"/>
        <w:pBdr>
          <w:left w:val="single" w:color="FF3535" w:sz="24" w:space="10"/>
        </w:pBdr>
        <w:spacing w:after="220" w:before="480"/>
        <w:ind w:left="280"/>
      </w:pPr>
      <w:r>
        <w:rPr>
          <w:rFonts w:ascii="Montserrat" w:cs="Montserrat" w:eastAsia="Montserrat" w:hAnsi="Montserrat"/>
          <w:b/>
          <w:bCs/>
          <w:color w:val="2E2E2E"/>
          <w:sz w:val="44"/>
          <w:szCs w:val="44"/>
        </w:rPr>
        <w:t xml:space="preserve">Summary</w:t>
      </w:r>
    </w:p>
    <w:p>
      <w:pPr>
        <w:spacing w:after="160" w:line="340" w:lineRule="auto"/>
      </w:pPr>
      <w:r>
        <w:rPr>
          <w:rFonts w:ascii="Open Sans" w:cs="Open Sans" w:eastAsia="Open Sans" w:hAnsi="Open Sans"/>
          <w:color w:val="2E2E2E"/>
          <w:sz w:val="28"/>
          <w:szCs w:val="28"/>
        </w:rPr>
        <w:t xml:space="preserve">Onextel’s infrastructure is an asset. Aura’s customer-facing product is a liability — not because it is poorly built, but because it was built for the wrong user.</w:t>
      </w:r>
    </w:p>
    <w:p>
      <w:pPr>
        <w:spacing w:after="80"/>
      </w:pPr>
    </w:p>
    <w:p>
      <w:pPr>
        <w:spacing w:after="160" w:line="340" w:lineRule="auto"/>
      </w:pPr>
      <w:r>
        <w:rPr>
          <w:rFonts w:ascii="Open Sans" w:cs="Open Sans" w:eastAsia="Open Sans" w:hAnsi="Open Sans"/>
          <w:color w:val="2E2E2E"/>
          <w:sz w:val="28"/>
          <w:szCs w:val="28"/>
        </w:rPr>
        <w:t xml:space="preserve">The support and production data make the cost of the current state concrete: over a thousand customers raising weekly tickets because the product cannot show them their own data; enterprise deals blocked by absent governance features; engineering teams running manual database fixes as a weekly ritual; campaigns failing silently with no customer notification.</w:t>
      </w:r>
    </w:p>
    <w:p>
      <w:pPr>
        <w:spacing w:after="80"/>
      </w:pPr>
    </w:p>
    <w:p>
      <w:pPr>
        <w:spacing w:after="160" w:line="340" w:lineRule="auto"/>
      </w:pPr>
      <w:r>
        <w:rPr>
          <w:rFonts w:ascii="Open Sans" w:cs="Open Sans" w:eastAsia="Open Sans" w:hAnsi="Open Sans"/>
          <w:color w:val="2E2E2E"/>
          <w:sz w:val="28"/>
          <w:szCs w:val="28"/>
        </w:rPr>
        <w:t xml:space="preserve">OneXtel addresses this with a clear, sequenced plan. The first three priorities — data trust, reporting self-serve, and enterprise governance — do not require new infrastructure. The infrastructure to deliver accurate counts, flexible reports, and role-based access already exists in Aura’s backend. What is missing is the product surface that exposes it in a way customers can actually use.</w:t>
      </w:r>
    </w:p>
    <w:p>
      <w:pPr>
        <w:spacing w:after="80"/>
      </w:pPr>
    </w:p>
    <w:p>
      <w:pPr>
        <w:spacing w:after="160" w:line="340" w:lineRule="auto"/>
      </w:pPr>
      <w:r>
        <w:rPr>
          <w:rFonts w:ascii="Open Sans" w:cs="Open Sans" w:eastAsia="Open Sans" w:hAnsi="Open Sans"/>
          <w:color w:val="2E2E2E"/>
          <w:sz w:val="28"/>
          <w:szCs w:val="28"/>
        </w:rPr>
        <w:t xml:space="preserve">Two documents define what comes next. This report is the diagnosis — grounded in data, covering both what the product is failing to do for customers and what the product team is failing to do internally. The Product Blueprint is the prescription — seven pillars for transitioning from startup mode to growth stage, covering how requirements are gathered, how the team is structured, how AI is embedded into the workflow, and how OneXtel grows.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F3535" w:sz="28"/>
              <w:bottom w:val="none" w:color="FFFFFF" w:sz="0"/>
              <w:right w:val="none" w:color="FFFFFF" w:sz="0"/>
            </w:tcBorders>
            <w:shd w:fill="FFF5F5" w:val="clear"/>
            <w:tcMar>
              <w:top w:type="dxa" w:w="100"/>
              <w:left w:type="dxa" w:w="280"/>
              <w:bottom w:type="dxa" w:w="100"/>
              <w:right w:type="dxa" w:w="160"/>
            </w:tcMar>
          </w:tcPr>
          <w:p>
            <w:pPr>
              <w:spacing w:after="0" w:line="320" w:lineRule="auto"/>
            </w:pPr>
            <w:r>
              <w:rPr>
                <w:rFonts w:ascii="Open Sans" w:cs="Open Sans" w:eastAsia="Open Sans" w:hAnsi="Open Sans"/>
                <w:i/>
                <w:iCs/>
                <w:color w:val="2E2E2E"/>
                <w:sz w:val="28"/>
                <w:szCs w:val="28"/>
              </w:rPr>
              <w:t xml:space="preserve">The market window is real. Onextel’s DLT compliance, carrier relationships, and government customer base are advantages no global player can replicate quickly. The question is whether OneXtel gets built before Infobip, Sinch, or a well-funded Indian challenger closes the gap on the product layer. The Product Blueprint, attached separately, defines how we build it.</w:t>
            </w:r>
          </w:p>
        </w:tc>
      </w:tr>
    </w:tbl>
    <w:p>
      <w:pPr>
        <w:spacing w:after="200"/>
      </w:pPr>
    </w:p>
    <w:p>
      <w:pPr>
        <w:pBdr>
          <w:bottom w:val="single" w:color="FF3535" w:sz="6" w:space="1"/>
        </w:pBdr>
        <w:spacing w:after="240" w:before="240"/>
      </w:pPr>
    </w:p>
    <w:p>
      <w:pPr>
        <w:spacing w:after="80"/>
      </w:pPr>
    </w:p>
    <w:p>
      <w:pPr>
        <w:spacing w:after="60"/>
      </w:pPr>
      <w:r>
        <w:rPr>
          <w:rFonts w:ascii="Montserrat" w:cs="Montserrat" w:eastAsia="Montserrat" w:hAnsi="Montserrat"/>
          <w:b/>
          <w:bCs/>
          <w:color w:val="2E2E2E"/>
          <w:sz w:val="22"/>
          <w:szCs w:val="22"/>
        </w:rPr>
        <w:t xml:space="preserve">Sources</w:t>
      </w:r>
    </w:p>
    <w:p>
      <w:pPr>
        <w:spacing w:after="60" w:line="280" w:lineRule="auto"/>
      </w:pPr>
      <w:r>
        <w:rPr>
          <w:rFonts w:ascii="Open Sans" w:cs="Open Sans" w:eastAsia="Open Sans" w:hAnsi="Open Sans"/>
          <w:color w:val="9CA3AF"/>
          <w:sz w:val="22"/>
          <w:szCs w:val="22"/>
        </w:rPr>
        <w:t xml:space="preserve">OneXtel Product Teardown Phase 1  ·  Customer Support Ticket Analysis (7,139 tickets)  ·  JIRA PROD (376 tickets, April–May 2026)  ·  JIRA AURA project samples  ·  V2 architecture diagram  ·  CPaaS Competitive Landscape Brief  ·  onexaura.com live product  ·  OneXtel Product Blueprint (May 2026)</w:t>
      </w:r>
    </w:p>
    <w:p>
      <w:pPr>
        <w:spacing w:after="0"/>
      </w:pPr>
      <w:r>
        <w:rPr>
          <w:rFonts w:ascii="Open Sans" w:cs="Open Sans" w:eastAsia="Open Sans" w:hAnsi="Open Sans"/>
          <w:i/>
          <w:iCs/>
          <w:color w:val="9CA3AF"/>
          <w:sz w:val="22"/>
          <w:szCs w:val="22"/>
        </w:rPr>
        <w:t xml:space="preserve">Prepared by Udayan Das Chowdhury, Director of Products, Onextel · May 2026</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0"/>
    </w:pPr>
    <w:r>
      <w:rPr>
        <w:rFonts w:ascii="Montserrat" w:cs="Montserrat" w:eastAsia="Montserrat" w:hAnsi="Montserrat"/>
        <w:color w:val="9CA3AF"/>
        <w:sz w:val="18"/>
        <w:szCs w:val="18"/>
      </w:rPr>
      <w:t xml:space="preserve">Udayan Das Chowdhury, Director of Products, Onextel</w:t>
    </w:r>
    <w:r>
      <w:rPr>
        <w:rFonts w:ascii="Montserrat" w:cs="Montserrat" w:eastAsia="Montserrat" w:hAnsi="Montserrat"/>
        <w:sz w:val="18"/>
        <w:szCs w:val="18"/>
      </w:rPr>
      <w:t xml:space="preserve">	</w:t>
    </w:r>
    <w:r>
      <w:rPr>
        <w:rFonts w:ascii="Montserrat" w:cs="Montserrat" w:eastAsia="Montserrat" w:hAnsi="Montserrat"/>
        <w:color w:val="9CA3AF"/>
        <w:sz w:val="18"/>
        <w:szCs w:val="18"/>
      </w:rPr>
      <w:t xml:space="preserve">Page </w:t>
    </w:r>
    <w:r>
      <w:rPr>
        <w:rFonts w:ascii="Montserrat" w:cs="Montserrat" w:eastAsia="Montserrat" w:hAnsi="Montserrat"/>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3535" w:sz="6" w:space="4"/>
      </w:pBdr>
      <w:tabs>
        <w:tab w:val="right" w:pos="9026"/>
      </w:tabs>
      <w:spacing w:after="0"/>
    </w:pPr>
    <w:r>
      <w:rPr>
        <w:rFonts w:ascii="Montserrat" w:cs="Montserrat" w:eastAsia="Montserrat" w:hAnsi="Montserrat"/>
        <w:color w:val="2E2E2E"/>
        <w:sz w:val="18"/>
        <w:szCs w:val="18"/>
      </w:rPr>
      <w:t xml:space="preserve">OneXtel — Product State &amp; Direction Report</w:t>
    </w:r>
    <w:r>
      <w:rPr>
        <w:rFonts w:ascii="Montserrat" w:cs="Montserrat" w:eastAsia="Montserrat" w:hAnsi="Montserrat"/>
        <w:sz w:val="18"/>
        <w:szCs w:val="18"/>
      </w:rPr>
      <w:t xml:space="preserve">	</w:t>
    </w:r>
    <w:r>
      <w:rPr>
        <w:rFonts w:ascii="Montserrat" w:cs="Montserrat" w:eastAsia="Montserrat" w:hAnsi="Montserrat"/>
        <w:color w:val="9CA3AF"/>
        <w:sz w:val="18"/>
        <w:szCs w:val="18"/>
      </w:rPr>
      <w:t xml:space="preserve">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Open Sans" w:cs="Open Sans" w:eastAsia="Open Sans" w:hAnsi="Open Sans"/>
        <w:color w:val="FF3535"/>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2E2E2E"/>
        <w:sz w:val="28"/>
        <w:szCs w:val="28"/>
      </w:rPr>
    </w:rPrDefault>
    <w:pPrDefault>
      <w:pPr>
        <w:spacing w:after="16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Montserrat" w:cs="Montserrat" w:eastAsia="Montserrat" w:hAnsi="Montserrat"/>
      <w:b/>
      <w:bCs/>
      <w:color w:val="2E2E2E"/>
      <w:sz w:val="44"/>
      <w:szCs w:val="44"/>
    </w:rPr>
  </w:style>
  <w:style w:type="paragraph" w:styleId="Heading2">
    <w:name w:val="Heading 2"/>
    <w:basedOn w:val="Normal"/>
    <w:next w:val="Normal"/>
    <w:qFormat/>
    <w:pPr>
      <w:spacing w:after="120" w:before="340"/>
      <w:outlineLvl w:val="1"/>
    </w:pPr>
    <w:rPr>
      <w:rFonts w:ascii="Montserrat" w:cs="Montserrat" w:eastAsia="Montserrat" w:hAnsi="Montserrat"/>
      <w:b/>
      <w:bCs/>
      <w:color w:val="2E2E2E"/>
      <w:sz w:val="36"/>
      <w:szCs w:val="36"/>
    </w:rPr>
  </w:style>
  <w:style w:type="paragraph" w:styleId="Heading3">
    <w:name w:val="Heading 3"/>
    <w:basedOn w:val="Normal"/>
    <w:next w:val="Normal"/>
    <w:qFormat/>
    <w:pPr>
      <w:spacing w:after="80" w:before="240"/>
      <w:outlineLvl w:val="2"/>
    </w:pPr>
    <w:rPr>
      <w:rFonts w:ascii="Montserrat" w:cs="Montserrat" w:eastAsia="Montserrat" w:hAnsi="Montserrat"/>
      <w:b/>
      <w:bCs/>
      <w:color w:val="2E2E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2026-05-20T05:40:21.369Z</dcterms:created>
  <dcterms:modified xsi:type="dcterms:W3CDTF">2026-05-20T05:40:21.370Z</dcterms:modified>
</cp:coreProperties>
</file>

<file path=docProps/custom.xml><?xml version="1.0" encoding="utf-8"?>
<Properties xmlns="http://schemas.openxmlformats.org/officeDocument/2006/custom-properties" xmlns:vt="http://schemas.openxmlformats.org/officeDocument/2006/docPropsVTypes"/>
</file>