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3)</w:t>
      </w:r>
    </w:p>
    <w:p w:rsidR="00000000" w:rsidDel="00000000" w:rsidP="00000000" w:rsidRDefault="00000000" w:rsidRPr="00000000" w14:paraId="00000002">
      <w:pPr>
        <w:rPr/>
      </w:pPr>
      <w:r w:rsidDel="00000000" w:rsidR="00000000" w:rsidRPr="00000000">
        <w:rPr>
          <w:rtl w:val="0"/>
        </w:rPr>
        <w:t xml:space="preserve">A cinematic close-up shot of a [PRODUCT] resting on the seat of a vintage scooter, parked on a European cobblestone street. The scooter is in motion, gently vibrating and swaying as it rides, with the product staying balanced on the seat. Soft natural daylight, shallow depth of field with a blurred elegant storefront and dark wooden doors in the background. Camera holds a static low-angle shot, slightly handheld for realism. Warm, editorial commercial tone, 4K, smooth motion, subtle camera shake mimicking movement over cobblestones. No text, no logos, seamless loop.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