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Statistical analysis plan (SAP)</w:t>
      </w:r>
    </w:p>
    <w:p>
      <w:pPr>
        <w:pStyle w:val="Subtitle"/>
      </w:pPr>
      <w:r>
        <w:t>Write the analysis down before you see the data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Sessions 5–6 (6.4) · Template version 1.0</w:t>
      </w: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1"/>
              </w:rPr>
              <w:t>How to use this template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Replace every [grey italic text in brackets] with your own text. Use Ctrl + H → Find “[” to step through them, and check none remain before you share the document.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Grey italic guidance and shaded “Example” boxes are there to help you. Delete them as you write: Home → Styles → right-click “Guidance” (or “Example”) → Select All → Delete.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Finish and sign the SAP before the database is locked (and, in a trial, before unblinding). Analyses that were not planned can still be done, but must be reported as exploratory.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 xml:space="preserve">The examples use the running example as a two-arm trial: </w:t>
            </w:r>
            <w:r>
              <w:rPr>
                <w:i/>
                <w:sz w:val="19"/>
              </w:rPr>
              <w:t>In adults with septic shock in the ICU, does a restrictive fluid strategy, compared with usual care, reduce 28-day mortality?</w:t>
            </w:r>
            <w:r>
              <w:rPr>
                <w:sz w:val="19"/>
              </w:rPr>
              <w:t xml:space="preserve"> Notes marked “Observational study” show what changes for a cohort.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Write it with your statistician. In this course you need to understand each choice; the instructor runs the analyses.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b/>
                <w:color w:val="04242F"/>
                <w:sz w:val="19"/>
              </w:rPr>
              <w:t xml:space="preserve">Worked example: </w:t>
            </w:r>
            <w:r>
              <w:rPr>
                <w:sz w:val="19"/>
              </w:rPr>
              <w:t>a complete SAP for the course dataset (FLUID-ICU, positive fluid balance by day 3 and 28-day mortality) is in Course/Data/SAP_FLUID-ICU.md. Compare your plan with it.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144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Study title: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[Full title]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Protocol version: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[Version and date]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SAP version / date: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[1.0]</w:t>
            </w:r>
            <w:r>
              <w:rPr>
                <w:sz w:val="20"/>
              </w:rPr>
              <w:t xml:space="preserve">  ·  </w:t>
            </w:r>
            <w:r>
              <w:rPr>
                <w:i/>
                <w:color w:val="6B7B84"/>
                <w:sz w:val="20"/>
              </w:rPr>
              <w:t>[DD/MM/YYYY]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Written by: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[Name(s) and role(s)]</w:t>
            </w:r>
          </w:p>
        </w:tc>
      </w:tr>
    </w:tbl>
    <w:p>
      <w:pPr>
        <w:pStyle w:val="Heading1"/>
      </w:pPr>
      <w:r>
        <w:t>1  Study summary and objectives</w:t>
      </w:r>
    </w:p>
    <w:p>
      <w:pPr>
        <w:pStyle w:val="Guidance"/>
      </w:pPr>
      <w:r>
        <w:rPr>
          <w:i/>
        </w:rPr>
        <w:t>Copy from the protocol: design, population, intervention/exposure and comparator, and the primary and secondary objectives. Every analysis below must link to one objective.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Pilot randomised trial, 1:1, adults with septic shock. Primary objective: compare 28-day all-cause mortality between a restrictive fluid strategy and usual care. Secondary: cumulative fluid balance at day 5; renal replacement therapy; time to death up to day 28.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90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[Summary and objectives]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2  Outcomes and their definitions</w:t>
      </w:r>
    </w:p>
    <w:p>
      <w:pPr>
        <w:pStyle w:val="Guidance"/>
      </w:pPr>
      <w:r>
        <w:rPr>
          <w:i/>
        </w:rPr>
        <w:t>Define each outcome exactly as it will be computed from the database: variable name, type, unit and time point. One primary outcome.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494"/>
        <w:gridCol w:w="1587"/>
        <w:gridCol w:w="3628"/>
        <w:gridCol w:w="1701"/>
      </w:tblGrid>
      <w:tr>
        <w:trPr>
          <w:cantSplit w:val="true"/>
          <w:tblHeader w:val="true"/>
        </w:trPr>
        <w:tc>
          <w:tcPr>
            <w:tcW w:type="dxa" w:w="24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158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Definition (variables)</w:t>
            </w:r>
          </w:p>
        </w:tc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 point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Primary: all-cause mortality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Binary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vital_d28 = 1 (dead)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Day 28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Cumulative fluid balance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Continuous (ml/kg)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cfb_kg_d5 = Σ(fin − fout) days 1–5 ÷ weight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Day 5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Time to death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Time-to-event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death_dt − enrol_dt; censored at day 28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Up to day 28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[Outcome]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[Type]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[Definition]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[Time point]</w:t>
            </w:r>
          </w:p>
        </w:tc>
      </w:tr>
      <w:tr>
        <w:trPr>
          <w:cantSplit w:val="true"/>
        </w:trPr>
        <w:tc>
          <w:tcPr>
            <w:tcW w:type="dxa" w:w="24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[Outcome]</w:t>
            </w:r>
          </w:p>
        </w:tc>
        <w:tc>
          <w:tcPr>
            <w:tcW w:type="dxa" w:w="15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[Type]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[Definition]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[Time point]</w:t>
            </w:r>
          </w:p>
        </w:tc>
      </w:tr>
    </w:tbl>
    <w:p>
      <w:pPr>
        <w:pStyle w:val="Heading1"/>
      </w:pPr>
      <w:r>
        <w:t>3  Analysis populations</w:t>
      </w:r>
    </w:p>
    <w:p>
      <w:pPr>
        <w:pStyle w:val="Guidance"/>
      </w:pPr>
      <w:r>
        <w:rPr>
          <w:i/>
        </w:rPr>
        <w:t>Who is included in each analysis. Trials: the intention-to-treat (ITT) population is everyone randomised, analysed in the group they were allocated to. Observational studies: everyone meeting the eligibility criteria, with reasons for any exclusion in the flow diagram.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268"/>
        <w:gridCol w:w="4536"/>
        <w:gridCol w:w="2608"/>
      </w:tblGrid>
      <w:tr>
        <w:trPr>
          <w:cantSplit w:val="true"/>
          <w:tblHeader w:val="true"/>
        </w:trPr>
        <w:tc>
          <w:tcPr>
            <w:tcW w:type="dxa" w:w="226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Population</w:t>
            </w:r>
          </w:p>
        </w:tc>
        <w:tc>
          <w:tcPr>
            <w:tcW w:type="dxa" w:w="45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Definition</w:t>
            </w:r>
          </w:p>
        </w:tc>
        <w:tc>
          <w:tcPr>
            <w:tcW w:type="dxa" w:w="26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Intention-to-treat (ITT)</w:t>
            </w:r>
          </w:p>
        </w:tc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[All randomised participants, as allocated]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[Primary analysis]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Per-protocol</w:t>
            </w:r>
          </w:p>
        </w:tc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[Participants who received the allocated strategy as defined in the protocol]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9"/>
              </w:rPr>
              <w:t>[Sensitivity analysis]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Safety</w:t>
            </w:r>
          </w:p>
        </w:tc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[All participants who received any study intervention, as treated]</w:t>
            </w: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[Adverse events]</w:t>
            </w:r>
          </w:p>
        </w:tc>
      </w:tr>
    </w:tbl>
    <w:p>
      <w:pPr>
        <w:pStyle w:val="Heading1"/>
      </w:pPr>
      <w:r>
        <w:t>4  Descriptive analysis (Table 1)</w:t>
      </w:r>
    </w:p>
    <w:p>
      <w:pPr>
        <w:pStyle w:val="Guidance"/>
      </w:pPr>
      <w:r>
        <w:rPr>
          <w:i/>
        </w:rPr>
        <w:t>Describe baseline characteristics by group (see the Table 1 shell in section 13). Continuous variables: mean (SD) if roughly symmetric, otherwise median (IQR). Categorical: n (%). In a trial, do NOT test baseline differences with p-values — any difference is due to chance. Report the number with missing data for each variable.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Age, sex, weight, source of infection, comorbidities, SOFA score and lactate summarised per arm; lactate is skewed, so median (IQR).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680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descriptive plan]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5  Primary analysis</w:t>
      </w:r>
    </w:p>
    <w:p>
      <w:pPr>
        <w:pStyle w:val="Guidance"/>
      </w:pPr>
      <w:r>
        <w:rPr>
          <w:i/>
        </w:rPr>
        <w:t>One analysis, fully specified: the test or model, the effect measure with its 95% confidence interval, any adjustment, and the significance level. The p-value supports the effect estimate; it does not replace it.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041"/>
        <w:gridCol w:w="7371"/>
      </w:tblGrid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Outcome: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[Primary outcome and population]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Method: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[Test or model]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Effect measure: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risk ratio, risk difference, odds ratio, hazard ratio, mean difference]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Adjustment: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[Variables, and why]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Significance: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[Two-sided, 5% level]</w:t>
            </w:r>
          </w:p>
        </w:tc>
      </w:tr>
    </w:tbl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28-day mortality in the ITT population compared with a chi-square test. Effect reported as risk ratio and risk difference with 95% CI. Supportive analysis: logistic regression adjusted for the stratification variable (baseline lactate &gt; 4 mmol/L), reported as odds ratio (95% CI).</w:t>
      </w:r>
    </w:p>
    <w:p>
      <w:pPr>
        <w:pStyle w:val="Heading1"/>
      </w:pPr>
      <w:r>
        <w:t>6  Secondary analyses</w:t>
      </w:r>
    </w:p>
    <w:p>
      <w:pPr>
        <w:pStyle w:val="Guidance"/>
      </w:pPr>
      <w:r>
        <w:rPr>
          <w:i/>
        </w:rPr>
        <w:t>For each secondary outcome: summary, test or model and effect measure. Say clearly that secondary results are supportive or exploratory.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Fluid balance: median (IQR) per arm, Mann–Whitney U test, difference in medians with 95% CI. Time to death: Kaplan–Meier curves, log-rank test, Cox model hazard ratio (95% CI), proportional hazards checked. Renal replacement therapy: risk ratio (95% CI).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793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secondary analyses]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7  Confounders and adjustment</w:t>
      </w:r>
    </w:p>
    <w:p>
      <w:pPr>
        <w:pStyle w:val="Guidance"/>
      </w:pPr>
      <w:r>
        <w:rPr>
          <w:i/>
        </w:rPr>
        <w:t>Trials: adjust only for stratification variables and a few pre-specified strong prognostic factors. Observational study: list the confounders chosen IN ADVANCE from subject knowledge (a simple causal diagram helps), not by stepwise selection. Keep about 10 outcome events per variable in the model.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Observational version of the running example: sicker patients receive more fluid AND die more (confounding by indication), so the model adjusts for age, SOFA score, lactate and source of infection — with about 68 expected deaths, at most 6–7 variables.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680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adjustment plan]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8  Subgroups and interaction (pre-specified)</w:t>
      </w:r>
    </w:p>
    <w:p>
      <w:pPr>
        <w:pStyle w:val="Guidance"/>
      </w:pPr>
      <w:r>
        <w:rPr>
          <w:i/>
        </w:rPr>
        <w:t>List only a few subgroups, with the expected direction and a reason. Test whether the effect differs with an interaction test — not by comparing p-values in each subgroup. Present a forest plot and call the results exploratory.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Baseline lactate (≤ 4 vs &gt; 4 mmol/L) and SOFA score (≤ 10 vs &gt; 10): treatment × subgroup interaction term in the logistic model.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56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subgroups]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9  Multiple comparisons</w:t>
      </w:r>
    </w:p>
    <w:p>
      <w:pPr>
        <w:pStyle w:val="Guidance"/>
      </w:pPr>
      <w:r>
        <w:rPr>
          <w:i/>
        </w:rPr>
        <w:t>Many tests mean some “significant” results by chance (the jelly-bean problem). Protect yourself with ONE primary outcome. Say how secondary outcomes are handled: interpreted as exploratory without adjustment, or adjusted (e.g. Holm or Bonferroni).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One primary outcome, tested at 5%. Secondary outcomes reported with 95% CIs and interpreted as exploratory; no adjustment for multiplicity.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510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approach]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10  Missing data</w:t>
      </w:r>
    </w:p>
    <w:p>
      <w:pPr>
        <w:pStyle w:val="Guidance"/>
      </w:pPr>
      <w:r>
        <w:rPr>
          <w:i/>
        </w:rPr>
        <w:t>Plan four things. (1) How missingness will be assessed and reported: n (%) missing per variable and by group. (2) The likely mechanism: missing completely at random (MCAR), at random given observed data (MAR), or not at random (MNAR). (3) The main approach: complete-case analysis, or multiple imputation if more than about 5% is missing and MAR is plausible. (4) A sensitivity analysis that tests the assumption.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041"/>
        <w:gridCol w:w="7371"/>
      </w:tblGrid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Assessment: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[How missingness is described and explored]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Main approach: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[Complete-case / multiple imputation (variables in the model, number of imputations)]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Sensitivity: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best-case / worst-case, or a different imputation model]</w:t>
            </w:r>
          </w:p>
        </w:tc>
      </w:tr>
    </w:tbl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Vital status at day 28 is expected to be missing for &lt; 2% (phone follow-up). Main analysis: complete case. Sensitivity: missing patients assumed dead (worst case) and alive (best case). Baseline lactate, if &gt; 5% missing, multiply imputed (20 imputations) from age, SOFA and arm.</w:t>
      </w:r>
    </w:p>
    <w:p>
      <w:pPr>
        <w:pStyle w:val="Heading1"/>
      </w:pPr>
      <w:r>
        <w:t>11  Sample size</w:t>
      </w:r>
    </w:p>
    <w:p>
      <w:pPr>
        <w:pStyle w:val="Guidance"/>
      </w:pPr>
      <w:r>
        <w:rPr>
          <w:i/>
        </w:rPr>
        <w:t>Copy the calculation from the protocol and state every assumption with its source: expected value in the comparison group, smallest important difference, power, significance level, allowance for loss.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40% vs 30% mortality, 80% power, two-sided 5%: 356 per group, about 790 in total with 10% loss. The pilot (60 patients) is not powered for mortality; it estimates recruitment and adherence.</w:t>
      </w:r>
    </w:p>
    <w:tbl>
      <w:tblPr>
        <w:tblW w:type="auto" w:w="0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567" w:hRule="atLeast"/>
        </w:trPr>
        <w:tc>
          <w:tcPr>
            <w:tcW w:type="dxa" w:w="9411"/>
            <w:tcBorders>
              <w:top w:val="single" w:sz="6" w:color="B9C6CC"/>
              <w:left w:val="single" w:sz="6" w:color="B9C6CC"/>
              <w:bottom w:val="single" w:sz="6" w:color="B9C6CC"/>
              <w:right w:val="single" w:sz="6" w:color="B9C6CC"/>
            </w:tcBorders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[Our sample size]</w:t>
            </w:r>
          </w:p>
        </w:tc>
      </w:tr>
    </w:tbl>
    <w:p>
      <w:pPr>
        <w:spacing w:after="0" w:line="80" w:lineRule="exact"/>
      </w:pPr>
    </w:p>
    <w:p>
      <w:pPr>
        <w:pStyle w:val="Heading1"/>
      </w:pPr>
      <w:r>
        <w:t>12  Software</w:t>
      </w:r>
    </w:p>
    <w:p>
      <w:pPr>
        <w:pStyle w:val="Guidance"/>
      </w:pPr>
      <w:r>
        <w:rPr>
          <w:i/>
        </w:rPr>
        <w:t>Name the software and version, and where the analysis code will be kept.</w:t>
      </w:r>
    </w:p>
    <w:p>
      <w:r>
        <w:rPr>
          <w:i/>
          <w:color w:val="6B7B84"/>
        </w:rPr>
        <w:t>[e.g. R version 4.x (packages ...) / Stata / SPSS; code stored in [location] with version control]</w:t>
      </w:r>
    </w:p>
    <w:p>
      <w:pPr>
        <w:pStyle w:val="Heading1"/>
      </w:pPr>
      <w:r>
        <w:t>13  Table and figure shells</w:t>
      </w:r>
    </w:p>
    <w:p>
      <w:pPr>
        <w:pStyle w:val="Guidance"/>
      </w:pPr>
      <w:r>
        <w:rPr>
          <w:i/>
        </w:rPr>
        <w:t>Draw the empty tables and figures now. They show exactly what will be calculated, and they become the tables of the paper. Use n (%) and median (IQR) with units, n per column and footnotes.</w:t>
      </w:r>
    </w:p>
    <w:p>
      <w:pPr>
        <w:pStyle w:val="Heading3"/>
      </w:pPr>
      <w:r>
        <w:t>Table 1. Baseline characteristics by group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309"/>
        <w:gridCol w:w="2551"/>
        <w:gridCol w:w="2551"/>
      </w:tblGrid>
      <w:tr>
        <w:trPr>
          <w:cantSplit w:val="true"/>
          <w:tblHeader w:val="true"/>
        </w:trPr>
        <w:tc>
          <w:tcPr>
            <w:tcW w:type="dxa" w:w="43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Characteristic</w:t>
            </w:r>
          </w:p>
        </w:tc>
        <w:tc>
          <w:tcPr>
            <w:tcW w:type="dxa" w:w="255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Restrictive (n = __)</w:t>
            </w:r>
          </w:p>
        </w:tc>
        <w:tc>
          <w:tcPr>
            <w:tcW w:type="dxa" w:w="255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Usual care (n = __)</w:t>
            </w: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Age, years, mean (SD)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Female sex, n (%)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SOFA score, median (IQR)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Lactate, mmol/L, median (IQR)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Source of infection: lung, n (%)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[Characteristic, unit, summary]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</w:p>
        </w:tc>
      </w:tr>
    </w:tbl>
    <w:p>
      <w:pPr>
        <w:pStyle w:val="NeudataSmall"/>
      </w:pPr>
      <w:r>
        <w:t>Footnote: SD, standard deviation; IQR, interquartile range. Missing data: [n] for lactate.</w:t>
      </w:r>
    </w:p>
    <w:p>
      <w:pPr>
        <w:spacing w:after="0" w:line="80" w:lineRule="exact"/>
      </w:pPr>
    </w:p>
    <w:p>
      <w:pPr>
        <w:pStyle w:val="Heading3"/>
      </w:pPr>
      <w:r>
        <w:t>Table 2. Primary and secondary outcomes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3628"/>
        <w:gridCol w:w="1360"/>
        <w:gridCol w:w="1360"/>
        <w:gridCol w:w="2154"/>
        <w:gridCol w:w="907"/>
      </w:tblGrid>
      <w:tr>
        <w:trPr>
          <w:cantSplit w:val="true"/>
          <w:tblHeader w:val="true"/>
        </w:trPr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Outcome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Restrictive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Usual care</w:t>
            </w:r>
          </w:p>
        </w:tc>
        <w:tc>
          <w:tcPr>
            <w:tcW w:type="dxa" w:w="21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Effect (95% CI)</w:t>
            </w:r>
          </w:p>
        </w:tc>
        <w:tc>
          <w:tcPr>
            <w:tcW w:type="dxa" w:w="9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</w:t>
            </w:r>
          </w:p>
        </w:tc>
      </w:tr>
      <w:tr>
        <w:trPr>
          <w:cantSplit w:val="true"/>
        </w:trPr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28-day mortality, n (%)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8"/>
              </w:rPr>
              <w:t>RR __ (__ to __)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Cumulative fluid balance day 5, ml/kg, median (IQR)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center"/>
            </w:pP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center"/>
            </w:pPr>
            <w:r>
              <w:rPr>
                <w:sz w:val="18"/>
              </w:rPr>
              <w:t>Difference __ (__ to __)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  <w:jc w:val="center"/>
            </w:pPr>
          </w:p>
        </w:tc>
      </w:tr>
      <w:tr>
        <w:trPr>
          <w:cantSplit w:val="true"/>
        </w:trPr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Renal replacement therapy, n (%)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sz w:val="18"/>
              </w:rPr>
              <w:t>RR __ (__ to __)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</w:p>
        </w:tc>
      </w:tr>
    </w:tbl>
    <w:p>
      <w:pPr>
        <w:spacing w:after="0" w:line="80" w:lineRule="exact"/>
      </w:pPr>
    </w:p>
    <w:p>
      <w:pPr>
        <w:pStyle w:val="Heading3"/>
      </w:pPr>
      <w:r>
        <w:t>Figures</w:t>
      </w:r>
    </w:p>
    <w:p>
      <w:pPr>
        <w:pStyle w:val="ListBullet"/>
      </w:pPr>
      <w:r>
        <w:rPr>
          <w:sz w:val="20"/>
        </w:rPr>
        <w:t>Figure 1 — Participant flow diagram (CONSORT for trials, STROBE for observational studies).</w:t>
      </w:r>
    </w:p>
    <w:p>
      <w:pPr>
        <w:pStyle w:val="ListBullet"/>
      </w:pPr>
      <w:r>
        <w:rPr>
          <w:sz w:val="20"/>
        </w:rPr>
        <w:t>Figure 2 — Kaplan–Meier curves of survival to day 28 by group, with numbers at risk.</w:t>
      </w:r>
    </w:p>
    <w:p>
      <w:pPr>
        <w:pStyle w:val="ListBullet"/>
      </w:pPr>
      <w:r>
        <w:rPr>
          <w:sz w:val="20"/>
        </w:rPr>
        <w:t>Figure 3 — Forest plot of pre-specified subgroups (if any).</w:t>
      </w:r>
    </w:p>
    <w:p>
      <w:pPr>
        <w:pStyle w:val="Heading1"/>
      </w:pPr>
      <w:r>
        <w:t>14  Version history and sign-off before data lock</w:t>
      </w:r>
    </w:p>
    <w:p>
      <w:pPr>
        <w:pStyle w:val="Guidance"/>
      </w:pPr>
      <w:r>
        <w:rPr>
          <w:i/>
        </w:rPr>
        <w:t>Sign before the database is locked (and before unblinding in a trial). Any later change gets a new version number, the date and the reason — and is reported in the paper.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247"/>
        <w:gridCol w:w="1701"/>
        <w:gridCol w:w="6463"/>
      </w:tblGrid>
      <w:tr>
        <w:trPr>
          <w:cantSplit w:val="true"/>
          <w:tblHeader w:val="true"/>
        </w:trPr>
        <w:tc>
          <w:tcPr>
            <w:tcW w:type="dxa" w:w="12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7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646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Changes and reason</w:t>
            </w:r>
          </w:p>
        </w:tc>
      </w:tr>
      <w:tr>
        <w:trPr>
          <w:cantSplit w:val="true"/>
        </w:trPr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[1.0]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[DD/MM/YYYY]</w:t>
            </w:r>
          </w:p>
        </w:tc>
        <w:tc>
          <w:tcPr>
            <w:tcW w:type="dxa" w:w="64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First version</w:t>
            </w:r>
          </w:p>
        </w:tc>
      </w:tr>
      <w:tr>
        <w:trPr>
          <w:cantSplit w:val="true"/>
        </w:trPr>
        <w:tc>
          <w:tcPr>
            <w:tcW w:type="dxa" w:w="1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[1.1]</w:t>
            </w:r>
          </w:p>
        </w:tc>
        <w:tc>
          <w:tcPr>
            <w:tcW w:type="dxa" w:w="17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[DD/MM/YYYY]</w:t>
            </w:r>
          </w:p>
        </w:tc>
        <w:tc>
          <w:tcPr>
            <w:tcW w:type="dxa" w:w="64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[Change and reason]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2381"/>
        <w:gridCol w:w="2381"/>
        <w:gridCol w:w="2041"/>
      </w:tblGrid>
      <w:tr>
        <w:trPr>
          <w:cantSplit w:val="true"/>
          <w:tblHeader w:val="true"/>
        </w:trPr>
        <w:tc>
          <w:tcPr>
            <w:tcW w:type="dxa" w:w="26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38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38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04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Date (DD/MM/YYYY)</w:t>
            </w:r>
          </w:p>
        </w:tc>
      </w:tr>
      <w:tr>
        <w:trPr>
          <w:cantSplit w:val="true"/>
          <w:trHeight w:val="510" w:hRule="atLeast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Statistician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  <w:trHeight w:val="510" w:hRule="atLeast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Principal investigator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  <w:trHeight w:val="510" w:hRule="atLeast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9"/>
              </w:rPr>
              <w:t>Other (e.g. trial steering committee)</w:t>
            </w: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3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</w:tbl>
    <w:p>
      <w:pPr>
        <w:pStyle w:val="NeudataSmall"/>
        <w:spacing w:before="80"/>
      </w:pPr>
      <w:r>
        <w:t xml:space="preserve">Database lock date: </w:t>
      </w:r>
      <w:r>
        <w:rPr>
          <w:i/>
          <w:color w:val="6B7B84"/>
        </w:rPr>
        <w:t>[DD/MM/YYYY]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Statistical analysis plan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analysis plan template</dc:title>
  <dc:subject>SAP written before data lock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