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36"/>
          <w:szCs w:val="36"/>
          <w:color w:val="0D7377"/>
        </w:rPr>
        <w:t xml:space="preserve">Results pack Q3: Cumulative fluid balance and ventilator-free days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true"/>
          <w:b w:val="false"/>
          <w:u w:val="none"/>
          <w:strike w:val="false"/>
          <w:sz w:val="18"/>
          <w:szCs w:val="18"/>
          <w:color w:val="8A99A3"/>
        </w:rPr>
        <w:t xml:space="preserve">FLUID-ICU is a SIMULATED dataset made for teaching. No real patients. Neudata | Foundations of Clinical Research, Level 1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1"/>
          <w:szCs w:val="21"/>
          <w:color w:val="000000"/>
        </w:rPr>
        <w:t xml:space="preserve"/>
      </w:r>
      <w:r>
        <w:rPr>
          <w:rFonts w:ascii="Arial" w:hAnsi="Arial" w:eastAsia="Arial" w:cs="Arial"/>
          <w:i w:val="false"/>
          <w:b w:val="true"/>
          <w:u w:val="none"/>
          <w:strike w:val="false"/>
          <w:sz w:val="21"/>
          <w:szCs w:val="21"/>
          <w:color w:val="000000"/>
        </w:rPr>
        <w:t xml:space="preserve">SIMULATED DATA: NOT REAL PATIENTS.</w:t>
      </w:r>
      <w:r>
        <w:rPr>
          <w:rFonts w:ascii="Arial" w:hAnsi="Arial" w:eastAsia="Arial" w:cs="Arial"/>
          <w:i w:val="false"/>
          <w:b w:val="false"/>
          <w:u w:val="none"/>
          <w:strike w:val="false"/>
          <w:sz w:val="21"/>
          <w:szCs w:val="21"/>
          <w:color w:val="000000"/>
        </w:rPr>
        <w:t xml:space="preserve"> FLUID-ICU was generated by computer for this course. Write your manuscript as a training exercise and state clearly that the data are simulated.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80" w:before="20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8"/>
          <w:szCs w:val="28"/>
          <w:color w:val="0B376C"/>
        </w:rPr>
        <w:t xml:space="preserve">1. The question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1"/>
          <w:szCs w:val="21"/>
          <w:color w:val="000000"/>
        </w:rPr>
        <w:t xml:space="preserve"/>
      </w:r>
      <w:r>
        <w:rPr>
          <w:rFonts w:ascii="Arial" w:hAnsi="Arial" w:eastAsia="Arial" w:cs="Arial"/>
          <w:i w:val="false"/>
          <w:b w:val="true"/>
          <w:u w:val="none"/>
          <w:strike w:val="false"/>
          <w:sz w:val="21"/>
          <w:szCs w:val="21"/>
          <w:color w:val="000000"/>
        </w:rPr>
        <w:t xml:space="preserve">In adults with sepsis in the ICU, is a higher cumulative fluid balance by day 3 associated with fewer ventilator-free days to day 28?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80" w:before="20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8"/>
          <w:szCs w:val="28"/>
          <w:color w:val="0B376C"/>
        </w:rPr>
        <w:t xml:space="preserve">2. Design and data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1"/>
          <w:szCs w:val="21"/>
          <w:color w:val="000000"/>
        </w:rPr>
        <w:t xml:space="preserve">•  Design: multicentre prospective cohort study (observational).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1"/>
          <w:szCs w:val="21"/>
          <w:color w:val="000000"/>
        </w:rPr>
        <w:t xml:space="preserve">•  Setting: 4 ICUs (ICU A-D), consecutive adults with sepsis, enrolment January 2023 to December 2024.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1"/>
          <w:szCs w:val="21"/>
          <w:color w:val="000000"/>
        </w:rPr>
        <w:t xml:space="preserve">•  Exposure: cumulative fluid balance at day 3 per 10 ml/kg (continuous); secondary: positive vs negative.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1"/>
          <w:szCs w:val="21"/>
          <w:color w:val="000000"/>
        </w:rPr>
        <w:t xml:space="preserve">•  Outcome: ventilator-free days (VFD) to day 28: days alive and free of mechanical ventilation; patients who died = 0; never ventilated and alive = 28 (vent_free_days_28).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1"/>
          <w:szCs w:val="21"/>
          <w:color w:val="000000"/>
        </w:rPr>
        <w:t xml:space="preserve">•  Analysis sample: 618 patients; adjusted models 527 complete cases; 313 were ventilated on admission.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1"/>
          <w:szCs w:val="21"/>
          <w:color w:val="000000"/>
        </w:rPr>
        <w:t xml:space="preserve">•  Pre-specified confounders (SAP): age, SOFA score, lactate, vasopressor, mechanical ventilation, chronic kidney disease.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1"/>
          <w:szCs w:val="21"/>
          <w:color w:val="000000"/>
        </w:rPr>
        <w:t xml:space="preserve">•  Software: R 4.6 (packages gtsummary, survival, mice). Scripts: Course/Data/R/.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1"/>
          <w:szCs w:val="21"/>
          <w:color w:val="000000"/>
        </w:rPr>
        <w:t xml:space="preserve">Participant flow: 620 patients enrolled -&gt; 2 without a day-3 fluid balance (weight or output missing after cleaning) -&gt; 618 in the exposure analysis -&gt; 91 without lactate (or age) -&gt; 527 in the complete-case adjusted model.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80" w:before="20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8"/>
          <w:szCs w:val="28"/>
          <w:color w:val="0B376C"/>
        </w:rPr>
        <w:t xml:space="preserve">3. Table 1: who was studied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16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0"/>
          <w:szCs w:val="20"/>
          <w:color w:val="000000"/>
        </w:rPr>
        <w:t xml:space="preserve">Table 1. Baseline characteristics by fluid-balance group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382"/>
        <w:gridCol w:w="1658"/>
        <w:gridCol w:w="2330"/>
        <w:gridCol w:w="2257"/>
      </w:tblGrid>
      <w:tr>
        <w:trPr>
          <w:trHeight w:val="902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Overall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= 618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Negative balance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= 245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Positive balance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= 373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Age, years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62.6 (15.2)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64.6 (15.0)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61.4 (15.2)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243 (39%)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102 (42%)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141 (38%)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375 (61%)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143 (58%)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232 (62%)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Weight, kg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64.7 (11.9)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65.1 (12.4)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64.4 (11.6)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Diabetes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158 (26%)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70 (29%)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88 (24%)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Chronic kidney 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64 (10%)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 (11%)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 (9.7%)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Heart failure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97 (16%)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54 (22%)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43 (12%)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Hypertension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282 (46%)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124 (51%)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158 (42%)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Source of infection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Respiratory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267 (43%)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101 (41%)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166 (45%)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Urinary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126 (20%)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54 (22%)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72 (19%)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Abdominal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106 (17%)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46 (19%)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60 (16%)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Skin/soft tissue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57 (9.2%)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 (7.3%)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39 (10%)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Other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62 (10%)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 (11%)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 (9.7%)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SOFA 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 (5, 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 (4, 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 (6, 10)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APACHE II 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 (15, 24)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 (12, 21)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 (17, 25)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Lactate, mmol/L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2.6 (1.7, 3.7)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2.2 (1.4, 3.0)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2.9 (1.9, 4.0)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Mean arterial pressure, mmHg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73 (66, 80)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76 (70, 84)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71 (65, 78)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Vasopressor on admission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266 (43%)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61 (25%)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205 (55%)</w:t>
            </w:r>
          </w:p>
        </w:tc>
      </w:tr>
      <w:tr>
        <w:trPr>
          <w:trHeight w:val="623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Mechanical ventilation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313 (51%)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97 (40%)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216 (58%)</w:t>
            </w:r>
          </w:p>
        </w:tc>
      </w:tr>
      <w:tr>
        <w:trPr>
          <w:trHeight w:val="360" w:hRule="auto"/>
        </w:trPr>
        <w:tc>
          <w:tcPr>
            <w:gridSpan w:val="4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Mean (SD); n (%); Median (Q1, Q3)</w:t>
            </w:r>
          </w:p>
        </w:tc>
      </w:tr>
    </w:tbl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true"/>
          <w:b w:val="false"/>
          <w:u w:val="none"/>
          <w:strike w:val="false"/>
          <w:sz w:val="17"/>
          <w:szCs w:val="17"/>
          <w:color w:val="000000"/>
        </w:rPr>
        <w:t xml:space="preserve">Mean (SD); n (%); median (Q1, Q3). Missing = number of patients without that value.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80" w:before="20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8"/>
          <w:szCs w:val="28"/>
          <w:color w:val="0B376C"/>
        </w:rPr>
        <w:t xml:space="preserve">4. Main results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1"/>
          <w:szCs w:val="21"/>
          <w:color w:val="000000"/>
        </w:rPr>
        <w:t xml:space="preserve">•  VFD median (IQR): positive balance 20 (0 to 28) vs negative 28 (22 to 28) days; Mann-Whitney p &lt;0.001.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1"/>
          <w:szCs w:val="21"/>
          <w:color w:val="000000"/>
        </w:rPr>
        <w:t xml:space="preserve">•  Linear regression, crude: -1.48 (95% CI -1.84 to -1.13) days per 10 ml/kg.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1"/>
          <w:szCs w:val="21"/>
          <w:color w:val="000000"/>
        </w:rPr>
        <w:t xml:space="preserve">•  Linear regression, adjusted: </w:t>
      </w:r>
      <w:r>
        <w:rPr>
          <w:rFonts w:ascii="Arial" w:hAnsi="Arial" w:eastAsia="Arial" w:cs="Arial"/>
          <w:i w:val="false"/>
          <w:b w:val="true"/>
          <w:u w:val="none"/>
          <w:strike w:val="false"/>
          <w:sz w:val="21"/>
          <w:szCs w:val="21"/>
          <w:color w:val="000000"/>
        </w:rPr>
        <w:t xml:space="preserve">-0.61 (95% CI -1.00 to -0.21) days per 10 ml/kg</w:t>
      </w:r>
      <w:r>
        <w:rPr>
          <w:rFonts w:ascii="Arial" w:hAnsi="Arial" w:eastAsia="Arial" w:cs="Arial"/>
          <w:i w:val="false"/>
          <w:b w:val="false"/>
          <w:u w:val="none"/>
          <w:strike w:val="false"/>
          <w:sz w:val="21"/>
          <w:szCs w:val="21"/>
          <w:color w:val="000000"/>
        </w:rPr>
        <w:t xml:space="preserve">, p 0.003.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1"/>
          <w:szCs w:val="21"/>
          <w:color w:val="000000"/>
        </w:rPr>
        <w:t xml:space="preserve">•  Positive vs negative balance, adjusted difference: -2.78 (95% CI -4.76 to -0.80) days.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16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0"/>
          <w:szCs w:val="20"/>
          <w:color w:val="000000"/>
        </w:rPr>
        <w:t xml:space="preserve">Table 2. Ventilator-free days by fluid-balance group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59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Summary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Negative balance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Positive balance</w:t>
            </w:r>
          </w:p>
        </w:tc>
      </w:tr>
      <w:tr>
        <w:trPr>
          <w:trHeight w:val="568" w:hRule="auto"/>
        </w:trPr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245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373</w:t>
            </w:r>
          </w:p>
        </w:tc>
      </w:tr>
      <w:tr>
        <w:trPr>
          <w:trHeight w:val="575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VFD, median (IQR)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28 (22 to 28)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 (0 to 28)</w:t>
            </w:r>
          </w:p>
        </w:tc>
      </w:tr>
      <w:tr>
        <w:trPr>
          <w:trHeight w:val="575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VFD, mean (SD)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21.6 (10.5)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15.2 (12.4)</w:t>
            </w:r>
          </w:p>
        </w:tc>
      </w:tr>
      <w:tr>
        <w:trPr>
          <w:trHeight w:val="575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VFD = 0 (died or ventilated 28 d), n (%)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45 (18%)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137 (37%)</w:t>
            </w:r>
          </w:p>
        </w:tc>
      </w:tr>
      <w:tr>
        <w:trPr>
          <w:trHeight w:val="575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VFD = 28 (never ventilated, alive), n (%)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133 (54%)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117 (31%)</w:t>
            </w:r>
          </w:p>
        </w:tc>
      </w:tr>
      <w:tr>
        <w:trPr>
          <w:trHeight w:val="582" w:hRule="auto"/>
        </w:trPr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Ventilated patients: VFD median (IQR)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 (0 to 25)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 (0 to 22)</w:t>
            </w:r>
          </w:p>
        </w:tc>
      </w:tr>
    </w:tbl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16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0"/>
          <w:szCs w:val="20"/>
          <w:color w:val="000000"/>
        </w:rPr>
        <w:t xml:space="preserve">Table 3. Association between fluid balance and ventilator-free days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59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Model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Difference in VFD, days (95% CI)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</w:t>
            </w:r>
          </w:p>
        </w:tc>
      </w:tr>
      <w:tr>
        <w:trPr>
          <w:trHeight w:val="568" w:hRule="auto"/>
        </w:trPr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Balance per 10 ml/kg, crude (linear)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618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-1.48 (-1.84 to -1.13)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</w:tr>
      <w:tr>
        <w:trPr>
          <w:trHeight w:val="575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Balance per 10 ml/kg, adjusted (linear)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527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-0.61 (-1.00 to -0.21)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0.003</w:t>
            </w:r>
          </w:p>
        </w:tc>
      </w:tr>
      <w:tr>
        <w:trPr>
          <w:trHeight w:val="575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Positive vs negative balance, adjusted (linear)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527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-2.78 (-4.76 to -0.80)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0.006</w:t>
            </w:r>
          </w:p>
        </w:tc>
      </w:tr>
      <w:tr>
        <w:trPr>
          <w:trHeight w:val="582" w:hRule="auto"/>
        </w:trPr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Positive vs negative balance, Mann-Whitney (Hodges-Lehmann)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618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-3.0 (-5.0 to 0.0)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</w:tr>
    </w:tbl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true"/>
          <w:b w:val="false"/>
          <w:u w:val="none"/>
          <w:strike w:val="false"/>
          <w:sz w:val="17"/>
          <w:szCs w:val="17"/>
          <w:color w:val="000000"/>
        </w:rPr>
        <w:t xml:space="preserve">Negative = fewer ventilator-free days. Adjusted for age, SOFA, lactate, vasopressor, ventilation, CKD.</w:t>
      </w:r>
    </w:p>
    <w:p>
      <w:pPr>
        <w:pStyle w:val="Normal"/>
      </w:pPr>
      <w:r>
        <w:rPr/>
        <w:drawing>
          <wp:inline distT="0" distB="0" distL="0" distR="0">
            <wp:extent cx="5760720" cy="4114800"/>
            <wp:docPr id="1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114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true"/>
          <w:b w:val="false"/>
          <w:u w:val="none"/>
          <w:strike w:val="false"/>
          <w:sz w:val="18"/>
          <w:szCs w:val="18"/>
          <w:color w:val="000000"/>
        </w:rPr>
        <w:t xml:space="preserve">Figure 1. Distribution of ventilator-free days by group (note the two spikes at 0 and 28)</w:t>
      </w:r>
    </w:p>
    <w:p>
      <w:pPr>
        <w:pStyle w:val="Normal"/>
      </w:pPr>
      <w:r>
        <w:rPr/>
        <w:drawing>
          <wp:inline distT="0" distB="0" distL="0" distR="0">
            <wp:extent cx="5760720" cy="3456432"/>
            <wp:docPr id="3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45643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true"/>
          <w:b w:val="false"/>
          <w:u w:val="none"/>
          <w:strike w:val="false"/>
          <w:sz w:val="18"/>
          <w:szCs w:val="18"/>
          <w:color w:val="000000"/>
        </w:rPr>
        <w:t xml:space="preserve">Figure 2. Mean ventilator-free days by category of cumulative fluid balance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80" w:before="20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8"/>
          <w:szCs w:val="28"/>
          <w:color w:val="0B376C"/>
        </w:rPr>
        <w:t xml:space="preserve">5. What this means (plain language)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1"/>
          <w:szCs w:val="21"/>
          <w:color w:val="000000"/>
        </w:rPr>
        <w:t xml:space="preserve">•  Patients with more fluid on board had fewer days alive and off the ventilator.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1"/>
          <w:szCs w:val="21"/>
          <w:color w:val="000000"/>
        </w:rPr>
        <w:t xml:space="preserve">•  After adjustment, each extra 10 ml/kg was associated with about 0.6 fewer ventilator-free days (95% CI 0.2 to 1.0).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1"/>
          <w:szCs w:val="21"/>
          <w:color w:val="000000"/>
        </w:rPr>
        <w:t xml:space="preserve">•  VFD is not a normal-shaped number: many patients are at 0 (died) or 28 (never ventilated). The median and Mann-Whitney test describe it honestly; the linear model gives an easy-to-read average difference but its assumptions are strained.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80" w:before="20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8"/>
          <w:szCs w:val="28"/>
          <w:color w:val="0B376C"/>
        </w:rPr>
        <w:t xml:space="preserve">6. What this does NOT mean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1"/>
          <w:szCs w:val="21"/>
          <w:color w:val="000000"/>
        </w:rPr>
        <w:t xml:space="preserve">•  It does NOT mean fluid keeps patients on the ventilator: VFD mixes death and ventilation time, and sicker patients get more fluid.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1"/>
          <w:szCs w:val="21"/>
          <w:color w:val="000000"/>
        </w:rPr>
        <w:t xml:space="preserve">•  A difference in mean VFD is not the same as 'each patient was ventilated one day longer'.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80" w:before="20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8"/>
          <w:szCs w:val="28"/>
          <w:color w:val="0B376C"/>
        </w:rPr>
        <w:t xml:space="preserve">7. Limitations to discuss (hints)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1"/>
          <w:szCs w:val="21"/>
          <w:color w:val="000000"/>
        </w:rPr>
        <w:t xml:space="preserve">•  Composite outcome: a VFD of 0 can mean early death or 28 days on the ventilator. Say which drives the result.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1"/>
          <w:szCs w:val="21"/>
          <w:color w:val="000000"/>
        </w:rPr>
        <w:t xml:space="preserve">•  Skewed, bounded outcome: linear regression is approximate; consider the Mann-Whitney result or a proportional-odds model as sensitivity.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1"/>
          <w:szCs w:val="21"/>
          <w:color w:val="000000"/>
        </w:rPr>
        <w:t xml:space="preserve">•  Residual confounding by severity; respiratory infections both raise ventilation and may change fluid practice.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1"/>
          <w:szCs w:val="21"/>
          <w:color w:val="000000"/>
        </w:rPr>
        <w:t xml:space="preserve">•  Complete-case analysis (lactate missing).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80" w:before="20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8"/>
          <w:szCs w:val="28"/>
          <w:color w:val="0B376C"/>
        </w:rPr>
        <w:t xml:space="preserve">Which STROBE items this pack helps you write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1"/>
          <w:szCs w:val="21"/>
          <w:color w:val="000000"/>
        </w:rPr>
        <w:t xml:space="preserve">•  Item 7: define the composite outcome VFD precisely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1"/>
          <w:szCs w:val="21"/>
          <w:color w:val="000000"/>
        </w:rPr>
        <w:t xml:space="preserve">•  Item 12: methods (why non-parametric and linear models)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1"/>
          <w:szCs w:val="21"/>
          <w:color w:val="000000"/>
        </w:rPr>
        <w:t xml:space="preserve">•  Item 14: descriptive data (Table 1)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1"/>
          <w:szCs w:val="21"/>
          <w:color w:val="000000"/>
        </w:rPr>
        <w:t xml:space="preserve">•  Item 15-16: outcome summaries and adjusted differences with 95% CI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1"/>
          <w:szCs w:val="21"/>
          <w:color w:val="000000"/>
        </w:rPr>
        <w:t xml:space="preserve">•  Item 19: limitations of a composite, skewed outcome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Relationship Id="rId7" Type="http://schemas.openxmlformats.org/officeDocument/2006/relationships/image" Target="media/e9d2d2862ceaaa887f700ac6fdd298a27512af4c.png"/>
<Relationship Id="rId8" Type="http://schemas.openxmlformats.org/officeDocument/2006/relationships/image" Target="media/26ca65403446cfd9afd05119f7880fca7db32776.png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2026-10-20T23:26:11Z</dcterms:modified>
  <cp:category/>
</cp:coreProperties>
</file>