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

<Relationships  xmlns="http://schemas.openxmlformats.org/package/2006/relationships">
<Relationship Id="rId3" Type="http://schemas.openxmlformats.org/officeDocument/2006/relationships/extended-properties" Target="docProps/app.xml"/>
<Relationship Id="rId2" Type="http://schemas.openxmlformats.org/package/2006/relationships/metadata/core-properties" Target="docProps/core.xml"/>
<Relationship Id="rId1" Type="http://schemas.openxmlformats.org/officeDocument/2006/relationships/officeDocument" Target="word/document.xml"/>
</Relationships>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36"/>
          <w:szCs w:val="36"/>
          <w:color w:val="0D7377"/>
        </w:rPr>
        <w:t xml:space="preserve">Results pack Q2: Cumulative fluid balance and acute kidney injury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8A99A3"/>
        </w:rPr>
        <w:t xml:space="preserve">FLUID-ICU is a SIMULATED dataset made for teaching. No real patients. Neudata | Foundations of Clinical Research, Level 2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SIMULATED DATA: NOT REAL PATIENTS.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 FLUID-ICU was generated by computer for this course. Write your manuscript as a training exercise and state clearly that the data are simulated.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1. The question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/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In adults with sepsis in the ICU, is a higher cumulative fluid balance by day 3 associated with acute kidney injury?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2. Design and data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Design: multicentre prospective cohort study (observational).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Setting: 4 ICUs (ICU A-D), consecutive adults with sepsis, enrolment January 2023 to December 2024.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Exposure: cumulative fluid balance at day 3 in ml/kg, analysed per 10 ml/kg (continuous); secondary: positive vs negative balance.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Outcome: acute kidney injury (KDIGO stage &gt;= 1, maximum stage during ICU days 1-7; aki_any). Secondary: AKI stage 2-3; renal replacement therapy (descriptive).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Analysis sample: 618 patients with a day-3 balance; adjusted models 527 complete cases.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Pre-specified confounders (SAP): age, SOFA score, lactate, vasopressor, mechanical ventilation, chronic kidney disease.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Software: R 4.6 (packages gtsummary, survival, mice). Scripts: Course/Data/R/.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Participant flow: 620 patients enrolled -&gt; 2 without a day-3 fluid balance (weight or output missing after cleaning) -&gt; 618 in the exposure analysis -&gt; 91 without lactate (or age) -&gt; 527 in the complete-case adjusted model.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3. Table 1: who was studied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1. Baseline characteristics by fluid-balance group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3382"/>
        <w:gridCol w:w="1658"/>
        <w:gridCol w:w="2330"/>
        <w:gridCol w:w="2257"/>
      </w:tblGrid>
      <w:tr>
        <w:trPr>
          <w:trHeight w:val="902" w:hRule="auto"/>
          <w:tblHeader/>
        </w:trPr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Characteristic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Overall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618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Negative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245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single" w:sz="8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Positive balance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  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br/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N = 373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Age, years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62.6 (15.2)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64.6 (15.0)</w:t>
            </w:r>
          </w:p>
        </w:tc>
        <w:tc>
          <w:tcPr>
            <w:tcBorders>
              <w:bottom w:val="none" w:sz="0" w:space="0" w:color="000000"/>
              <w:top w:val="single" w:sz="8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61.4 (15.2)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0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Sex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Female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243 (39%)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102 (42%)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141 (38%)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Male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375 (61%)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143 (58%)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232 (62%)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Weight, kg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64.7 (11.9)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65.1 (12.4)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64.4 (11.6)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Diabetes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(26%)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70 (29%)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88 (24%)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Chronic kidney disease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64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Heart failure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(16%)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43 (12%)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Hypertension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282 (46%)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124 (51%)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158 (42%)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Source of infection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Respiratory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267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101 (41%)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166 (45%)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Urinary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126 (20%)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54 (22%)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72 (19%)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Abdominal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106 (17%)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46 (19%)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60 (16%)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Skin/soft tissue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57 (9.2%)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18 (7.3%)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39 (10%)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Other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62 (10%)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 (11%)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36 (9.7%)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SOFA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 (5, 9)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 (4, 8)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8 (6, 10)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APACHE II score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19 (15, 24)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17 (12, 21)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 (17, 25)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Lactate, mmol/L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2.6 (1.7, 3.7)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2.2 (1.4, 3.0)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2.9 (1.9, 4.0)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Mean arterial pressure, mmHg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73 (66, 80)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76 (70, 84)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71 (65, 78)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Missing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Vasopressor on admission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266 (43%)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61 (25%)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205 (55%)</w:t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22"/>
                <w:szCs w:val="22"/>
                <w:color w:val="000000"/>
              </w:rPr>
              <w:t xml:space="preserve">Mechanical ventilation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313 (51%)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97 (40%)</w:t>
            </w:r>
          </w:p>
        </w:tc>
        <w:tc>
          <w:tcPr>
            <w:tcBorders>
              <w:bottom w:val="single" w:sz="8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216 (58%)</w:t>
            </w:r>
          </w:p>
        </w:tc>
      </w:tr>
      <w:tr>
        <w:trPr>
          <w:trHeight w:val="360" w:hRule="auto"/>
        </w:trPr>
        <w:tc>
          <w:tcPr>
            <w:gridSpan w:val="4"/>
            <w:tcBorders>
              <w:bottom w:val="none" w:sz="0" w:space="0" w:color="FFFFFF"/>
              <w:top w:val="single" w:sz="8" w:space="0" w:color="000000"/>
              <w:left w:val="none" w:sz="0" w:space="0" w:color="FFFFFF"/>
              <w:right w:val="none" w:sz="0" w:space="0" w:color="FFFFFF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vertAlign w:val="superscript"/>
                <w:sz w:val="22"/>
                <w:szCs w:val="22"/>
                <w:color w:val="000000"/>
              </w:rPr>
              <w:t xml:space="preserve">1</w:t>
            </w: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22"/>
                <w:szCs w:val="22"/>
                <w:color w:val="000000"/>
              </w:rPr>
              <w:t xml:space="preserve">Mean (SD); n (%); Median (Q1, Q3)</w:t>
            </w:r>
          </w:p>
        </w:tc>
      </w:tr>
    </w:tbl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7"/>
          <w:szCs w:val="17"/>
          <w:color w:val="000000"/>
        </w:rPr>
        <w:t xml:space="preserve">Mean (SD); n (%); median (Q1, Q3). Missing = number of patients without that value.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4. Main results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(any stage) occurred in 302/620 (48.7%) of all patients; RRT in 79/620 (12.7%).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AKI: positive balance 230/373 (61.7%) vs negative balance 71/245 (29.0%).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rose with each balance category: &lt;= 0: 29%; &gt;0 to 20: 54%; &gt;20 to 40: 63%; &gt; 40: 75%.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Crude OR per 10 ml/kg more balance: 1.37 (95% CI 1.27 to 1.47).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Adjusted OR per 10 ml/kg: </w:t>
      </w:r>
      <w:r>
        <w:rPr>
          <w:rFonts w:ascii="Arial" w:hAnsi="Arial" w:eastAsia="Arial" w:cs="Arial"/>
          <w:i w:val="false"/>
          <w:b w:val="true"/>
          <w:u w:val="none"/>
          <w:strike w:val="false"/>
          <w:sz w:val="21"/>
          <w:szCs w:val="21"/>
          <w:color w:val="000000"/>
        </w:rPr>
        <w:t xml:space="preserve">1.27 (95% CI 1.16 to 1.40)</w:t>
      </w: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, p &lt;0.001.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Positive vs negative balance: crude OR 3.94 (95% CI 2.80 to 5.60); adjusted OR 2.70 (95% CI 1.76 to 4.15).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2. Maximum KDIGO AKI stage by fluid-balance group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AKI stage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Negative balance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Positive balance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stage 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174 (71%)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143 (38%)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stage 1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29 (12%)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(18%)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stage 2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54 (14%)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KDIGO stage 3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18 (7%)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(29%)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3. AKI by category of cumulative fluid balance at day 3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Cumulative balance day 3, ml/kg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Any AKI, n (%)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AKI stage 2-3, %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RRT, %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&lt;= 0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245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71 (29%)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17.1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4.1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&gt;0 to 20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166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90 (54%)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30.7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11.4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&gt;20 to 40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130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82 (63%)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52.3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21.5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&gt; 40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58 (75%)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55.8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28.6</w:t>
            </w:r>
          </w:p>
        </w:tc>
      </w:tr>
    </w:tbl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16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000000"/>
        </w:rPr>
        <w:t xml:space="preserve">Table 4. Logistic regression for AKI (adjusted for age, SOFA, lactate, vasopressor, ventilation, CKD)</w:t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590" w:hRule="auto"/>
          <w:tblHeader/>
        </w:trPr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Model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OR (95% CI)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p</w:t>
            </w:r>
          </w:p>
        </w:tc>
      </w:tr>
      <w:tr>
        <w:trPr>
          <w:trHeight w:val="568" w:hRule="auto"/>
        </w:trPr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crude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1.37 (1.27 to 1.47)</w:t>
            </w:r>
          </w:p>
        </w:tc>
        <w:tc>
          <w:tcPr>
            <w:tcBorders>
              <w:bottom w:val="single" w:sz="6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adjusted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1.27 (1.16 to 1.40)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vs negative balance, crude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618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3.94 (2.80 to 5.60)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75" w:hRule="auto"/>
        </w:trPr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Positive vs negative balance, adjusted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2.70 (1.76 to 4.15)</w:t>
            </w:r>
          </w:p>
        </w:tc>
        <w:tc>
          <w:tcPr>
            <w:tcBorders>
              <w:bottom w:val="single" w:sz="6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  <w:tr>
        <w:trPr>
          <w:trHeight w:val="582" w:hRule="auto"/>
        </w:trPr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Balance per 10 ml/kg, adjusted (outcome AKI stage 2-3)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righ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527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1.23 (1.12 to 1.35)</w:t>
            </w:r>
          </w:p>
        </w:tc>
        <w:tc>
          <w:tcPr>
            <w:tcBorders>
              <w:bottom w:val="single" w:sz="12" w:space="0" w:color="666666"/>
              <w:top w:val="single" w:sz="6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&lt;0.001</w:t>
            </w:r>
          </w:p>
        </w:tc>
      </w:tr>
    </w:tbl>
    <w:p>
      <w:pPr>
        <w:pStyle w:val="Normal"/>
      </w:pPr>
      <w:r>
        <w:rPr/>
        <w:drawing>
          <wp:inline distT="0" distB="0" distL="0" distR="0">
            <wp:extent cx="5760720" cy="3703320"/>
            <wp:docPr id="1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"/>
                    <pic:cNvPicPr>
                      <a:picLocks noChangeAspect="1" noChangeArrowheads="1"/>
                    </pic:cNvPicPr>
                  </pic:nvPicPr>
                  <pic:blipFill>
                    <a:blip r:embed="rId7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3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1. Maximum AKI stage by category of cumulative fluid balance</w:t>
      </w:r>
    </w:p>
    <w:p>
      <w:pPr>
        <w:pStyle w:val="Normal"/>
      </w:pPr>
      <w:r>
        <w:rPr/>
        <w:drawing>
          <wp:inline distT="0" distB="0" distL="0" distR="0">
            <wp:extent cx="5760720" cy="3703320"/>
            <wp:docPr id="3" name="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"/>
                    <pic:cNvPicPr>
                      <a:picLocks noChangeAspect="1" noChangeArrowheads="1"/>
                    </pic:cNvPicPr>
                  </pic:nvPicPr>
                  <pic:blipFill>
                    <a:blip r:embed="rId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60720" cy="370332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8"/>
          <w:szCs w:val="18"/>
          <w:color w:val="000000"/>
        </w:rPr>
        <w:t xml:space="preserve">Figure 2. Crude probability of AKI across the range of fluid balance (logistic curve, 95% band)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5. What this means (plain language)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AKI was more common the more positive the fluid balance: a clear 'dose-response' pattern.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After adjustment, each extra 10 ml/kg (about 650 ml for a 65 kg adult) was associated with about 27% higher odds of AKI.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Using the continuous balance keeps more information than positive/negative and shows the gradient.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6. What this does NOT mean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 does NOT show that fluid damages the kidney. The arrow may point the other way: AKI reduces urine output, and low output makes the balance positive (reverse causation).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We do not know whether AKI started before or after the fluid accumulated. The data record the maximum stage over days 1-7.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An OR of 1.27 per 10 ml/kg is not a risk: with AKI this common (about 49%), odds ratios overstate risk ratios.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7. Limitations to discuss (hints)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Timing: exposure (days 1-3) and outcome (days 1-7) overlap.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Residual confounding by severity and nephrotoxic drugs (not recorded).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KDIGO staging may be based on creatinine, which fluid dilutes, so AKI may be under-diagnosed in patients with large positive balances.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Complete-case analysis (lactate missing in 15%).</w:t>
      </w:r>
    </w:p>
    <w:p>
      <w:pPr>
        <w:pStyle w:val="Normal"/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80" w:before="20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8"/>
          <w:szCs w:val="28"/>
          <w:color w:val="0B376C"/>
        </w:rPr>
        <w:t xml:space="preserve">Which STROBE items this pack helps you write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6-7: participants and variable definitions (KDIGO)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12: methods incl. continuous exposure scaling (per 10 ml/kg)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14: descriptive data (Table 1)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15: outcome data (Tables 2-3)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16: crude and adjusted ORs with 95% CI; category boundaries reported (Table 3-4)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19: limitations (reverse causation and timing)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21"/>
          <w:szCs w:val="21"/>
          <w:color w:val="000000"/>
        </w:rPr>
        <w:t xml:space="preserve">•  Item 17: secondary outcome AKI stage 2-3</w:t>
      </w:r>
    </w:p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

<Relationships  xmlns="http://schemas.openxmlformats.org/package/2006/relationships">
<Relationship Id="rId3" Type="http://schemas.openxmlformats.org/officeDocument/2006/relationships/settings" Target="settings.xml"/>
<Relationship Id="rId2" Type="http://schemas.openxmlformats.org/officeDocument/2006/relationships/styles" Target="styles.xml"/>
<Relationship Id="rId1" Type="http://schemas.openxmlformats.org/officeDocument/2006/relationships/numbering" Target="numbering.xml"/>
<Relationship Id="rId6" Type="http://schemas.openxmlformats.org/officeDocument/2006/relationships/theme" Target="theme/theme1.xml"/>
<Relationship Id="rId5" Type="http://schemas.openxmlformats.org/officeDocument/2006/relationships/fontTable" Target="fontTable.xml"/>
<Relationship Id="rId4" Type="http://schemas.openxmlformats.org/officeDocument/2006/relationships/webSettings" Target="webSettings.xml"/>
<Relationship Id="rId7" Type="http://schemas.openxmlformats.org/officeDocument/2006/relationships/image" Target="media/4e4802a4613994a171749658b95f41b88df64137.png"/>
<Relationship Id="rId8" Type="http://schemas.openxmlformats.org/officeDocument/2006/relationships/image" Target="media/5bd489b395e9349382ff6b0b09e6c3e55235c983.png"/>
</Relationships>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/>
  <cp:revision>9</cp:revision>
  <dcterms:created xsi:type="dcterms:W3CDTF">2017-02-28T11:18:00Z</dcterms:created>
  <dcterms:modified xsi:type="dcterms:W3CDTF">2026-10-08T17:45:38Z</dcterms:modified>
  <cp:category/>
</cp:coreProperties>
</file>