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Risk-of-bias tool chooser</w:t>
      </w:r>
    </w:p>
    <w:p>
      <w:pPr>
        <w:pStyle w:val="Subtitle"/>
      </w:pPr>
      <w:r>
        <w:t>Which appraisal tool for which study design?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 4 (4.3) and Session 8 (8.3)</w:t>
      </w: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0"/>
              </w:rPr>
              <w:t>How to choose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Step 1: identify the design of the study (use the design decision tree from Session 3).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Step 2: pick the tool in the table. Appraise each outcome you care about, not the whole paper at once.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Step 3: judge each domain (low / some concerns / high risk), then ask: are the conclusions supported by the data? In the course we use the simplified 10-question checklist; use these full tools when you appraise evidence formally (e.g. for a systematic review).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Reporting guidelines (CONSORT, STROBE, ...) tell authors what to REPORT. Risk-of-bias tools judge how TRUSTWORTHY the result is. They are not the same thing.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984"/>
        <w:gridCol w:w="1644"/>
        <w:gridCol w:w="3969"/>
        <w:gridCol w:w="1814"/>
      </w:tblGrid>
      <w:tr>
        <w:trPr>
          <w:cantSplit w:val="true"/>
          <w:tblHeader w:val="true"/>
        </w:trPr>
        <w:tc>
          <w:tcPr>
            <w:tcW w:type="dxa" w:w="198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Study design</w:t>
            </w:r>
          </w:p>
        </w:tc>
        <w:tc>
          <w:tcPr>
            <w:tcW w:type="dxa" w:w="164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396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What it checks</w:t>
            </w:r>
          </w:p>
        </w:tc>
        <w:tc>
          <w:tcPr>
            <w:tcW w:type="dxa" w:w="181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Free source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Randomised controlled trial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RoB 2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Bias from randomisation, deviations from intended interventions, missing outcome data, outcome measurement and selection of the reported result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Cochrane, riskofbias.info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Non-randomised study of an intervention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ROBINS-I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Confounding, selection of participants, classification of interventions, deviations, missing data, measurement and reporting, judged against an ideal “target trial”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Cochrane, riskofbias.info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Cohort and case-control (exposures)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Newcastle–Ottawa Scale</w:t>
            </w:r>
            <w:r>
              <w:rPr>
                <w:sz w:val="18"/>
              </w:rPr>
              <w:t xml:space="preserve"> or </w:t>
            </w:r>
            <w:r>
              <w:rPr>
                <w:b/>
                <w:color w:val="055F56"/>
                <w:sz w:val="18"/>
              </w:rPr>
              <w:t>ROBINS-E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NOS: stars for selection of groups, comparability (confounding) and outcome/exposure ascertainment. ROBINS-E: the ROBINS-I domains, for exposures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Ottawa Hospital Research Institute, ohri.ca; riskofbias.info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Diagnostic accuracy study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QUADAS-2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Patient selection, index test, reference standard, flow and timing: risk of bias AND applicability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University of Bristol, bristol.ac.uk (QUADAS)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Systematic review / meta-analysis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55F56"/>
                <w:sz w:val="18"/>
              </w:rPr>
              <w:t>AMSTAR 2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16 items: protocol registered in advance, comprehensive search, risk-of-bias assessment of included studies, appropriate meta-analysis, publication bias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amstar.ca</w:t>
            </w:r>
          </w:p>
        </w:tc>
      </w:tr>
      <w:tr>
        <w:trPr>
          <w:cantSplit w:val="true"/>
        </w:trPr>
        <w:tc>
          <w:tcPr>
            <w:tcW w:type="dxa" w:w="198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Qualitative study</w:t>
            </w:r>
          </w:p>
        </w:tc>
        <w:tc>
          <w:tcPr>
            <w:tcW w:type="dxa" w:w="164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55F56"/>
                <w:sz w:val="18"/>
              </w:rPr>
              <w:t>CASP Qualitative Checklist</w:t>
            </w:r>
          </w:p>
        </w:tc>
        <w:tc>
          <w:tcPr>
            <w:tcW w:type="dxa" w:w="396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10 questions: clear aims, appropriate method and design, recruitment, data collection, researcher relationship (reflexivity), ethics, rigour of analysis, findings, value</w:t>
            </w:r>
          </w:p>
        </w:tc>
        <w:tc>
          <w:tcPr>
            <w:tcW w:type="dxa" w:w="181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Critical Appraisal Skills Programme, casp-uk.net</w:t>
            </w:r>
          </w:p>
        </w:tc>
      </w:tr>
    </w:tbl>
    <w:p>
      <w:pPr>
        <w:spacing w:after="0" w:line="120" w:lineRule="exact"/>
      </w:pPr>
    </w:p>
    <w:p>
      <w:pPr>
        <w:pStyle w:val="NeudataSmall"/>
      </w:pPr>
      <w:r>
        <w:t>Other designs: PROBAST for prediction models, and the JBI critical appraisal checklists (jbi.global) for cross-sectional studies and case series. All tools above are free to download; check the source for the latest version and its guidance document.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Risk-of-bias tool chooser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Risk-of-bias tool chooser</dc:title>
  <dc:subject>Design-to-tool table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