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Risk-of-bias tool chooser</w:t>
      </w:r>
    </w:p>
    <w:p>
      <w:pPr>
        <w:pStyle w:val="Subtitle"/>
      </w:pPr>
      <w:r>
        <w:t>Which appraisal tool for which study design?</w:t>
      </w:r>
    </w:p>
    <w:p>
      <w:pPr>
        <w:pStyle w:val="NeudataSmall"/>
        <w:spacing w:after="160"/>
      </w:pPr>
      <w:r>
        <w:t>Foundations of Clinical Research</w:t>
      </w:r>
      <w:r>
        <w:t xml:space="preserve">  ·  Session 4 (4.3) and Session 8 (8.3)</w:t>
      </w:r>
    </w:p>
    <w:tbl>
      <w:tblPr>
        <w:tblW w:type="auto" w:w="0"/>
        <w:jc w:val="center"/>
        <w:tblLayout w:type="fixed"/>
        <w:tblCellMar>
          <w:top w:w="100" w:type="dxa"/>
          <w:left w:w="180" w:type="dxa"/>
          <w:bottom w:w="100" w:type="dxa"/>
          <w:right w:w="160" w:type="dxa"/>
        </w:tblCellMar>
        <w:tblLook w:firstColumn="1" w:firstRow="1" w:lastColumn="0" w:lastRow="0" w:noHBand="0" w:noVBand="1" w:val="04A0"/>
      </w:tblPr>
      <w:tblGrid>
        <w:gridCol w:w="9412"/>
      </w:tblGrid>
      <w:tr>
        <w:trPr>
          <w:cantSplit w:val="true"/>
        </w:trPr>
        <w:tc>
          <w:tcPr>
            <w:tcW w:type="dxa" w:w="9411"/>
            <w:tcBorders>
              <w:top w:val="single" w:sz="4" w:color="EAF2F5"/>
              <w:left w:val="single" w:sz="24" w:color="055F56"/>
              <w:bottom w:val="single" w:sz="4" w:color="EAF2F5"/>
              <w:right w:val="single" w:sz="4" w:color="EAF2F5"/>
            </w:tcBorders>
            <w:shd w:val="clear" w:color="auto" w:fill="EAF2F5"/>
          </w:tcPr>
          <w:p>
            <w:pPr>
              <w:spacing w:after="60"/>
            </w:pPr>
            <w:r>
              <w:rPr>
                <w:rFonts w:ascii="Century Gothic" w:hAnsi="Century Gothic" w:cs="Century Gothic" w:eastAsia="Century Gothic"/>
                <w:b/>
                <w:color w:val="055F56"/>
                <w:sz w:val="20"/>
              </w:rPr>
              <w:t>How to choose</w:t>
            </w:r>
          </w:p>
          <w:p>
            <w:pPr>
              <w:spacing w:after="40" w:line="259" w:lineRule="auto"/>
              <w:ind w:left="227" w:hanging="227"/>
            </w:pPr>
            <w:r>
              <w:rPr>
                <w:b/>
                <w:color w:val="055F56"/>
                <w:sz w:val="18"/>
              </w:rPr>
              <w:t xml:space="preserve">•  </w:t>
            </w:r>
            <w:r>
              <w:rPr>
                <w:sz w:val="18"/>
              </w:rPr>
              <w:t>Step 1: identify the design of the study (use the design decision tree from Session 3).</w:t>
            </w:r>
          </w:p>
          <w:p>
            <w:pPr>
              <w:spacing w:after="40" w:line="259" w:lineRule="auto"/>
              <w:ind w:left="227" w:hanging="227"/>
            </w:pPr>
            <w:r>
              <w:rPr>
                <w:b/>
                <w:color w:val="055F56"/>
                <w:sz w:val="18"/>
              </w:rPr>
              <w:t xml:space="preserve">•  </w:t>
            </w:r>
            <w:r>
              <w:rPr>
                <w:sz w:val="18"/>
              </w:rPr>
              <w:t>Step 2: pick the tool in the table. Appraise each outcome you care about, not the whole paper at once.</w:t>
            </w:r>
          </w:p>
          <w:p>
            <w:pPr>
              <w:spacing w:after="40" w:line="259" w:lineRule="auto"/>
              <w:ind w:left="227" w:hanging="227"/>
            </w:pPr>
            <w:r>
              <w:rPr>
                <w:b/>
                <w:color w:val="055F56"/>
                <w:sz w:val="18"/>
              </w:rPr>
              <w:t xml:space="preserve">•  </w:t>
            </w:r>
            <w:r>
              <w:rPr>
                <w:sz w:val="18"/>
              </w:rPr>
              <w:t>Step 3: judge each domain (low / some concerns / high risk), then ask: are the conclusions supported by the data? In the course we use the simplified 10-question checklist; use these full tools when you appraise evidence formally (e.g. for a systematic review).</w:t>
            </w:r>
          </w:p>
          <w:p>
            <w:pPr>
              <w:spacing w:after="40" w:line="259" w:lineRule="auto"/>
              <w:ind w:left="227" w:hanging="227"/>
            </w:pPr>
            <w:r>
              <w:rPr>
                <w:b/>
                <w:color w:val="055F56"/>
                <w:sz w:val="18"/>
              </w:rPr>
              <w:t xml:space="preserve">•  </w:t>
            </w:r>
            <w:r>
              <w:rPr>
                <w:sz w:val="18"/>
              </w:rPr>
              <w:t>Reporting guidelines (CONSORT, STROBE, ...) tell authors what to REPORT. Risk-of-bias tools judge how TRUSTWORTHY the result is. They are not the same thing.</w:t>
            </w:r>
          </w:p>
        </w:tc>
      </w:tr>
    </w:tbl>
    <w:p>
      <w:pPr>
        <w:spacing w:after="0" w:line="120" w:lineRule="exact"/>
      </w:pPr>
    </w:p>
    <w:tbl>
      <w:tblPr>
        <w:tblW w:type="auto" w:w="0"/>
        <w:jc w:val="center"/>
        <w:tblLayout w:type="fixed"/>
        <w:tblCellMar>
          <w:top w:w="60" w:type="dxa"/>
          <w:left w:w="90" w:type="dxa"/>
          <w:bottom w:w="60" w:type="dxa"/>
          <w:right w:w="90" w:type="dxa"/>
        </w:tblCellMar>
        <w:tblLook w:firstColumn="1" w:firstRow="1" w:lastColumn="0" w:lastRow="0" w:noHBand="0" w:noVBand="1" w:val="04A0"/>
      </w:tblPr>
      <w:tblGrid>
        <w:gridCol w:w="1984"/>
        <w:gridCol w:w="1644"/>
        <w:gridCol w:w="3969"/>
        <w:gridCol w:w="1814"/>
      </w:tblGrid>
      <w:tr>
        <w:trPr>
          <w:cantSplit w:val="true"/>
          <w:tblHeader w:val="true"/>
        </w:trPr>
        <w:tc>
          <w:tcPr>
            <w:tcW w:type="dxa" w:w="1984"/>
            <w:tcBorders>
              <w:top w:val="single" w:sz="4" w:color="04242F"/>
              <w:left w:val="single" w:sz="4" w:color="04242F"/>
              <w:bottom w:val="single" w:sz="4" w:color="04242F"/>
              <w:right w:val="single" w:sz="4" w:color="04242F"/>
            </w:tcBorders>
            <w:shd w:val="clear" w:color="auto" w:fill="04242F"/>
          </w:tcPr>
          <w:p>
            <w:pPr>
              <w:keepNext/>
              <w:spacing w:after="0"/>
            </w:pPr>
            <w:r>
              <w:rPr>
                <w:b/>
                <w:color w:val="FFFFFF"/>
                <w:sz w:val="18"/>
              </w:rPr>
              <w:t>Study design</w:t>
            </w:r>
          </w:p>
        </w:tc>
        <w:tc>
          <w:tcPr>
            <w:tcW w:type="dxa" w:w="1644"/>
            <w:tcBorders>
              <w:top w:val="single" w:sz="4" w:color="04242F"/>
              <w:left w:val="single" w:sz="4" w:color="04242F"/>
              <w:bottom w:val="single" w:sz="4" w:color="04242F"/>
              <w:right w:val="single" w:sz="4" w:color="04242F"/>
            </w:tcBorders>
            <w:shd w:val="clear" w:color="auto" w:fill="04242F"/>
          </w:tcPr>
          <w:p>
            <w:pPr>
              <w:keepNext/>
              <w:spacing w:after="0"/>
            </w:pPr>
            <w:r>
              <w:rPr>
                <w:b/>
                <w:color w:val="FFFFFF"/>
                <w:sz w:val="18"/>
              </w:rPr>
              <w:t>Tool</w:t>
            </w:r>
          </w:p>
        </w:tc>
        <w:tc>
          <w:tcPr>
            <w:tcW w:type="dxa" w:w="3969"/>
            <w:tcBorders>
              <w:top w:val="single" w:sz="4" w:color="04242F"/>
              <w:left w:val="single" w:sz="4" w:color="04242F"/>
              <w:bottom w:val="single" w:sz="4" w:color="04242F"/>
              <w:right w:val="single" w:sz="4" w:color="04242F"/>
            </w:tcBorders>
            <w:shd w:val="clear" w:color="auto" w:fill="04242F"/>
          </w:tcPr>
          <w:p>
            <w:pPr>
              <w:keepNext/>
              <w:spacing w:after="0"/>
            </w:pPr>
            <w:r>
              <w:rPr>
                <w:b/>
                <w:color w:val="FFFFFF"/>
                <w:sz w:val="18"/>
              </w:rPr>
              <w:t>What it checks</w:t>
            </w:r>
          </w:p>
        </w:tc>
        <w:tc>
          <w:tcPr>
            <w:tcW w:type="dxa" w:w="1814"/>
            <w:tcBorders>
              <w:top w:val="single" w:sz="4" w:color="04242F"/>
              <w:left w:val="single" w:sz="4" w:color="04242F"/>
              <w:bottom w:val="single" w:sz="4" w:color="04242F"/>
              <w:right w:val="single" w:sz="4" w:color="04242F"/>
            </w:tcBorders>
            <w:shd w:val="clear" w:color="auto" w:fill="04242F"/>
          </w:tcPr>
          <w:p>
            <w:pPr>
              <w:keepNext/>
              <w:spacing w:after="0"/>
            </w:pPr>
            <w:r>
              <w:rPr>
                <w:b/>
                <w:color w:val="FFFFFF"/>
                <w:sz w:val="18"/>
              </w:rPr>
              <w:t>Free source</w:t>
            </w:r>
          </w:p>
        </w:tc>
      </w:tr>
      <w:tr>
        <w:trPr>
          <w:cantSplit w:val="true"/>
        </w:trPr>
        <w:tc>
          <w:tcPr>
            <w:tcW w:type="dxa" w:w="1984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</w:tcPr>
          <w:p>
            <w:pPr>
              <w:keepNext/>
              <w:spacing w:after="0" w:line="252" w:lineRule="auto"/>
            </w:pPr>
            <w:r>
              <w:rPr>
                <w:b/>
                <w:color w:val="04242F"/>
                <w:sz w:val="18"/>
              </w:rPr>
              <w:t>Randomised controlled trial</w:t>
            </w:r>
          </w:p>
        </w:tc>
        <w:tc>
          <w:tcPr>
            <w:tcW w:type="dxa" w:w="1644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</w:tcPr>
          <w:p>
            <w:pPr>
              <w:keepNext/>
              <w:spacing w:after="0" w:line="252" w:lineRule="auto"/>
            </w:pPr>
            <w:r>
              <w:rPr>
                <w:b/>
                <w:color w:val="055F56"/>
                <w:sz w:val="18"/>
              </w:rPr>
              <w:t>RoB 2</w:t>
            </w:r>
          </w:p>
        </w:tc>
        <w:tc>
          <w:tcPr>
            <w:tcW w:type="dxa" w:w="3969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</w:tcPr>
          <w:p>
            <w:pPr>
              <w:keepNext/>
              <w:spacing w:after="0" w:line="252" w:lineRule="auto"/>
            </w:pPr>
            <w:r>
              <w:rPr>
                <w:sz w:val="18"/>
              </w:rPr>
              <w:t>Bias from randomisation, deviations from intended interventions, missing outcome data, outcome measurement and selection of the reported result</w:t>
            </w:r>
          </w:p>
        </w:tc>
        <w:tc>
          <w:tcPr>
            <w:tcW w:type="dxa" w:w="1814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</w:tcPr>
          <w:p>
            <w:pPr>
              <w:keepNext/>
              <w:spacing w:after="0" w:line="252" w:lineRule="auto"/>
            </w:pPr>
            <w:r>
              <w:rPr>
                <w:sz w:val="18"/>
              </w:rPr>
              <w:t>Cochrane — riskofbias.info</w:t>
            </w:r>
          </w:p>
        </w:tc>
      </w:tr>
      <w:tr>
        <w:trPr>
          <w:cantSplit w:val="true"/>
        </w:trPr>
        <w:tc>
          <w:tcPr>
            <w:tcW w:type="dxa" w:w="1984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  <w:shd w:val="clear" w:color="auto" w:fill="F5F9FA"/>
          </w:tcPr>
          <w:p>
            <w:pPr>
              <w:keepNext/>
              <w:spacing w:after="0" w:line="252" w:lineRule="auto"/>
            </w:pPr>
            <w:r>
              <w:rPr>
                <w:b/>
                <w:color w:val="04242F"/>
                <w:sz w:val="18"/>
              </w:rPr>
              <w:t>Non-randomised study of an intervention</w:t>
            </w:r>
          </w:p>
        </w:tc>
        <w:tc>
          <w:tcPr>
            <w:tcW w:type="dxa" w:w="1644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  <w:shd w:val="clear" w:color="auto" w:fill="F5F9FA"/>
          </w:tcPr>
          <w:p>
            <w:pPr>
              <w:keepNext/>
              <w:spacing w:after="0" w:line="252" w:lineRule="auto"/>
            </w:pPr>
            <w:r>
              <w:rPr>
                <w:b/>
                <w:color w:val="055F56"/>
                <w:sz w:val="18"/>
              </w:rPr>
              <w:t>ROBINS-I</w:t>
            </w:r>
          </w:p>
        </w:tc>
        <w:tc>
          <w:tcPr>
            <w:tcW w:type="dxa" w:w="3969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  <w:shd w:val="clear" w:color="auto" w:fill="F5F9FA"/>
          </w:tcPr>
          <w:p>
            <w:pPr>
              <w:keepNext/>
              <w:spacing w:after="0" w:line="252" w:lineRule="auto"/>
            </w:pPr>
            <w:r>
              <w:rPr>
                <w:sz w:val="18"/>
              </w:rPr>
              <w:t>Confounding, selection of participants, classification of interventions, deviations, missing data, measurement and reporting — judged against an ideal “target trial”</w:t>
            </w:r>
          </w:p>
        </w:tc>
        <w:tc>
          <w:tcPr>
            <w:tcW w:type="dxa" w:w="1814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  <w:shd w:val="clear" w:color="auto" w:fill="F5F9FA"/>
          </w:tcPr>
          <w:p>
            <w:pPr>
              <w:keepNext/>
              <w:spacing w:after="0" w:line="252" w:lineRule="auto"/>
            </w:pPr>
            <w:r>
              <w:rPr>
                <w:sz w:val="18"/>
              </w:rPr>
              <w:t>Cochrane — riskofbias.info</w:t>
            </w:r>
          </w:p>
        </w:tc>
      </w:tr>
      <w:tr>
        <w:trPr>
          <w:cantSplit w:val="true"/>
        </w:trPr>
        <w:tc>
          <w:tcPr>
            <w:tcW w:type="dxa" w:w="1984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</w:tcPr>
          <w:p>
            <w:pPr>
              <w:keepNext/>
              <w:spacing w:after="0" w:line="252" w:lineRule="auto"/>
            </w:pPr>
            <w:r>
              <w:rPr>
                <w:b/>
                <w:color w:val="04242F"/>
                <w:sz w:val="18"/>
              </w:rPr>
              <w:t>Cohort and case-control (exposures)</w:t>
            </w:r>
          </w:p>
        </w:tc>
        <w:tc>
          <w:tcPr>
            <w:tcW w:type="dxa" w:w="1644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</w:tcPr>
          <w:p>
            <w:pPr>
              <w:keepNext/>
              <w:spacing w:after="0" w:line="252" w:lineRule="auto"/>
            </w:pPr>
            <w:r>
              <w:rPr>
                <w:b/>
                <w:color w:val="055F56"/>
                <w:sz w:val="18"/>
              </w:rPr>
              <w:t>Newcastle–Ottawa Scale</w:t>
            </w:r>
            <w:r>
              <w:rPr>
                <w:sz w:val="18"/>
              </w:rPr>
              <w:t xml:space="preserve"> or </w:t>
            </w:r>
            <w:r>
              <w:rPr>
                <w:b/>
                <w:color w:val="055F56"/>
                <w:sz w:val="18"/>
              </w:rPr>
              <w:t>ROBINS-E</w:t>
            </w:r>
          </w:p>
        </w:tc>
        <w:tc>
          <w:tcPr>
            <w:tcW w:type="dxa" w:w="3969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</w:tcPr>
          <w:p>
            <w:pPr>
              <w:keepNext/>
              <w:spacing w:after="0" w:line="252" w:lineRule="auto"/>
            </w:pPr>
            <w:r>
              <w:rPr>
                <w:sz w:val="18"/>
              </w:rPr>
              <w:t>NOS: stars for selection of groups, comparability (confounding) and outcome/exposure ascertainment. ROBINS-E: the ROBINS-I domains, for exposures</w:t>
            </w:r>
          </w:p>
        </w:tc>
        <w:tc>
          <w:tcPr>
            <w:tcW w:type="dxa" w:w="1814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</w:tcPr>
          <w:p>
            <w:pPr>
              <w:keepNext/>
              <w:spacing w:after="0" w:line="252" w:lineRule="auto"/>
            </w:pPr>
            <w:r>
              <w:rPr>
                <w:sz w:val="18"/>
              </w:rPr>
              <w:t>Ottawa Hospital Research Institute — ohri.ca; riskofbias.info</w:t>
            </w:r>
          </w:p>
        </w:tc>
      </w:tr>
      <w:tr>
        <w:trPr>
          <w:cantSplit w:val="true"/>
        </w:trPr>
        <w:tc>
          <w:tcPr>
            <w:tcW w:type="dxa" w:w="1984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  <w:shd w:val="clear" w:color="auto" w:fill="F5F9FA"/>
          </w:tcPr>
          <w:p>
            <w:pPr>
              <w:keepNext/>
              <w:spacing w:after="0" w:line="252" w:lineRule="auto"/>
            </w:pPr>
            <w:r>
              <w:rPr>
                <w:b/>
                <w:color w:val="04242F"/>
                <w:sz w:val="18"/>
              </w:rPr>
              <w:t>Diagnostic accuracy study</w:t>
            </w:r>
          </w:p>
        </w:tc>
        <w:tc>
          <w:tcPr>
            <w:tcW w:type="dxa" w:w="1644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  <w:shd w:val="clear" w:color="auto" w:fill="F5F9FA"/>
          </w:tcPr>
          <w:p>
            <w:pPr>
              <w:keepNext/>
              <w:spacing w:after="0" w:line="252" w:lineRule="auto"/>
            </w:pPr>
            <w:r>
              <w:rPr>
                <w:b/>
                <w:color w:val="055F56"/>
                <w:sz w:val="18"/>
              </w:rPr>
              <w:t>QUADAS-2</w:t>
            </w:r>
          </w:p>
        </w:tc>
        <w:tc>
          <w:tcPr>
            <w:tcW w:type="dxa" w:w="3969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  <w:shd w:val="clear" w:color="auto" w:fill="F5F9FA"/>
          </w:tcPr>
          <w:p>
            <w:pPr>
              <w:keepNext/>
              <w:spacing w:after="0" w:line="252" w:lineRule="auto"/>
            </w:pPr>
            <w:r>
              <w:rPr>
                <w:sz w:val="18"/>
              </w:rPr>
              <w:t>Patient selection, index test, reference standard, flow and timing — risk of bias AND applicability</w:t>
            </w:r>
          </w:p>
        </w:tc>
        <w:tc>
          <w:tcPr>
            <w:tcW w:type="dxa" w:w="1814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  <w:shd w:val="clear" w:color="auto" w:fill="F5F9FA"/>
          </w:tcPr>
          <w:p>
            <w:pPr>
              <w:keepNext/>
              <w:spacing w:after="0" w:line="252" w:lineRule="auto"/>
            </w:pPr>
            <w:r>
              <w:rPr>
                <w:sz w:val="18"/>
              </w:rPr>
              <w:t>University of Bristol — bristol.ac.uk (QUADAS)</w:t>
            </w:r>
          </w:p>
        </w:tc>
      </w:tr>
      <w:tr>
        <w:trPr>
          <w:cantSplit w:val="true"/>
        </w:trPr>
        <w:tc>
          <w:tcPr>
            <w:tcW w:type="dxa" w:w="1984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</w:tcPr>
          <w:p>
            <w:pPr>
              <w:keepNext/>
              <w:spacing w:after="0" w:line="252" w:lineRule="auto"/>
            </w:pPr>
            <w:r>
              <w:rPr>
                <w:b/>
                <w:color w:val="04242F"/>
                <w:sz w:val="18"/>
              </w:rPr>
              <w:t>Systematic review / meta-analysis</w:t>
            </w:r>
          </w:p>
        </w:tc>
        <w:tc>
          <w:tcPr>
            <w:tcW w:type="dxa" w:w="1644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</w:tcPr>
          <w:p>
            <w:pPr>
              <w:keepNext/>
              <w:spacing w:after="0" w:line="252" w:lineRule="auto"/>
            </w:pPr>
            <w:r>
              <w:rPr>
                <w:b/>
                <w:color w:val="055F56"/>
                <w:sz w:val="18"/>
              </w:rPr>
              <w:t>AMSTAR 2</w:t>
            </w:r>
          </w:p>
        </w:tc>
        <w:tc>
          <w:tcPr>
            <w:tcW w:type="dxa" w:w="3969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</w:tcPr>
          <w:p>
            <w:pPr>
              <w:keepNext/>
              <w:spacing w:after="0" w:line="252" w:lineRule="auto"/>
            </w:pPr>
            <w:r>
              <w:rPr>
                <w:sz w:val="18"/>
              </w:rPr>
              <w:t>16 items: protocol registered in advance, comprehensive search, risk-of-bias assessment of included studies, appropriate meta-analysis, publication bias</w:t>
            </w:r>
          </w:p>
        </w:tc>
        <w:tc>
          <w:tcPr>
            <w:tcW w:type="dxa" w:w="1814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</w:tcPr>
          <w:p>
            <w:pPr>
              <w:keepNext/>
              <w:spacing w:after="0" w:line="252" w:lineRule="auto"/>
            </w:pPr>
            <w:r>
              <w:rPr>
                <w:sz w:val="18"/>
              </w:rPr>
              <w:t>amstar.ca</w:t>
            </w:r>
          </w:p>
        </w:tc>
      </w:tr>
      <w:tr>
        <w:trPr>
          <w:cantSplit w:val="true"/>
        </w:trPr>
        <w:tc>
          <w:tcPr>
            <w:tcW w:type="dxa" w:w="1984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  <w:shd w:val="clear" w:color="auto" w:fill="F5F9FA"/>
          </w:tcPr>
          <w:p>
            <w:pPr>
              <w:spacing w:after="0" w:line="252" w:lineRule="auto"/>
            </w:pPr>
            <w:r>
              <w:rPr>
                <w:b/>
                <w:color w:val="04242F"/>
                <w:sz w:val="18"/>
              </w:rPr>
              <w:t>Qualitative study</w:t>
            </w:r>
          </w:p>
        </w:tc>
        <w:tc>
          <w:tcPr>
            <w:tcW w:type="dxa" w:w="1644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  <w:shd w:val="clear" w:color="auto" w:fill="F5F9FA"/>
          </w:tcPr>
          <w:p>
            <w:pPr>
              <w:spacing w:after="0" w:line="252" w:lineRule="auto"/>
            </w:pPr>
            <w:r>
              <w:rPr>
                <w:b/>
                <w:color w:val="055F56"/>
                <w:sz w:val="18"/>
              </w:rPr>
              <w:t>CASP Qualitative Checklist</w:t>
            </w:r>
          </w:p>
        </w:tc>
        <w:tc>
          <w:tcPr>
            <w:tcW w:type="dxa" w:w="3969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  <w:shd w:val="clear" w:color="auto" w:fill="F5F9FA"/>
          </w:tcPr>
          <w:p>
            <w:pPr>
              <w:spacing w:after="0" w:line="252" w:lineRule="auto"/>
            </w:pPr>
            <w:r>
              <w:rPr>
                <w:sz w:val="18"/>
              </w:rPr>
              <w:t>10 questions: clear aims, appropriate method and design, recruitment, data collection, researcher relationship (reflexivity), ethics, rigour of analysis, findings, value</w:t>
            </w:r>
          </w:p>
        </w:tc>
        <w:tc>
          <w:tcPr>
            <w:tcW w:type="dxa" w:w="1814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  <w:shd w:val="clear" w:color="auto" w:fill="F5F9FA"/>
          </w:tcPr>
          <w:p>
            <w:pPr>
              <w:spacing w:after="0" w:line="252" w:lineRule="auto"/>
            </w:pPr>
            <w:r>
              <w:rPr>
                <w:sz w:val="18"/>
              </w:rPr>
              <w:t>Critical Appraisal Skills Programme — casp-uk.net</w:t>
            </w:r>
          </w:p>
        </w:tc>
      </w:tr>
    </w:tbl>
    <w:p>
      <w:pPr>
        <w:spacing w:after="0" w:line="120" w:lineRule="exact"/>
      </w:pPr>
    </w:p>
    <w:p>
      <w:pPr>
        <w:pStyle w:val="NeudataSmall"/>
      </w:pPr>
      <w:r>
        <w:t>Other designs: prediction models → PROBAST; cross-sectional and case series → JBI critical appraisal checklists (jbi.global). All tools above are free to download; check the source for the latest version and its guidance document.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74" w:right="1247" w:bottom="1247" w:left="1247" w:header="567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411" w:val="right"/>
      </w:tabs>
    </w:pPr>
    <w:r>
      <w:rPr>
        <w:color w:val="8A99A3"/>
        <w:sz w:val="16"/>
      </w:rPr>
      <w:t xml:space="preserve">Foundations of Clinical Research  ·  Neudata Consulting Ltd · </w:t>
    </w:r>
    <w:r>
      <w:rPr>
        <w:i/>
        <w:color w:val="8A99A3"/>
        <w:sz w:val="16"/>
      </w:rPr>
      <w:t>Insight. Impact. Innovation.</w:t>
    </w:r>
    <w:r>
      <w:tab/>
    </w:r>
    <w:r>
      <w:rPr>
        <w:color w:val="8A99A3"/>
        <w:sz w:val="16"/>
      </w:rPr>
      <w:t xml:space="preserve">Page </w:t>
    </w:r>
    <w:r>
      <w:rPr>
        <w:color w:val="8A99A3"/>
        <w:sz w:val="16"/>
      </w:rPr>
      <w:fldChar w:fldCharType="begin"/>
      <w:instrText xml:space="preserve"> PAGE </w:instrText>
      <w:fldChar w:fldCharType="separate"/>
      <w:t>1</w:t>
      <w:fldChar w:fldCharType="end"/>
    </w:r>
    <w:r>
      <w:rPr>
        <w:color w:val="8A99A3"/>
        <w:sz w:val="16"/>
      </w:rPr>
      <w:t xml:space="preserve"> of </w:t>
    </w:r>
    <w:r>
      <w:rPr>
        <w:color w:val="8A99A3"/>
        <w:sz w:val="16"/>
      </w:rPr>
      <w:fldChar w:fldCharType="begin"/>
      <w:instrText xml:space="preserve"> NUMPAGES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6" w:space="4" w:color="055F56"/>
      </w:pBdr>
      <w:tabs>
        <w:tab w:pos="9411" w:val="right"/>
      </w:tabs>
    </w:pPr>
    <w:r>
      <w:rPr>
        <w:color w:val="04242F"/>
        <w:sz w:val="16"/>
      </w:rPr>
      <w:t>Risk-of-bias tool chooser</w:t>
    </w:r>
    <w:r>
      <w:tab/>
      <w:drawing>
        <wp:inline xmlns:a="http://schemas.openxmlformats.org/drawingml/2006/main" xmlns:pic="http://schemas.openxmlformats.org/drawingml/2006/picture">
          <wp:extent cx="493269" cy="3420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neudata-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493269" cy="342000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rial" w:hAnsi="Arial" w:cs="Arial" w:eastAsia="Arial"/>
      <w:color w:val="1F2D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spacing w:after="0" w:line="240" w:lineRule="auto"/>
    </w:pPr>
    <w:rPr>
      <w:rFonts w:ascii="Arial" w:hAnsi="Arial" w:cs="Arial" w:eastAsia="Arial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spacing w:after="0" w:line="240" w:lineRule="auto"/>
    </w:pPr>
    <w:rPr>
      <w:rFonts w:ascii="Arial" w:hAnsi="Arial" w:cs="Arial" w:eastAsia="Arial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pBdr>
        <w:bottom w:val="single" w:sz="10" w:space="4" w:color="055F56"/>
      </w:pBdr>
      <w:spacing w:before="320" w:after="100"/>
      <w:outlineLvl w:val="0"/>
    </w:pPr>
    <w:rPr>
      <w:rFonts w:ascii="Century Gothic" w:hAnsi="Century Gothic" w:cs="Century Gothic" w:eastAsia="Century Gothic"/>
      <w:b/>
      <w:bCs/>
      <w:i w:val="0"/>
      <w:color w:val="04242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00"/>
      <w:outlineLvl w:val="1"/>
    </w:pPr>
    <w:rPr>
      <w:rFonts w:ascii="Century Gothic" w:hAnsi="Century Gothic" w:cs="Century Gothic" w:eastAsia="Century Gothic"/>
      <w:b/>
      <w:bCs/>
      <w:i w:val="0"/>
      <w:color w:val="0B376C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00"/>
      <w:outlineLvl w:val="2"/>
    </w:pPr>
    <w:rPr>
      <w:rFonts w:ascii="Century Gothic" w:hAnsi="Century Gothic" w:cs="Century Gothic" w:eastAsia="Century Gothic"/>
      <w:b/>
      <w:bCs/>
      <w:i w:val="0"/>
      <w:color w:val="055F56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80" w:line="240" w:lineRule="auto"/>
      <w:contextualSpacing/>
    </w:pPr>
    <w:rPr>
      <w:rFonts w:ascii="Century Gothic" w:hAnsi="Century Gothic" w:cs="Century Gothic" w:eastAsia="Century Gothic"/>
      <w:b/>
      <w:color w:val="04242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60"/>
    </w:pPr>
    <w:rPr>
      <w:rFonts w:ascii="Century Gothic" w:hAnsi="Century Gothic" w:cs="Century Gothic" w:eastAsia="Century Gothic"/>
      <w:b w:val="0"/>
      <w:i w:val="0"/>
      <w:iCs/>
      <w:color w:val="055F56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40"/>
      <w:contextualSpacing/>
    </w:pPr>
    <w:rPr>
      <w:rFonts w:ascii="Arial" w:hAnsi="Arial" w:cs="Arial" w:eastAsia="Arial"/>
      <w:color w:val="1F2D33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40"/>
      <w:contextualSpacing/>
    </w:pPr>
    <w:rPr>
      <w:rFonts w:ascii="Arial" w:hAnsi="Arial" w:cs="Arial" w:eastAsia="Arial"/>
      <w:color w:val="1F2D33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Arial" w:hAnsi="Arial" w:cs="Arial" w:eastAsia="Arial"/>
      <w:b w:val="0"/>
      <w:bCs/>
      <w:i/>
      <w:color w:val="04242F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KeyFindings">
    <w:name w:val="Key Findings"/>
    <w:basedOn w:val="Normal"/>
    <w:pPr>
      <w:pBdr>
        <w:left w:val="single" w:sz="30" w:space="8" w:color="055F56"/>
      </w:pBdr>
      <w:shd w:val="clear" w:color="auto" w:fill="EAF2F5"/>
      <w:ind w:left="198"/>
    </w:pPr>
    <w:rPr>
      <w:rFonts w:ascii="Arial" w:hAnsi="Arial" w:cs="Arial" w:eastAsia="Arial"/>
      <w:color w:val="04242F"/>
      <w:sz w:val="21"/>
    </w:rPr>
  </w:style>
  <w:style w:type="paragraph" w:customStyle="1" w:styleId="Guidance">
    <w:name w:val="Guidance"/>
    <w:basedOn w:val="Normal"/>
    <w:pPr>
      <w:keepNext/>
      <w:spacing w:after="80"/>
    </w:pPr>
    <w:rPr>
      <w:rFonts w:ascii="Arial" w:hAnsi="Arial" w:cs="Arial" w:eastAsia="Arial"/>
      <w:i/>
      <w:color w:val="6B7B84"/>
      <w:sz w:val="19"/>
    </w:rPr>
  </w:style>
  <w:style w:type="paragraph" w:customStyle="1" w:styleId="Example">
    <w:name w:val="Example"/>
    <w:basedOn w:val="Normal"/>
    <w:pPr>
      <w:pBdr>
        <w:left w:val="single" w:sz="24" w:space="8" w:color="9FD3CB"/>
      </w:pBdr>
      <w:shd w:val="clear" w:color="auto" w:fill="F3F8F7"/>
      <w:spacing w:after="120"/>
      <w:ind w:left="198"/>
    </w:pPr>
    <w:rPr>
      <w:rFonts w:ascii="Arial" w:hAnsi="Arial" w:cs="Arial" w:eastAsia="Arial"/>
      <w:i/>
      <w:color w:val="6B7B84"/>
      <w:sz w:val="19"/>
    </w:rPr>
  </w:style>
  <w:style w:type="paragraph" w:customStyle="1" w:styleId="NeudataSmall">
    <w:name w:val="Neudata Small"/>
    <w:basedOn w:val="Normal"/>
    <w:pPr>
      <w:spacing w:after="0"/>
    </w:pPr>
    <w:rPr>
      <w:rFonts w:ascii="Arial" w:hAnsi="Arial" w:cs="Arial" w:eastAsia="Arial"/>
      <w:color w:val="8A99A3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Risk-of-bias tool chooser</dc:title>
  <dc:subject>Design-to-tool table</dc:subject>
  <dc:creator>Neudata Consulting Ltd</dc:creator>
  <cp:keywords/>
  <dc:description>Generated by Course/Templates/build_documents.py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