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Sample ethics application</w:t>
      </w:r>
    </w:p>
    <w:p>
      <w:pPr>
        <w:pStyle w:val="Subtitle"/>
      </w:pPr>
      <w:r>
        <w:t>A completed example for a simple observational study</w:t>
      </w:r>
    </w:p>
    <w:p>
      <w:pPr>
        <w:pStyle w:val="NeudataSmall"/>
        <w:spacing w:after="160"/>
      </w:pPr>
      <w:r>
        <w:t>Foundations of Clinical Research</w:t>
      </w:r>
      <w:r>
        <w:t xml:space="preserve">  ·  Session 7 (7.1; proposal Part 4)</w:t>
      </w:r>
    </w:p>
    <w:tbl>
      <w:tblPr>
        <w:tblW w:type="auto" w:w="0"/>
        <w:jc w:val="center"/>
        <w:tblLayout w:type="fixed"/>
        <w:tblCellMar>
          <w:top w:w="90" w:type="dxa"/>
          <w:left w:w="160" w:type="dxa"/>
          <w:bottom w:w="90" w:type="dxa"/>
          <w:right w:w="160" w:type="dxa"/>
        </w:tblCellMar>
        <w:tblLook w:firstColumn="1" w:firstRow="1" w:lastColumn="0" w:lastRow="0" w:noHBand="0" w:noVBand="1" w:val="04A0"/>
      </w:tblPr>
      <w:tblGrid>
        <w:gridCol w:w="9412"/>
      </w:tblGrid>
      <w:tr>
        <w:tc>
          <w:tcPr>
            <w:tcW w:type="dxa" w:w="9411"/>
            <w:tcBorders>
              <w:top w:val="single" w:sz="12" w:color="B03A2E"/>
              <w:left w:val="single" w:sz="12" w:color="B03A2E"/>
              <w:bottom w:val="single" w:sz="12" w:color="B03A2E"/>
              <w:right w:val="single" w:sz="12" w:color="B03A2E"/>
            </w:tcBorders>
            <w:shd w:val="clear" w:color="auto" w:fill="FCEDEA"/>
          </w:tcPr>
          <w:p>
            <w:pPr>
              <w:spacing w:after="40"/>
              <w:jc w:val="center"/>
            </w:pPr>
            <w:r>
              <w:rPr>
                <w:rFonts w:ascii="Century Gothic" w:hAnsi="Century Gothic" w:cs="Century Gothic" w:eastAsia="Century Gothic"/>
                <w:b/>
                <w:color w:val="B03A2E"/>
                <w:sz w:val="26"/>
              </w:rPr>
              <w:t>FICTIONAL EXAMPLE FOR TRAINING</w:t>
            </w:r>
          </w:p>
          <w:p>
            <w:pPr>
              <w:spacing w:after="0"/>
              <w:jc w:val="center"/>
            </w:pPr>
            <w:r>
              <w:rPr>
                <w:color w:val="7A2A22"/>
                <w:sz w:val="18"/>
              </w:rPr>
              <w:t>This application is invented for teaching. The study, people, numbers and approval do not exist. Forms differ between committees: use your own committee’s form, and use this example only to see what clear, complete answers look like.</w:t>
            </w:r>
          </w:p>
        </w:tc>
      </w:tr>
    </w:tbl>
    <w:p>
      <w:pPr>
        <w:spacing w:after="0" w:line="120" w:lineRule="exact"/>
      </w:pPr>
    </w:p>
    <w:p>
      <w:pPr>
        <w:pStyle w:val="Heading1"/>
      </w:pPr>
      <w:r>
        <w:t>Section A  Study identification</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2381"/>
        <w:gridCol w:w="7030"/>
      </w:tblGrid>
      <w:tr>
        <w:trPr>
          <w:cantSplit w:val="true"/>
          <w:tblHeader w:val="true"/>
        </w:trPr>
        <w:tc>
          <w:tcPr>
            <w:tcW w:type="dxa" w:w="2381"/>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Item</w:t>
            </w:r>
          </w:p>
        </w:tc>
        <w:tc>
          <w:tcPr>
            <w:tcW w:type="dxa" w:w="7030"/>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Answer</w:t>
            </w:r>
          </w:p>
        </w:tc>
      </w:tr>
      <w:tr>
        <w:trPr>
          <w:cantSplit w:val="true"/>
        </w:trPr>
        <w:tc>
          <w:tcPr>
            <w:tcW w:type="dxa" w:w="2381"/>
            <w:tcBorders>
              <w:top w:val="single" w:sz="4" w:color="D5DDE1"/>
              <w:left w:val="single" w:sz="4" w:color="D5DDE1"/>
              <w:bottom w:val="single" w:sz="4" w:color="D5DDE1"/>
              <w:right w:val="single" w:sz="4" w:color="D5DDE1"/>
            </w:tcBorders>
          </w:tcPr>
          <w:p>
            <w:pPr>
              <w:spacing w:after="0" w:line="252" w:lineRule="auto"/>
            </w:pPr>
            <w:r>
              <w:rPr>
                <w:b/>
                <w:color w:val="04242F"/>
                <w:sz w:val="19"/>
              </w:rPr>
              <w:t>Full title</w:t>
            </w:r>
          </w:p>
        </w:tc>
        <w:tc>
          <w:tcPr>
            <w:tcW w:type="dxa" w:w="7030"/>
            <w:tcBorders>
              <w:top w:val="single" w:sz="4" w:color="D5DDE1"/>
              <w:left w:val="single" w:sz="4" w:color="D5DDE1"/>
              <w:bottom w:val="single" w:sz="4" w:color="D5DDE1"/>
              <w:right w:val="single" w:sz="4" w:color="D5DDE1"/>
            </w:tcBorders>
          </w:tcPr>
          <w:p>
            <w:pPr>
              <w:spacing w:after="0" w:line="252" w:lineRule="auto"/>
            </w:pPr>
            <w:r>
              <w:rPr>
                <w:sz w:val="19"/>
              </w:rPr>
              <w:t>Cumulative fluid balance in the first five ICU days and 28-day mortality in adults with sepsis or septic shock: a prospective cohort study at [Institution]</w:t>
            </w:r>
          </w:p>
        </w:tc>
      </w:tr>
      <w:tr>
        <w:trPr>
          <w:cantSplit w:val="true"/>
        </w:trPr>
        <w:tc>
          <w:tcPr>
            <w:tcW w:type="dxa" w:w="2381"/>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Short title</w:t>
            </w:r>
          </w:p>
        </w:tc>
        <w:tc>
          <w:tcPr>
            <w:tcW w:type="dxa" w:w="7030"/>
            <w:tcBorders>
              <w:top w:val="single" w:sz="4" w:color="D5DDE1"/>
              <w:left w:val="single" w:sz="4" w:color="D5DDE1"/>
              <w:bottom w:val="single" w:sz="4" w:color="D5DDE1"/>
              <w:right w:val="single" w:sz="4" w:color="D5DDE1"/>
            </w:tcBorders>
            <w:shd w:val="clear" w:color="auto" w:fill="F5F9FA"/>
          </w:tcPr>
          <w:p>
            <w:pPr>
              <w:spacing w:after="0" w:line="252" w:lineRule="auto"/>
            </w:pPr>
            <w:r>
              <w:rPr>
                <w:sz w:val="19"/>
              </w:rPr>
              <w:t>FLUID-BAL</w:t>
            </w:r>
          </w:p>
        </w:tc>
      </w:tr>
      <w:tr>
        <w:trPr>
          <w:cantSplit w:val="true"/>
        </w:trPr>
        <w:tc>
          <w:tcPr>
            <w:tcW w:type="dxa" w:w="2381"/>
            <w:tcBorders>
              <w:top w:val="single" w:sz="4" w:color="D5DDE1"/>
              <w:left w:val="single" w:sz="4" w:color="D5DDE1"/>
              <w:bottom w:val="single" w:sz="4" w:color="D5DDE1"/>
              <w:right w:val="single" w:sz="4" w:color="D5DDE1"/>
            </w:tcBorders>
          </w:tcPr>
          <w:p>
            <w:pPr>
              <w:spacing w:after="0" w:line="252" w:lineRule="auto"/>
            </w:pPr>
            <w:r>
              <w:rPr>
                <w:b/>
                <w:color w:val="04242F"/>
                <w:sz w:val="19"/>
              </w:rPr>
              <w:t>Protocol version</w:t>
            </w:r>
          </w:p>
        </w:tc>
        <w:tc>
          <w:tcPr>
            <w:tcW w:type="dxa" w:w="7030"/>
            <w:tcBorders>
              <w:top w:val="single" w:sz="4" w:color="D5DDE1"/>
              <w:left w:val="single" w:sz="4" w:color="D5DDE1"/>
              <w:bottom w:val="single" w:sz="4" w:color="D5DDE1"/>
              <w:right w:val="single" w:sz="4" w:color="D5DDE1"/>
            </w:tcBorders>
          </w:tcPr>
          <w:p>
            <w:pPr>
              <w:spacing w:after="0" w:line="252" w:lineRule="auto"/>
            </w:pPr>
            <w:r>
              <w:rPr>
                <w:sz w:val="19"/>
              </w:rPr>
              <w:t>Version 1.0, [DD/MM/YYYY]</w:t>
            </w:r>
          </w:p>
        </w:tc>
      </w:tr>
      <w:tr>
        <w:trPr>
          <w:cantSplit w:val="true"/>
        </w:trPr>
        <w:tc>
          <w:tcPr>
            <w:tcW w:type="dxa" w:w="2381"/>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Type of study</w:t>
            </w:r>
          </w:p>
        </w:tc>
        <w:tc>
          <w:tcPr>
            <w:tcW w:type="dxa" w:w="7030"/>
            <w:tcBorders>
              <w:top w:val="single" w:sz="4" w:color="D5DDE1"/>
              <w:left w:val="single" w:sz="4" w:color="D5DDE1"/>
              <w:bottom w:val="single" w:sz="4" w:color="D5DDE1"/>
              <w:right w:val="single" w:sz="4" w:color="D5DDE1"/>
            </w:tcBorders>
            <w:shd w:val="clear" w:color="auto" w:fill="F5F9FA"/>
          </w:tcPr>
          <w:p>
            <w:pPr>
              <w:spacing w:after="0" w:line="252" w:lineRule="auto"/>
            </w:pPr>
            <w:r>
              <w:rPr>
                <w:sz w:val="19"/>
              </w:rPr>
              <w:t>Prospective observational cohort. No intervention; treatment is decided by the clinical team as usual. Minimal risk.</w:t>
            </w:r>
          </w:p>
        </w:tc>
      </w:tr>
      <w:tr>
        <w:trPr>
          <w:cantSplit w:val="true"/>
        </w:trPr>
        <w:tc>
          <w:tcPr>
            <w:tcW w:type="dxa" w:w="2381"/>
            <w:tcBorders>
              <w:top w:val="single" w:sz="4" w:color="D5DDE1"/>
              <w:left w:val="single" w:sz="4" w:color="D5DDE1"/>
              <w:bottom w:val="single" w:sz="4" w:color="D5DDE1"/>
              <w:right w:val="single" w:sz="4" w:color="D5DDE1"/>
            </w:tcBorders>
          </w:tcPr>
          <w:p>
            <w:pPr>
              <w:spacing w:after="0" w:line="252" w:lineRule="auto"/>
            </w:pPr>
            <w:r>
              <w:rPr>
                <w:b/>
                <w:color w:val="04242F"/>
                <w:sz w:val="19"/>
              </w:rPr>
              <w:t>Principal investigator</w:t>
            </w:r>
          </w:p>
        </w:tc>
        <w:tc>
          <w:tcPr>
            <w:tcW w:type="dxa" w:w="7030"/>
            <w:tcBorders>
              <w:top w:val="single" w:sz="4" w:color="D5DDE1"/>
              <w:left w:val="single" w:sz="4" w:color="D5DDE1"/>
              <w:bottom w:val="single" w:sz="4" w:color="D5DDE1"/>
              <w:right w:val="single" w:sz="4" w:color="D5DDE1"/>
            </w:tcBorders>
          </w:tcPr>
          <w:p>
            <w:pPr>
              <w:spacing w:after="0" w:line="252" w:lineRule="auto"/>
            </w:pPr>
            <w:r>
              <w:rPr>
                <w:sz w:val="19"/>
              </w:rPr>
              <w:t>[Name], consultant intensivist, Department of Intensive Care, [Institution]</w:t>
            </w:r>
          </w:p>
        </w:tc>
      </w:tr>
      <w:tr>
        <w:trPr>
          <w:cantSplit w:val="true"/>
        </w:trPr>
        <w:tc>
          <w:tcPr>
            <w:tcW w:type="dxa" w:w="2381"/>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Co-investigators</w:t>
            </w:r>
          </w:p>
        </w:tc>
        <w:tc>
          <w:tcPr>
            <w:tcW w:type="dxa" w:w="7030"/>
            <w:tcBorders>
              <w:top w:val="single" w:sz="4" w:color="D5DDE1"/>
              <w:left w:val="single" w:sz="4" w:color="D5DDE1"/>
              <w:bottom w:val="single" w:sz="4" w:color="D5DDE1"/>
              <w:right w:val="single" w:sz="4" w:color="D5DDE1"/>
            </w:tcBorders>
            <w:shd w:val="clear" w:color="auto" w:fill="F5F9FA"/>
          </w:tcPr>
          <w:p>
            <w:pPr>
              <w:spacing w:after="0" w:line="252" w:lineRule="auto"/>
            </w:pPr>
            <w:r>
              <w:rPr>
                <w:sz w:val="19"/>
              </w:rPr>
              <w:t>[Name], ICU nurse manager (data collection lead); [Name], clinical pharmacist (fluid prescriptions); [Name], biostatistician, [Institution] research office</w:t>
            </w:r>
          </w:p>
        </w:tc>
      </w:tr>
      <w:tr>
        <w:trPr>
          <w:cantSplit w:val="true"/>
        </w:trPr>
        <w:tc>
          <w:tcPr>
            <w:tcW w:type="dxa" w:w="2381"/>
            <w:tcBorders>
              <w:top w:val="single" w:sz="4" w:color="D5DDE1"/>
              <w:left w:val="single" w:sz="4" w:color="D5DDE1"/>
              <w:bottom w:val="single" w:sz="4" w:color="D5DDE1"/>
              <w:right w:val="single" w:sz="4" w:color="D5DDE1"/>
            </w:tcBorders>
          </w:tcPr>
          <w:p>
            <w:pPr>
              <w:spacing w:after="0" w:line="252" w:lineRule="auto"/>
            </w:pPr>
            <w:r>
              <w:rPr>
                <w:b/>
                <w:color w:val="04242F"/>
                <w:sz w:val="19"/>
              </w:rPr>
              <w:t>Site</w:t>
            </w:r>
          </w:p>
        </w:tc>
        <w:tc>
          <w:tcPr>
            <w:tcW w:type="dxa" w:w="7030"/>
            <w:tcBorders>
              <w:top w:val="single" w:sz="4" w:color="D5DDE1"/>
              <w:left w:val="single" w:sz="4" w:color="D5DDE1"/>
              <w:bottom w:val="single" w:sz="4" w:color="D5DDE1"/>
              <w:right w:val="single" w:sz="4" w:color="D5DDE1"/>
            </w:tcBorders>
          </w:tcPr>
          <w:p>
            <w:pPr>
              <w:spacing w:after="0" w:line="252" w:lineRule="auto"/>
            </w:pPr>
            <w:r>
              <w:rPr>
                <w:sz w:val="19"/>
              </w:rPr>
              <w:t>One site: the 20-bed adult ICU of [Institution]</w:t>
            </w:r>
          </w:p>
        </w:tc>
      </w:tr>
      <w:tr>
        <w:trPr>
          <w:cantSplit w:val="true"/>
        </w:trPr>
        <w:tc>
          <w:tcPr>
            <w:tcW w:type="dxa" w:w="2381"/>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Duration</w:t>
            </w:r>
          </w:p>
        </w:tc>
        <w:tc>
          <w:tcPr>
            <w:tcW w:type="dxa" w:w="7030"/>
            <w:tcBorders>
              <w:top w:val="single" w:sz="4" w:color="D5DDE1"/>
              <w:left w:val="single" w:sz="4" w:color="D5DDE1"/>
              <w:bottom w:val="single" w:sz="4" w:color="D5DDE1"/>
              <w:right w:val="single" w:sz="4" w:color="D5DDE1"/>
            </w:tcBorders>
            <w:shd w:val="clear" w:color="auto" w:fill="F5F9FA"/>
          </w:tcPr>
          <w:p>
            <w:pPr>
              <w:spacing w:after="0" w:line="252" w:lineRule="auto"/>
            </w:pPr>
            <w:r>
              <w:rPr>
                <w:sz w:val="19"/>
              </w:rPr>
              <w:t>24 months: 18 months recruitment and follow-up, 6 months analysis and reporting</w:t>
            </w:r>
          </w:p>
        </w:tc>
      </w:tr>
      <w:tr>
        <w:trPr>
          <w:cantSplit w:val="true"/>
        </w:trPr>
        <w:tc>
          <w:tcPr>
            <w:tcW w:type="dxa" w:w="2381"/>
            <w:tcBorders>
              <w:top w:val="single" w:sz="4" w:color="D5DDE1"/>
              <w:left w:val="single" w:sz="4" w:color="D5DDE1"/>
              <w:bottom w:val="single" w:sz="4" w:color="D5DDE1"/>
              <w:right w:val="single" w:sz="4" w:color="D5DDE1"/>
            </w:tcBorders>
          </w:tcPr>
          <w:p>
            <w:pPr>
              <w:spacing w:after="0" w:line="252" w:lineRule="auto"/>
            </w:pPr>
            <w:r>
              <w:rPr>
                <w:b/>
                <w:color w:val="04242F"/>
                <w:sz w:val="19"/>
              </w:rPr>
              <w:t>Funding</w:t>
            </w:r>
          </w:p>
        </w:tc>
        <w:tc>
          <w:tcPr>
            <w:tcW w:type="dxa" w:w="7030"/>
            <w:tcBorders>
              <w:top w:val="single" w:sz="4" w:color="D5DDE1"/>
              <w:left w:val="single" w:sz="4" w:color="D5DDE1"/>
              <w:bottom w:val="single" w:sz="4" w:color="D5DDE1"/>
              <w:right w:val="single" w:sz="4" w:color="D5DDE1"/>
            </w:tcBorders>
          </w:tcPr>
          <w:p>
            <w:pPr>
              <w:spacing w:after="0" w:line="252" w:lineRule="auto"/>
            </w:pPr>
            <w:r>
              <w:rPr>
                <w:sz w:val="19"/>
              </w:rPr>
              <w:t>[Institution] small research grant (applied for); no commercial funding</w:t>
            </w:r>
          </w:p>
        </w:tc>
      </w:tr>
      <w:tr>
        <w:trPr>
          <w:cantSplit w:val="true"/>
        </w:trPr>
        <w:tc>
          <w:tcPr>
            <w:tcW w:type="dxa" w:w="2381"/>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Registration</w:t>
            </w:r>
          </w:p>
        </w:tc>
        <w:tc>
          <w:tcPr>
            <w:tcW w:type="dxa" w:w="7030"/>
            <w:tcBorders>
              <w:top w:val="single" w:sz="4" w:color="D5DDE1"/>
              <w:left w:val="single" w:sz="4" w:color="D5DDE1"/>
              <w:bottom w:val="single" w:sz="4" w:color="D5DDE1"/>
              <w:right w:val="single" w:sz="4" w:color="D5DDE1"/>
            </w:tcBorders>
            <w:shd w:val="clear" w:color="auto" w:fill="F5F9FA"/>
          </w:tcPr>
          <w:p>
            <w:pPr>
              <w:spacing w:after="0" w:line="252" w:lineRule="auto"/>
            </w:pPr>
            <w:r>
              <w:rPr>
                <w:sz w:val="19"/>
              </w:rPr>
              <w:t>Will be registered on a public observational-study registry before the first patient</w:t>
            </w:r>
          </w:p>
        </w:tc>
      </w:tr>
    </w:tbl>
    <w:p>
      <w:pPr>
        <w:pStyle w:val="Heading1"/>
      </w:pPr>
      <w:r>
        <w:t>Section B  Lay summary</w:t>
      </w:r>
    </w:p>
    <w:p>
      <w:r>
        <w:t>When people have a severe infection (sepsis), doctors give fluid through a drip to support blood pressure. Some of this fluid stays in the body. Earlier studies suggest that patients who build up a lot of extra fluid are more likely to die, but we do not know whether this is because of the fluid itself or because these patients were sicker to begin with. In this study we will record, every day for the first five days, how much fluid goes into and out of the body of adults admitted to our intensive care unit with sepsis. We will then see whether patients with more extra fluid are more likely to die within 28 days, after taking into account how ill they were on admission. We will not change any treatment, take any extra blood or ask patients to do anything. All information will come from the medical records and will be stored under a study number, not a name. The results will help us decide whether a trial of giving less fluid is needed and possible.</w:t>
      </w:r>
    </w:p>
    <w:p>
      <w:pPr>
        <w:pStyle w:val="Example"/>
      </w:pPr>
      <w:r>
        <w:rPr>
          <w:b/>
          <w:i w:val="0"/>
          <w:color w:val="055F56"/>
        </w:rPr>
        <w:t xml:space="preserve">Why this is a good answer: </w:t>
      </w:r>
      <w:r>
        <w:rPr>
          <w:i/>
        </w:rPr>
        <w:t>About 200 words, no jargon, says what will and will NOT happen to patients, and why the study matters. A committee lay member should understand it at first reading.</w:t>
      </w:r>
    </w:p>
    <w:p>
      <w:pPr>
        <w:pStyle w:val="Heading1"/>
      </w:pPr>
      <w:r>
        <w:t>Section C  Background and rationale</w:t>
      </w:r>
    </w:p>
    <w:p>
      <w:r>
        <w:t>Sepsis is a leading cause of ICU admission and death. Intravenous fluids are a core part of early treatment [1], but fluid given after the first hours often accumulates. In a large registry cohort, a positive cumulative fluid balance on the second and third ICU days was associated with higher 28-day mortality [2]. Such associations may be explained by confounding by indication: sicker patients receive more fluid and are more likely to die. Randomised trials of fluid restriction have so far been small or have not shown a mortality difference [3, 4].</w:t>
      </w:r>
    </w:p>
    <w:p>
      <w:r>
        <w:t>We do not know how much fluid our own patients receive, how much comes from “hidden” sources such as maintenance fluids and drug dilution [3], or whether fluid accumulation is associated with mortality in our setting after adjustment for severity. These data are needed before a trial can be designed at [Institution].</w:t>
      </w:r>
    </w:p>
    <w:p>
      <w:pPr>
        <w:pStyle w:val="NeudataSmall"/>
        <w:spacing w:after="20"/>
      </w:pPr>
      <w:r>
        <w:rPr>
          <w:b/>
          <w:color w:val="04242F"/>
        </w:rPr>
        <w:t>References</w:t>
      </w:r>
    </w:p>
    <w:p>
      <w:pPr>
        <w:pStyle w:val="NeudataSmall"/>
        <w:spacing w:after="20"/>
      </w:pPr>
      <w:r>
        <w:t>1. Evans L, Rhodes A, Alhazzani W, et al. Surviving Sepsis Campaign: international guidelines for management of sepsis and septic shock 2021. Intensive Care Med. 2021;47:1181–1247.</w:t>
      </w:r>
    </w:p>
    <w:p>
      <w:pPr>
        <w:pStyle w:val="NeudataSmall"/>
        <w:spacing w:after="20"/>
      </w:pPr>
      <w:r>
        <w:t>2. Hyun DG, Ahn JH, Huh JW, et al. Impact of a cumulative positive fluid balance during the first three ICU days in patients with sepsis: a propensity score-matched cohort study. Ann Intensive Care. 2023;13:105.</w:t>
      </w:r>
    </w:p>
    <w:p>
      <w:pPr>
        <w:pStyle w:val="NeudataSmall"/>
        <w:spacing w:after="20"/>
      </w:pPr>
      <w:r>
        <w:t>3. Boulet N, Quenot J-P, Serrand C, et al. Impact on fluid balance of an optimized restrictive strategy targeting non-resuscitative fluids in intensive care patients with septic shock: a pilot study. Crit Care. 2024;28:429.</w:t>
      </w:r>
    </w:p>
    <w:p>
      <w:pPr>
        <w:pStyle w:val="NeudataSmall"/>
        <w:spacing w:after="20"/>
      </w:pPr>
      <w:r>
        <w:t>4. Meyhoff TS, Hjortrup PB, Wetterslev J, et al. Restriction of intravenous fluid in ICU patients with septic shock. N Engl J Med. 2022;386:2459–2470.</w:t>
      </w:r>
    </w:p>
    <w:p>
      <w:pPr>
        <w:spacing w:after="0" w:line="80" w:lineRule="exact"/>
      </w:pPr>
    </w:p>
    <w:p>
      <w:pPr>
        <w:pStyle w:val="Example"/>
      </w:pPr>
      <w:r>
        <w:rPr>
          <w:b/>
          <w:i w:val="0"/>
          <w:color w:val="055F56"/>
        </w:rPr>
        <w:t xml:space="preserve">Why this is a good answer: </w:t>
      </w:r>
      <w:r>
        <w:rPr>
          <w:i/>
        </w:rPr>
        <w:t>Known → unknown → why here and now, with references. It names the main weakness of earlier evidence (confounding) and shows the study is a step towards a trial, not an end in itself.</w:t>
      </w:r>
    </w:p>
    <w:p>
      <w:pPr>
        <w:pStyle w:val="Heading1"/>
      </w:pPr>
      <w:r>
        <w:t>Section D  Objectives</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1587"/>
        <w:gridCol w:w="7824"/>
      </w:tblGrid>
      <w:tr>
        <w:tc>
          <w:tcPr>
            <w:tcW w:type="dxa" w:w="1587"/>
          </w:tcPr>
          <w:p>
            <w:pPr>
              <w:spacing w:after="0"/>
            </w:pPr>
            <w:r>
              <w:rPr>
                <w:b/>
                <w:color w:val="04242F"/>
                <w:sz w:val="20"/>
              </w:rPr>
              <w:t>Primary:</w:t>
            </w:r>
          </w:p>
        </w:tc>
        <w:tc>
          <w:tcPr>
            <w:tcW w:type="dxa" w:w="7824"/>
          </w:tcPr>
          <w:p>
            <w:pPr>
              <w:spacing w:after="0"/>
            </w:pPr>
            <w:r>
              <w:rPr>
                <w:sz w:val="20"/>
              </w:rPr>
              <w:t>To estimate the association between cumulative fluid balance (ml/kg) at day 5 and 28-day all-cause mortality, adjusted for age, SOFA score, lactate and source of infection.</w:t>
            </w:r>
          </w:p>
        </w:tc>
      </w:tr>
      <w:tr>
        <w:tc>
          <w:tcPr>
            <w:tcW w:type="dxa" w:w="1587"/>
          </w:tcPr>
          <w:p>
            <w:pPr>
              <w:spacing w:after="0"/>
            </w:pPr>
            <w:r>
              <w:rPr>
                <w:b/>
                <w:color w:val="04242F"/>
                <w:sz w:val="20"/>
              </w:rPr>
              <w:t>Secondary:</w:t>
            </w:r>
          </w:p>
        </w:tc>
        <w:tc>
          <w:tcPr>
            <w:tcW w:type="dxa" w:w="7824"/>
          </w:tcPr>
          <w:p>
            <w:pPr>
              <w:spacing w:after="0"/>
            </w:pPr>
            <w:r>
              <w:rPr>
                <w:sz w:val="20"/>
              </w:rPr>
              <w:t>(1) To describe daily fluid input by source, including maintenance and drug-dilution fluids. (2) To estimate the association between cumulative fluid balance and the need for renal replacement therapy. (3) To measure the completeness of ICU fluid charts, to inform a future trial.</w:t>
            </w:r>
          </w:p>
        </w:tc>
      </w:tr>
      <w:tr>
        <w:tc>
          <w:tcPr>
            <w:tcW w:type="dxa" w:w="1587"/>
          </w:tcPr>
          <w:p>
            <w:pPr>
              <w:spacing w:after="0"/>
            </w:pPr>
            <w:r>
              <w:rPr>
                <w:b/>
                <w:color w:val="04242F"/>
                <w:sz w:val="20"/>
              </w:rPr>
              <w:t>Hypothesis:</w:t>
            </w:r>
          </w:p>
        </w:tc>
        <w:tc>
          <w:tcPr>
            <w:tcW w:type="dxa" w:w="7824"/>
          </w:tcPr>
          <w:p>
            <w:pPr>
              <w:spacing w:after="0"/>
            </w:pPr>
            <w:r>
              <w:rPr>
                <w:sz w:val="20"/>
              </w:rPr>
              <w:t>Each 10 ml/kg increase in cumulative fluid balance at day 5 is associated with higher odds of death by day 28 after adjustment.</w:t>
            </w:r>
          </w:p>
        </w:tc>
      </w:tr>
    </w:tbl>
    <w:p>
      <w:pPr>
        <w:pStyle w:val="Heading1"/>
      </w:pPr>
      <w:r>
        <w:t>Section E  Design and methods</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2041"/>
        <w:gridCol w:w="7371"/>
      </w:tblGrid>
      <w:tr>
        <w:trPr>
          <w:cantSplit w:val="true"/>
          <w:tblHeader w:val="true"/>
        </w:trPr>
        <w:tc>
          <w:tcPr>
            <w:tcW w:type="dxa" w:w="2041"/>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Item</w:t>
            </w:r>
          </w:p>
        </w:tc>
        <w:tc>
          <w:tcPr>
            <w:tcW w:type="dxa" w:w="7370"/>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Answer</w:t>
            </w:r>
          </w:p>
        </w:tc>
      </w:tr>
      <w:tr>
        <w:trPr>
          <w:cantSplit w:val="true"/>
        </w:trPr>
        <w:tc>
          <w:tcPr>
            <w:tcW w:type="dxa" w:w="2041"/>
            <w:tcBorders>
              <w:top w:val="single" w:sz="4" w:color="D5DDE1"/>
              <w:left w:val="single" w:sz="4" w:color="D5DDE1"/>
              <w:bottom w:val="single" w:sz="4" w:color="D5DDE1"/>
              <w:right w:val="single" w:sz="4" w:color="D5DDE1"/>
            </w:tcBorders>
          </w:tcPr>
          <w:p>
            <w:pPr>
              <w:spacing w:after="0" w:line="252" w:lineRule="auto"/>
            </w:pPr>
            <w:r>
              <w:rPr>
                <w:b/>
                <w:color w:val="04242F"/>
                <w:sz w:val="19"/>
              </w:rPr>
              <w:t>Design and setting</w:t>
            </w:r>
          </w:p>
        </w:tc>
        <w:tc>
          <w:tcPr>
            <w:tcW w:type="dxa" w:w="7370"/>
            <w:tcBorders>
              <w:top w:val="single" w:sz="4" w:color="D5DDE1"/>
              <w:left w:val="single" w:sz="4" w:color="D5DDE1"/>
              <w:bottom w:val="single" w:sz="4" w:color="D5DDE1"/>
              <w:right w:val="single" w:sz="4" w:color="D5DDE1"/>
            </w:tcBorders>
          </w:tcPr>
          <w:p>
            <w:pPr>
              <w:spacing w:after="0" w:line="252" w:lineRule="auto"/>
            </w:pPr>
            <w:r>
              <w:rPr>
                <w:sz w:val="19"/>
              </w:rPr>
              <w:t>Prospective cohort in the adult ICU of [Institution]. Consecutive eligible patients for 18 months.</w:t>
            </w:r>
          </w:p>
        </w:tc>
      </w:tr>
      <w:tr>
        <w:trPr>
          <w:cantSplit w:val="true"/>
        </w:trPr>
        <w:tc>
          <w:tcPr>
            <w:tcW w:type="dxa" w:w="2041"/>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Inclusion</w:t>
            </w:r>
          </w:p>
        </w:tc>
        <w:tc>
          <w:tcPr>
            <w:tcW w:type="dxa" w:w="7370"/>
            <w:tcBorders>
              <w:top w:val="single" w:sz="4" w:color="D5DDE1"/>
              <w:left w:val="single" w:sz="4" w:color="D5DDE1"/>
              <w:bottom w:val="single" w:sz="4" w:color="D5DDE1"/>
              <w:right w:val="single" w:sz="4" w:color="D5DDE1"/>
            </w:tcBorders>
            <w:shd w:val="clear" w:color="auto" w:fill="F5F9FA"/>
          </w:tcPr>
          <w:p>
            <w:pPr>
              <w:spacing w:after="0" w:line="252" w:lineRule="auto"/>
            </w:pPr>
            <w:r>
              <w:rPr>
                <w:sz w:val="19"/>
              </w:rPr>
              <w:t>Age ≥ 18 years; sepsis or septic shock (Sepsis-3) at ICU admission or within 24 h; expected ICU stay ≥ 48 h.</w:t>
            </w:r>
          </w:p>
        </w:tc>
      </w:tr>
      <w:tr>
        <w:trPr>
          <w:cantSplit w:val="true"/>
        </w:trPr>
        <w:tc>
          <w:tcPr>
            <w:tcW w:type="dxa" w:w="2041"/>
            <w:tcBorders>
              <w:top w:val="single" w:sz="4" w:color="D5DDE1"/>
              <w:left w:val="single" w:sz="4" w:color="D5DDE1"/>
              <w:bottom w:val="single" w:sz="4" w:color="D5DDE1"/>
              <w:right w:val="single" w:sz="4" w:color="D5DDE1"/>
            </w:tcBorders>
          </w:tcPr>
          <w:p>
            <w:pPr>
              <w:spacing w:after="0" w:line="252" w:lineRule="auto"/>
            </w:pPr>
            <w:r>
              <w:rPr>
                <w:b/>
                <w:color w:val="04242F"/>
                <w:sz w:val="19"/>
              </w:rPr>
              <w:t>Exclusion</w:t>
            </w:r>
          </w:p>
        </w:tc>
        <w:tc>
          <w:tcPr>
            <w:tcW w:type="dxa" w:w="7370"/>
            <w:tcBorders>
              <w:top w:val="single" w:sz="4" w:color="D5DDE1"/>
              <w:left w:val="single" w:sz="4" w:color="D5DDE1"/>
              <w:bottom w:val="single" w:sz="4" w:color="D5DDE1"/>
              <w:right w:val="single" w:sz="4" w:color="D5DDE1"/>
            </w:tcBorders>
          </w:tcPr>
          <w:p>
            <w:pPr>
              <w:spacing w:after="0" w:line="252" w:lineRule="auto"/>
            </w:pPr>
            <w:r>
              <w:rPr>
                <w:sz w:val="19"/>
              </w:rPr>
              <w:t>Chronic dialysis; transfer from another ICU after &gt; 24 h; previous inclusion in this study.</w:t>
            </w:r>
          </w:p>
        </w:tc>
      </w:tr>
      <w:tr>
        <w:trPr>
          <w:cantSplit w:val="true"/>
        </w:trPr>
        <w:tc>
          <w:tcPr>
            <w:tcW w:type="dxa" w:w="2041"/>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Exposure</w:t>
            </w:r>
          </w:p>
        </w:tc>
        <w:tc>
          <w:tcPr>
            <w:tcW w:type="dxa" w:w="7370"/>
            <w:tcBorders>
              <w:top w:val="single" w:sz="4" w:color="D5DDE1"/>
              <w:left w:val="single" w:sz="4" w:color="D5DDE1"/>
              <w:bottom w:val="single" w:sz="4" w:color="D5DDE1"/>
              <w:right w:val="single" w:sz="4" w:color="D5DDE1"/>
            </w:tcBorders>
            <w:shd w:val="clear" w:color="auto" w:fill="F5F9FA"/>
          </w:tcPr>
          <w:p>
            <w:pPr>
              <w:spacing w:after="0" w:line="252" w:lineRule="auto"/>
            </w:pPr>
            <w:r>
              <w:rPr>
                <w:sz w:val="19"/>
              </w:rPr>
              <w:t>Cumulative fluid balance at day 5 (ml/kg) = sum of daily (input − output) ÷ admission weight, from the ICU fluid chart.</w:t>
            </w:r>
          </w:p>
        </w:tc>
      </w:tr>
      <w:tr>
        <w:trPr>
          <w:cantSplit w:val="true"/>
        </w:trPr>
        <w:tc>
          <w:tcPr>
            <w:tcW w:type="dxa" w:w="2041"/>
            <w:tcBorders>
              <w:top w:val="single" w:sz="4" w:color="D5DDE1"/>
              <w:left w:val="single" w:sz="4" w:color="D5DDE1"/>
              <w:bottom w:val="single" w:sz="4" w:color="D5DDE1"/>
              <w:right w:val="single" w:sz="4" w:color="D5DDE1"/>
            </w:tcBorders>
          </w:tcPr>
          <w:p>
            <w:pPr>
              <w:spacing w:after="0" w:line="252" w:lineRule="auto"/>
            </w:pPr>
            <w:r>
              <w:rPr>
                <w:b/>
                <w:color w:val="04242F"/>
                <w:sz w:val="19"/>
              </w:rPr>
              <w:t>Outcome</w:t>
            </w:r>
          </w:p>
        </w:tc>
        <w:tc>
          <w:tcPr>
            <w:tcW w:type="dxa" w:w="7370"/>
            <w:tcBorders>
              <w:top w:val="single" w:sz="4" w:color="D5DDE1"/>
              <w:left w:val="single" w:sz="4" w:color="D5DDE1"/>
              <w:bottom w:val="single" w:sz="4" w:color="D5DDE1"/>
              <w:right w:val="single" w:sz="4" w:color="D5DDE1"/>
            </w:tcBorders>
          </w:tcPr>
          <w:p>
            <w:pPr>
              <w:spacing w:after="0" w:line="252" w:lineRule="auto"/>
            </w:pPr>
            <w:r>
              <w:rPr>
                <w:sz w:val="19"/>
              </w:rPr>
              <w:t>All-cause mortality at day 28 after ICU admission, from medical records or a phone call.</w:t>
            </w:r>
          </w:p>
        </w:tc>
      </w:tr>
      <w:tr>
        <w:trPr>
          <w:cantSplit w:val="true"/>
        </w:trPr>
        <w:tc>
          <w:tcPr>
            <w:tcW w:type="dxa" w:w="2041"/>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Other variables</w:t>
            </w:r>
          </w:p>
        </w:tc>
        <w:tc>
          <w:tcPr>
            <w:tcW w:type="dxa" w:w="7370"/>
            <w:tcBorders>
              <w:top w:val="single" w:sz="4" w:color="D5DDE1"/>
              <w:left w:val="single" w:sz="4" w:color="D5DDE1"/>
              <w:bottom w:val="single" w:sz="4" w:color="D5DDE1"/>
              <w:right w:val="single" w:sz="4" w:color="D5DDE1"/>
            </w:tcBorders>
            <w:shd w:val="clear" w:color="auto" w:fill="F5F9FA"/>
          </w:tcPr>
          <w:p>
            <w:pPr>
              <w:spacing w:after="0" w:line="252" w:lineRule="auto"/>
            </w:pPr>
            <w:r>
              <w:rPr>
                <w:sz w:val="19"/>
              </w:rPr>
              <w:t>Age, sex, weight, comorbidities, source of infection, SOFA score and lactate in the first 24 h, vasopressor use, mechanical ventilation.</w:t>
            </w:r>
          </w:p>
        </w:tc>
      </w:tr>
      <w:tr>
        <w:trPr>
          <w:cantSplit w:val="true"/>
        </w:trPr>
        <w:tc>
          <w:tcPr>
            <w:tcW w:type="dxa" w:w="2041"/>
            <w:tcBorders>
              <w:top w:val="single" w:sz="4" w:color="D5DDE1"/>
              <w:left w:val="single" w:sz="4" w:color="D5DDE1"/>
              <w:bottom w:val="single" w:sz="4" w:color="D5DDE1"/>
              <w:right w:val="single" w:sz="4" w:color="D5DDE1"/>
            </w:tcBorders>
          </w:tcPr>
          <w:p>
            <w:pPr>
              <w:spacing w:after="0" w:line="252" w:lineRule="auto"/>
            </w:pPr>
            <w:r>
              <w:rPr>
                <w:b/>
                <w:color w:val="04242F"/>
                <w:sz w:val="19"/>
              </w:rPr>
              <w:t>Procedures</w:t>
            </w:r>
          </w:p>
        </w:tc>
        <w:tc>
          <w:tcPr>
            <w:tcW w:type="dxa" w:w="7370"/>
            <w:tcBorders>
              <w:top w:val="single" w:sz="4" w:color="D5DDE1"/>
              <w:left w:val="single" w:sz="4" w:color="D5DDE1"/>
              <w:bottom w:val="single" w:sz="4" w:color="D5DDE1"/>
              <w:right w:val="single" w:sz="4" w:color="D5DDE1"/>
            </w:tcBorders>
          </w:tcPr>
          <w:p>
            <w:pPr>
              <w:spacing w:after="0" w:line="252" w:lineRule="auto"/>
            </w:pPr>
            <w:r>
              <w:rPr>
                <w:sz w:val="19"/>
              </w:rPr>
              <w:t>Two trained ICU nurses copy data from routine charts onto a paper CRF each day (about 10 minutes per patient per day). No extra tests, samples, visits or questionnaires.</w:t>
            </w:r>
          </w:p>
        </w:tc>
      </w:tr>
      <w:tr>
        <w:trPr>
          <w:cantSplit w:val="true"/>
        </w:trPr>
        <w:tc>
          <w:tcPr>
            <w:tcW w:type="dxa" w:w="2041"/>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Data quality</w:t>
            </w:r>
          </w:p>
        </w:tc>
        <w:tc>
          <w:tcPr>
            <w:tcW w:type="dxa" w:w="7370"/>
            <w:tcBorders>
              <w:top w:val="single" w:sz="4" w:color="D5DDE1"/>
              <w:left w:val="single" w:sz="4" w:color="D5DDE1"/>
              <w:bottom w:val="single" w:sz="4" w:color="D5DDE1"/>
              <w:right w:val="single" w:sz="4" w:color="D5DDE1"/>
            </w:tcBorders>
            <w:shd w:val="clear" w:color="auto" w:fill="F5F9FA"/>
          </w:tcPr>
          <w:p>
            <w:pPr>
              <w:spacing w:after="0" w:line="252" w:lineRule="auto"/>
            </w:pPr>
            <w:r>
              <w:rPr>
                <w:sz w:val="19"/>
              </w:rPr>
              <w:t>CRF piloted on 5 patients; range checks in the database; 10% of CRFs double-entered; weekly missing-data report.</w:t>
            </w:r>
          </w:p>
        </w:tc>
      </w:tr>
      <w:tr>
        <w:trPr>
          <w:cantSplit w:val="true"/>
        </w:trPr>
        <w:tc>
          <w:tcPr>
            <w:tcW w:type="dxa" w:w="2041"/>
            <w:tcBorders>
              <w:top w:val="single" w:sz="4" w:color="D5DDE1"/>
              <w:left w:val="single" w:sz="4" w:color="D5DDE1"/>
              <w:bottom w:val="single" w:sz="4" w:color="D5DDE1"/>
              <w:right w:val="single" w:sz="4" w:color="D5DDE1"/>
            </w:tcBorders>
          </w:tcPr>
          <w:p>
            <w:pPr>
              <w:spacing w:after="0" w:line="252" w:lineRule="auto"/>
            </w:pPr>
            <w:r>
              <w:rPr>
                <w:b/>
                <w:color w:val="04242F"/>
                <w:sz w:val="19"/>
              </w:rPr>
              <w:t>Sample size</w:t>
            </w:r>
          </w:p>
        </w:tc>
        <w:tc>
          <w:tcPr>
            <w:tcW w:type="dxa" w:w="7370"/>
            <w:tcBorders>
              <w:top w:val="single" w:sz="4" w:color="D5DDE1"/>
              <w:left w:val="single" w:sz="4" w:color="D5DDE1"/>
              <w:bottom w:val="single" w:sz="4" w:color="D5DDE1"/>
              <w:right w:val="single" w:sz="4" w:color="D5DDE1"/>
            </w:tcBorders>
          </w:tcPr>
          <w:p>
            <w:pPr>
              <w:spacing w:after="0" w:line="252" w:lineRule="auto"/>
            </w:pPr>
            <w:r>
              <w:rPr>
                <w:sz w:val="19"/>
              </w:rPr>
              <w:t>The ICU admits about 250 adults with sepsis per year. Over 18 months we expect about 320 eligible patients; about 270 will be alive at day 5 and enter the main analysis. With an expected 28-day mortality of 25% (about 68 deaths), we can adjust for up to 6–7 variables (about 10 events per variable).</w:t>
            </w:r>
          </w:p>
        </w:tc>
      </w:tr>
      <w:tr>
        <w:trPr>
          <w:cantSplit w:val="true"/>
        </w:trPr>
        <w:tc>
          <w:tcPr>
            <w:tcW w:type="dxa" w:w="2041"/>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Analysis</w:t>
            </w:r>
          </w:p>
        </w:tc>
        <w:tc>
          <w:tcPr>
            <w:tcW w:type="dxa" w:w="7370"/>
            <w:tcBorders>
              <w:top w:val="single" w:sz="4" w:color="D5DDE1"/>
              <w:left w:val="single" w:sz="4" w:color="D5DDE1"/>
              <w:bottom w:val="single" w:sz="4" w:color="D5DDE1"/>
              <w:right w:val="single" w:sz="4" w:color="D5DDE1"/>
            </w:tcBorders>
            <w:shd w:val="clear" w:color="auto" w:fill="F5F9FA"/>
          </w:tcPr>
          <w:p>
            <w:pPr>
              <w:spacing w:after="0" w:line="252" w:lineRule="auto"/>
            </w:pPr>
            <w:r>
              <w:rPr>
                <w:sz w:val="19"/>
              </w:rPr>
              <w:t>Patients described with median (IQR) or n (%). Main analysis: logistic regression of death by day 28 on cumulative fluid balance (per 10 ml/kg), adjusted for the variables above, reported as odds ratio with 95% CI. Because only patients alive at day 5 can have a 5-day balance, a sensitivity analysis uses the day-3 balance.</w:t>
            </w:r>
          </w:p>
        </w:tc>
      </w:tr>
    </w:tbl>
    <w:p>
      <w:pPr>
        <w:spacing w:after="0" w:line="80" w:lineRule="exact"/>
      </w:pPr>
    </w:p>
    <w:p>
      <w:pPr>
        <w:pStyle w:val="Example"/>
      </w:pPr>
      <w:r>
        <w:rPr>
          <w:b/>
          <w:i w:val="0"/>
          <w:color w:val="055F56"/>
        </w:rPr>
        <w:t xml:space="preserve">Why this is a good answer: </w:t>
      </w:r>
      <w:r>
        <w:rPr>
          <w:i/>
        </w:rPr>
        <w:t>Every item is specific and measurable; the sample size is based on real admission numbers; and the applicants spot a design problem themselves (patients who die before day 5) and say how they will handle it.</w:t>
      </w:r>
    </w:p>
    <w:p>
      <w:pPr>
        <w:pStyle w:val="Heading1"/>
      </w:pPr>
      <w:r>
        <w:t>Section F  Risks, burdens and benefits</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1587"/>
        <w:gridCol w:w="7824"/>
      </w:tblGrid>
      <w:tr>
        <w:tc>
          <w:tcPr>
            <w:tcW w:type="dxa" w:w="1587"/>
          </w:tcPr>
          <w:p>
            <w:pPr>
              <w:spacing w:after="0"/>
            </w:pPr>
            <w:r>
              <w:rPr>
                <w:b/>
                <w:color w:val="04242F"/>
                <w:sz w:val="20"/>
              </w:rPr>
              <w:t>Risks:</w:t>
            </w:r>
          </w:p>
        </w:tc>
        <w:tc>
          <w:tcPr>
            <w:tcW w:type="dxa" w:w="7824"/>
          </w:tcPr>
          <w:p>
            <w:pPr>
              <w:spacing w:after="0"/>
            </w:pPr>
            <w:r>
              <w:rPr>
                <w:sz w:val="20"/>
              </w:rPr>
              <w:t>No change to treatment and no extra procedures, so no physical risk. The only risk is a breach of confidentiality; Section H describes how this is prevented.</w:t>
            </w:r>
          </w:p>
        </w:tc>
      </w:tr>
      <w:tr>
        <w:tc>
          <w:tcPr>
            <w:tcW w:type="dxa" w:w="1587"/>
          </w:tcPr>
          <w:p>
            <w:pPr>
              <w:spacing w:after="0"/>
            </w:pPr>
            <w:r>
              <w:rPr>
                <w:b/>
                <w:color w:val="04242F"/>
                <w:sz w:val="20"/>
              </w:rPr>
              <w:t>Burdens:</w:t>
            </w:r>
          </w:p>
        </w:tc>
        <w:tc>
          <w:tcPr>
            <w:tcW w:type="dxa" w:w="7824"/>
          </w:tcPr>
          <w:p>
            <w:pPr>
              <w:spacing w:after="0"/>
            </w:pPr>
            <w:r>
              <w:rPr>
                <w:sz w:val="20"/>
              </w:rPr>
              <w:t>None for patients. About 10 minutes per patient per day for nursing staff, outside direct patient care time.</w:t>
            </w:r>
          </w:p>
        </w:tc>
      </w:tr>
      <w:tr>
        <w:tc>
          <w:tcPr>
            <w:tcW w:type="dxa" w:w="1587"/>
          </w:tcPr>
          <w:p>
            <w:pPr>
              <w:spacing w:after="0"/>
            </w:pPr>
            <w:r>
              <w:rPr>
                <w:b/>
                <w:color w:val="04242F"/>
                <w:sz w:val="20"/>
              </w:rPr>
              <w:t>Benefits:</w:t>
            </w:r>
          </w:p>
        </w:tc>
        <w:tc>
          <w:tcPr>
            <w:tcW w:type="dxa" w:w="7824"/>
          </w:tcPr>
          <w:p>
            <w:pPr>
              <w:spacing w:after="0"/>
            </w:pPr>
            <w:r>
              <w:rPr>
                <w:sz w:val="20"/>
              </w:rPr>
              <w:t>No direct benefit to participants. Expected benefits for future patients: better knowledge of fluid practice in our ICU, better fluid charting, and the data needed to plan a trial.</w:t>
            </w:r>
          </w:p>
        </w:tc>
      </w:tr>
    </w:tbl>
    <w:p>
      <w:pPr>
        <w:pStyle w:val="Heading1"/>
      </w:pPr>
      <w:r>
        <w:t>Section G  Consent</w:t>
      </w:r>
    </w:p>
    <w:p>
      <w:r>
        <w:t>We request a waiver of individual informed consent for collection of routine data, with information and an opt-out for patients and relatives (“deferred notification”). If the committee does not grant the waiver, we will seek consent from a legal representative, followed by the patient’s own consent when they regain capacity.</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3061"/>
        <w:gridCol w:w="6350"/>
      </w:tblGrid>
      <w:tr>
        <w:trPr>
          <w:cantSplit w:val="true"/>
          <w:tblHeader w:val="true"/>
        </w:trPr>
        <w:tc>
          <w:tcPr>
            <w:tcW w:type="dxa" w:w="3061"/>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Criterion for a waiver</w:t>
            </w:r>
          </w:p>
        </w:tc>
        <w:tc>
          <w:tcPr>
            <w:tcW w:type="dxa" w:w="6350"/>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How FLUID-BAL meets it</w:t>
            </w:r>
          </w:p>
        </w:tc>
      </w:tr>
      <w:tr>
        <w:trPr>
          <w:cantSplit w:val="true"/>
        </w:trPr>
        <w:tc>
          <w:tcPr>
            <w:tcW w:type="dxa" w:w="3061"/>
            <w:tcBorders>
              <w:top w:val="single" w:sz="4" w:color="D5DDE1"/>
              <w:left w:val="single" w:sz="4" w:color="D5DDE1"/>
              <w:bottom w:val="single" w:sz="4" w:color="D5DDE1"/>
              <w:right w:val="single" w:sz="4" w:color="D5DDE1"/>
            </w:tcBorders>
          </w:tcPr>
          <w:p>
            <w:pPr>
              <w:spacing w:after="0" w:line="252" w:lineRule="auto"/>
            </w:pPr>
            <w:r>
              <w:rPr>
                <w:b/>
                <w:color w:val="04242F"/>
                <w:sz w:val="19"/>
              </w:rPr>
              <w:t>The study involves no more than minimal risk</w:t>
            </w:r>
          </w:p>
        </w:tc>
        <w:tc>
          <w:tcPr>
            <w:tcW w:type="dxa" w:w="6350"/>
            <w:tcBorders>
              <w:top w:val="single" w:sz="4" w:color="D5DDE1"/>
              <w:left w:val="single" w:sz="4" w:color="D5DDE1"/>
              <w:bottom w:val="single" w:sz="4" w:color="D5DDE1"/>
              <w:right w:val="single" w:sz="4" w:color="D5DDE1"/>
            </w:tcBorders>
          </w:tcPr>
          <w:p>
            <w:pPr>
              <w:spacing w:after="0" w:line="252" w:lineRule="auto"/>
            </w:pPr>
            <w:r>
              <w:rPr>
                <w:sz w:val="19"/>
              </w:rPr>
              <w:t>Observational; data are already recorded for clinical care; no extra procedures.</w:t>
            </w:r>
          </w:p>
        </w:tc>
      </w:tr>
      <w:tr>
        <w:trPr>
          <w:cantSplit w:val="true"/>
        </w:trPr>
        <w:tc>
          <w:tcPr>
            <w:tcW w:type="dxa" w:w="3061"/>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Consent is impracticable</w:t>
            </w:r>
          </w:p>
        </w:tc>
        <w:tc>
          <w:tcPr>
            <w:tcW w:type="dxa" w:w="6350"/>
            <w:tcBorders>
              <w:top w:val="single" w:sz="4" w:color="D5DDE1"/>
              <w:left w:val="single" w:sz="4" w:color="D5DDE1"/>
              <w:bottom w:val="single" w:sz="4" w:color="D5DDE1"/>
              <w:right w:val="single" w:sz="4" w:color="D5DDE1"/>
            </w:tcBorders>
            <w:shd w:val="clear" w:color="auto" w:fill="F5F9FA"/>
          </w:tcPr>
          <w:p>
            <w:pPr>
              <w:spacing w:after="0" w:line="252" w:lineRule="auto"/>
            </w:pPr>
            <w:r>
              <w:rPr>
                <w:sz w:val="19"/>
              </w:rPr>
              <w:t>On admission most patients are sedated or in shock and cannot consent, and the exposure is measured in the first 5 days. Patients who die early (often before a relative can be reached) would be missed, biasing the results (selection bias).</w:t>
            </w:r>
          </w:p>
        </w:tc>
      </w:tr>
      <w:tr>
        <w:trPr>
          <w:cantSplit w:val="true"/>
        </w:trPr>
        <w:tc>
          <w:tcPr>
            <w:tcW w:type="dxa" w:w="3061"/>
            <w:tcBorders>
              <w:top w:val="single" w:sz="4" w:color="D5DDE1"/>
              <w:left w:val="single" w:sz="4" w:color="D5DDE1"/>
              <w:bottom w:val="single" w:sz="4" w:color="D5DDE1"/>
              <w:right w:val="single" w:sz="4" w:color="D5DDE1"/>
            </w:tcBorders>
          </w:tcPr>
          <w:p>
            <w:pPr>
              <w:spacing w:after="0" w:line="252" w:lineRule="auto"/>
            </w:pPr>
            <w:r>
              <w:rPr>
                <w:b/>
                <w:color w:val="04242F"/>
                <w:sz w:val="19"/>
              </w:rPr>
              <w:t>Rights and welfare are not harmed</w:t>
            </w:r>
          </w:p>
        </w:tc>
        <w:tc>
          <w:tcPr>
            <w:tcW w:type="dxa" w:w="6350"/>
            <w:tcBorders>
              <w:top w:val="single" w:sz="4" w:color="D5DDE1"/>
              <w:left w:val="single" w:sz="4" w:color="D5DDE1"/>
              <w:bottom w:val="single" w:sz="4" w:color="D5DDE1"/>
              <w:right w:val="single" w:sz="4" w:color="D5DDE1"/>
            </w:tcBorders>
          </w:tcPr>
          <w:p>
            <w:pPr>
              <w:spacing w:after="0" w:line="252" w:lineRule="auto"/>
            </w:pPr>
            <w:r>
              <w:rPr>
                <w:sz w:val="19"/>
              </w:rPr>
              <w:t>Data are pseudonymised; no decision about care depends on the study.</w:t>
            </w:r>
          </w:p>
        </w:tc>
      </w:tr>
      <w:tr>
        <w:trPr>
          <w:cantSplit w:val="true"/>
        </w:trPr>
        <w:tc>
          <w:tcPr>
            <w:tcW w:type="dxa" w:w="3061"/>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Participants are informed when possible</w:t>
            </w:r>
          </w:p>
        </w:tc>
        <w:tc>
          <w:tcPr>
            <w:tcW w:type="dxa" w:w="6350"/>
            <w:tcBorders>
              <w:top w:val="single" w:sz="4" w:color="D5DDE1"/>
              <w:left w:val="single" w:sz="4" w:color="D5DDE1"/>
              <w:bottom w:val="single" w:sz="4" w:color="D5DDE1"/>
              <w:right w:val="single" w:sz="4" w:color="D5DDE1"/>
            </w:tcBorders>
            <w:shd w:val="clear" w:color="auto" w:fill="F5F9FA"/>
          </w:tcPr>
          <w:p>
            <w:pPr>
              <w:spacing w:after="0" w:line="252" w:lineRule="auto"/>
            </w:pPr>
            <w:r>
              <w:rPr>
                <w:sz w:val="19"/>
              </w:rPr>
              <w:t>A notice is displayed in the ICU and given to relatives. Patients who recover are given an information leaflet and may ask for their data to be withdrawn.</w:t>
            </w:r>
          </w:p>
        </w:tc>
      </w:tr>
      <w:tr>
        <w:trPr>
          <w:cantSplit w:val="true"/>
        </w:trPr>
        <w:tc>
          <w:tcPr>
            <w:tcW w:type="dxa" w:w="3061"/>
            <w:tcBorders>
              <w:top w:val="single" w:sz="4" w:color="D5DDE1"/>
              <w:left w:val="single" w:sz="4" w:color="D5DDE1"/>
              <w:bottom w:val="single" w:sz="4" w:color="D5DDE1"/>
              <w:right w:val="single" w:sz="4" w:color="D5DDE1"/>
            </w:tcBorders>
          </w:tcPr>
          <w:p>
            <w:pPr>
              <w:spacing w:after="0" w:line="252" w:lineRule="auto"/>
            </w:pPr>
            <w:r>
              <w:rPr>
                <w:b/>
                <w:color w:val="04242F"/>
                <w:sz w:val="19"/>
              </w:rPr>
              <w:t>Permitted by law</w:t>
            </w:r>
          </w:p>
        </w:tc>
        <w:tc>
          <w:tcPr>
            <w:tcW w:type="dxa" w:w="6350"/>
            <w:tcBorders>
              <w:top w:val="single" w:sz="4" w:color="D5DDE1"/>
              <w:left w:val="single" w:sz="4" w:color="D5DDE1"/>
              <w:bottom w:val="single" w:sz="4" w:color="D5DDE1"/>
              <w:right w:val="single" w:sz="4" w:color="D5DDE1"/>
            </w:tcBorders>
          </w:tcPr>
          <w:p>
            <w:pPr>
              <w:spacing w:after="0" w:line="252" w:lineRule="auto"/>
            </w:pPr>
            <w:r>
              <w:rPr>
                <w:sz w:val="19"/>
              </w:rPr>
              <w:t>[National regulations], section [x], allow a waiver for minimal-risk research on health records when approved by an ethics committee.</w:t>
            </w:r>
          </w:p>
        </w:tc>
      </w:tr>
    </w:tbl>
    <w:p>
      <w:pPr>
        <w:spacing w:after="0" w:line="80" w:lineRule="exact"/>
      </w:pPr>
    </w:p>
    <w:p>
      <w:pPr>
        <w:pStyle w:val="Example"/>
      </w:pPr>
      <w:r>
        <w:rPr>
          <w:b/>
          <w:i w:val="0"/>
          <w:color w:val="055F56"/>
        </w:rPr>
        <w:t xml:space="preserve">Why this is a good answer: </w:t>
      </w:r>
      <w:r>
        <w:rPr>
          <w:i/>
        </w:rPr>
        <w:t>The request is justified point by point against the committee’s criteria, explains why asking consent would make the results wrong (not just inconvenient), and offers a fall-back option.</w:t>
      </w:r>
    </w:p>
    <w:p>
      <w:pPr>
        <w:pStyle w:val="Heading1"/>
      </w:pPr>
      <w:r>
        <w:t>Section H  Data protection and confidentiality</w:t>
      </w:r>
    </w:p>
    <w:p>
      <w:pPr>
        <w:pStyle w:val="ListBullet"/>
      </w:pPr>
      <w:r>
        <w:rPr>
          <w:sz w:val="20"/>
        </w:rPr>
        <w:t>Each patient receives a study ID (site–number, e.g. 01-023). CRFs and the database contain no names, addresses, phone numbers or medical record numbers.</w:t>
      </w:r>
    </w:p>
    <w:p>
      <w:pPr>
        <w:pStyle w:val="ListBullet"/>
      </w:pPr>
      <w:r>
        <w:rPr>
          <w:sz w:val="20"/>
        </w:rPr>
        <w:t>The key linking study ID to medical record number is a password-protected file on the [Institution] server, accessible only to the principal investigator and the data collection lead.</w:t>
      </w:r>
    </w:p>
    <w:p>
      <w:pPr>
        <w:pStyle w:val="ListBullet"/>
      </w:pPr>
      <w:r>
        <w:rPr>
          <w:sz w:val="20"/>
        </w:rPr>
        <w:t>Paper CRFs are kept in a locked cabinet in the ICU research office. The database is password-protected with individual log-ins and an audit trail, and is backed up daily on the [Institution] server.</w:t>
      </w:r>
    </w:p>
    <w:p>
      <w:pPr>
        <w:pStyle w:val="ListBullet"/>
      </w:pPr>
      <w:r>
        <w:rPr>
          <w:sz w:val="20"/>
        </w:rPr>
        <w:t>Data will be kept for [number] years after publication as required by [National regulations], then securely destroyed. Only de-identified, aggregate results will be published.</w:t>
      </w:r>
    </w:p>
    <w:p>
      <w:pPr>
        <w:pStyle w:val="ListBullet"/>
      </w:pPr>
      <w:r>
        <w:rPr>
          <w:sz w:val="20"/>
        </w:rPr>
        <w:t>A de-identified dataset may be shared with other researchers after publication, on request and with the committee’s approval.</w:t>
      </w:r>
    </w:p>
    <w:p>
      <w:pPr>
        <w:pStyle w:val="Heading1"/>
      </w:pPr>
      <w:r>
        <w:t>Section I  Conflicts of interest and funding</w:t>
      </w:r>
    </w:p>
    <w:p>
      <w:r>
        <w:t>None of the investigators has a financial or personal relationship with manufacturers of intravenous fluids or ICU equipment. The study is funded by an internal grant; the funder has no role in the design, analysis or publication.</w:t>
      </w:r>
    </w:p>
    <w:p>
      <w:pPr>
        <w:pStyle w:val="Heading1"/>
      </w:pPr>
      <w:r>
        <w:t>Section J  Budget summary</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7371"/>
        <w:gridCol w:w="2041"/>
      </w:tblGrid>
      <w:tr>
        <w:trPr>
          <w:cantSplit w:val="true"/>
          <w:tblHeader w:val="true"/>
        </w:trPr>
        <w:tc>
          <w:tcPr>
            <w:tcW w:type="dxa" w:w="737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Item</w:t>
            </w:r>
          </w:p>
        </w:tc>
        <w:tc>
          <w:tcPr>
            <w:tcW w:type="dxa" w:w="2041"/>
            <w:tcBorders>
              <w:top w:val="single" w:sz="4" w:color="04242F"/>
              <w:left w:val="single" w:sz="4" w:color="04242F"/>
              <w:bottom w:val="single" w:sz="4" w:color="04242F"/>
              <w:right w:val="single" w:sz="4" w:color="04242F"/>
            </w:tcBorders>
            <w:shd w:val="clear" w:color="auto" w:fill="04242F"/>
          </w:tcPr>
          <w:p>
            <w:pPr>
              <w:keepNext/>
              <w:spacing w:after="0"/>
              <w:jc w:val="right"/>
            </w:pPr>
            <w:r>
              <w:rPr>
                <w:b/>
                <w:color w:val="FFFFFF"/>
                <w:sz w:val="19"/>
              </w:rPr>
              <w:t>Amount (USD)</w:t>
            </w:r>
          </w:p>
        </w:tc>
      </w:tr>
      <w:tr>
        <w:trPr>
          <w:cantSplit w:val="true"/>
        </w:trPr>
        <w:tc>
          <w:tcPr>
            <w:tcW w:type="dxa" w:w="7370"/>
            <w:tcBorders>
              <w:top w:val="single" w:sz="4" w:color="D5DDE1"/>
              <w:left w:val="single" w:sz="4" w:color="D5DDE1"/>
              <w:bottom w:val="single" w:sz="4" w:color="D5DDE1"/>
              <w:right w:val="single" w:sz="4" w:color="D5DDE1"/>
            </w:tcBorders>
          </w:tcPr>
          <w:p>
            <w:pPr>
              <w:keepNext/>
              <w:spacing w:after="0" w:line="252" w:lineRule="auto"/>
            </w:pPr>
            <w:r>
              <w:rPr>
                <w:sz w:val="19"/>
              </w:rPr>
              <w:t>Research nurse time for data collection (0.2 full-time equivalent × 18 months)</w:t>
            </w:r>
          </w:p>
        </w:tc>
        <w:tc>
          <w:tcPr>
            <w:tcW w:type="dxa" w:w="2041"/>
            <w:tcBorders>
              <w:top w:val="single" w:sz="4" w:color="D5DDE1"/>
              <w:left w:val="single" w:sz="4" w:color="D5DDE1"/>
              <w:bottom w:val="single" w:sz="4" w:color="D5DDE1"/>
              <w:right w:val="single" w:sz="4" w:color="D5DDE1"/>
            </w:tcBorders>
          </w:tcPr>
          <w:p>
            <w:pPr>
              <w:keepNext/>
              <w:spacing w:after="0" w:line="252" w:lineRule="auto"/>
              <w:jc w:val="right"/>
            </w:pPr>
            <w:r>
              <w:rPr>
                <w:sz w:val="19"/>
              </w:rPr>
              <w:t>9,000</w:t>
            </w:r>
          </w:p>
        </w:tc>
      </w:tr>
      <w:tr>
        <w:trPr>
          <w:cantSplit w:val="true"/>
        </w:trPr>
        <w:tc>
          <w:tcPr>
            <w:tcW w:type="dxa" w:w="7370"/>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Training and printing of CRFs and information leaflets</w:t>
            </w:r>
          </w:p>
        </w:tc>
        <w:tc>
          <w:tcPr>
            <w:tcW w:type="dxa" w:w="2041"/>
            <w:tcBorders>
              <w:top w:val="single" w:sz="4" w:color="D5DDE1"/>
              <w:left w:val="single" w:sz="4" w:color="D5DDE1"/>
              <w:bottom w:val="single" w:sz="4" w:color="D5DDE1"/>
              <w:right w:val="single" w:sz="4" w:color="D5DDE1"/>
            </w:tcBorders>
            <w:shd w:val="clear" w:color="auto" w:fill="F5F9FA"/>
          </w:tcPr>
          <w:p>
            <w:pPr>
              <w:keepNext/>
              <w:spacing w:after="0" w:line="252" w:lineRule="auto"/>
              <w:jc w:val="right"/>
            </w:pPr>
            <w:r>
              <w:rPr>
                <w:sz w:val="19"/>
              </w:rPr>
              <w:t>600</w:t>
            </w:r>
          </w:p>
        </w:tc>
      </w:tr>
      <w:tr>
        <w:trPr>
          <w:cantSplit w:val="true"/>
        </w:trPr>
        <w:tc>
          <w:tcPr>
            <w:tcW w:type="dxa" w:w="7370"/>
            <w:tcBorders>
              <w:top w:val="single" w:sz="4" w:color="D5DDE1"/>
              <w:left w:val="single" w:sz="4" w:color="D5DDE1"/>
              <w:bottom w:val="single" w:sz="4" w:color="D5DDE1"/>
              <w:right w:val="single" w:sz="4" w:color="D5DDE1"/>
            </w:tcBorders>
          </w:tcPr>
          <w:p>
            <w:pPr>
              <w:keepNext/>
              <w:spacing w:after="0" w:line="252" w:lineRule="auto"/>
            </w:pPr>
            <w:r>
              <w:rPr>
                <w:sz w:val="19"/>
              </w:rPr>
              <w:t>Database set-up and data management</w:t>
            </w:r>
          </w:p>
        </w:tc>
        <w:tc>
          <w:tcPr>
            <w:tcW w:type="dxa" w:w="2041"/>
            <w:tcBorders>
              <w:top w:val="single" w:sz="4" w:color="D5DDE1"/>
              <w:left w:val="single" w:sz="4" w:color="D5DDE1"/>
              <w:bottom w:val="single" w:sz="4" w:color="D5DDE1"/>
              <w:right w:val="single" w:sz="4" w:color="D5DDE1"/>
            </w:tcBorders>
          </w:tcPr>
          <w:p>
            <w:pPr>
              <w:keepNext/>
              <w:spacing w:after="0" w:line="252" w:lineRule="auto"/>
              <w:jc w:val="right"/>
            </w:pPr>
            <w:r>
              <w:rPr>
                <w:sz w:val="19"/>
              </w:rPr>
              <w:t>1,500</w:t>
            </w:r>
          </w:p>
        </w:tc>
      </w:tr>
      <w:tr>
        <w:trPr>
          <w:cantSplit w:val="true"/>
        </w:trPr>
        <w:tc>
          <w:tcPr>
            <w:tcW w:type="dxa" w:w="7370"/>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Statistical support</w:t>
            </w:r>
          </w:p>
        </w:tc>
        <w:tc>
          <w:tcPr>
            <w:tcW w:type="dxa" w:w="2041"/>
            <w:tcBorders>
              <w:top w:val="single" w:sz="4" w:color="D5DDE1"/>
              <w:left w:val="single" w:sz="4" w:color="D5DDE1"/>
              <w:bottom w:val="single" w:sz="4" w:color="D5DDE1"/>
              <w:right w:val="single" w:sz="4" w:color="D5DDE1"/>
            </w:tcBorders>
            <w:shd w:val="clear" w:color="auto" w:fill="F5F9FA"/>
          </w:tcPr>
          <w:p>
            <w:pPr>
              <w:keepNext/>
              <w:spacing w:after="0" w:line="252" w:lineRule="auto"/>
              <w:jc w:val="right"/>
            </w:pPr>
            <w:r>
              <w:rPr>
                <w:sz w:val="19"/>
              </w:rPr>
              <w:t>2,500</w:t>
            </w:r>
          </w:p>
        </w:tc>
      </w:tr>
      <w:tr>
        <w:trPr>
          <w:cantSplit w:val="true"/>
        </w:trPr>
        <w:tc>
          <w:tcPr>
            <w:tcW w:type="dxa" w:w="7370"/>
            <w:tcBorders>
              <w:top w:val="single" w:sz="4" w:color="D5DDE1"/>
              <w:left w:val="single" w:sz="4" w:color="D5DDE1"/>
              <w:bottom w:val="single" w:sz="4" w:color="D5DDE1"/>
              <w:right w:val="single" w:sz="4" w:color="D5DDE1"/>
            </w:tcBorders>
          </w:tcPr>
          <w:p>
            <w:pPr>
              <w:keepNext/>
              <w:spacing w:after="0" w:line="252" w:lineRule="auto"/>
            </w:pPr>
            <w:r>
              <w:rPr>
                <w:sz w:val="19"/>
              </w:rPr>
              <w:t>Ethics review fee (if charged)</w:t>
            </w:r>
          </w:p>
        </w:tc>
        <w:tc>
          <w:tcPr>
            <w:tcW w:type="dxa" w:w="2041"/>
            <w:tcBorders>
              <w:top w:val="single" w:sz="4" w:color="D5DDE1"/>
              <w:left w:val="single" w:sz="4" w:color="D5DDE1"/>
              <w:bottom w:val="single" w:sz="4" w:color="D5DDE1"/>
              <w:right w:val="single" w:sz="4" w:color="D5DDE1"/>
            </w:tcBorders>
          </w:tcPr>
          <w:p>
            <w:pPr>
              <w:keepNext/>
              <w:spacing w:after="0" w:line="252" w:lineRule="auto"/>
              <w:jc w:val="right"/>
            </w:pPr>
            <w:r>
              <w:rPr>
                <w:sz w:val="19"/>
              </w:rPr>
              <w:t>300</w:t>
            </w:r>
          </w:p>
        </w:tc>
      </w:tr>
      <w:tr>
        <w:trPr>
          <w:cantSplit w:val="true"/>
        </w:trPr>
        <w:tc>
          <w:tcPr>
            <w:tcW w:type="dxa" w:w="7370"/>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Open-access publication fee</w:t>
            </w:r>
          </w:p>
        </w:tc>
        <w:tc>
          <w:tcPr>
            <w:tcW w:type="dxa" w:w="2041"/>
            <w:tcBorders>
              <w:top w:val="single" w:sz="4" w:color="D5DDE1"/>
              <w:left w:val="single" w:sz="4" w:color="D5DDE1"/>
              <w:bottom w:val="single" w:sz="4" w:color="D5DDE1"/>
              <w:right w:val="single" w:sz="4" w:color="D5DDE1"/>
            </w:tcBorders>
            <w:shd w:val="clear" w:color="auto" w:fill="F5F9FA"/>
          </w:tcPr>
          <w:p>
            <w:pPr>
              <w:keepNext/>
              <w:spacing w:after="0" w:line="252" w:lineRule="auto"/>
              <w:jc w:val="right"/>
            </w:pPr>
            <w:r>
              <w:rPr>
                <w:sz w:val="19"/>
              </w:rPr>
              <w:t>2,500</w:t>
            </w:r>
          </w:p>
        </w:tc>
      </w:tr>
      <w:tr>
        <w:trPr>
          <w:cantSplit w:val="true"/>
        </w:trPr>
        <w:tc>
          <w:tcPr>
            <w:tcW w:type="dxa" w:w="7370"/>
            <w:tcBorders>
              <w:top w:val="single" w:sz="4" w:color="D5DDE1"/>
              <w:left w:val="single" w:sz="4" w:color="D5DDE1"/>
              <w:bottom w:val="single" w:sz="4" w:color="D5DDE1"/>
              <w:right w:val="single" w:sz="4" w:color="D5DDE1"/>
            </w:tcBorders>
          </w:tcPr>
          <w:p>
            <w:pPr>
              <w:keepNext/>
              <w:spacing w:after="0" w:line="252" w:lineRule="auto"/>
            </w:pPr>
            <w:r>
              <w:rPr>
                <w:sz w:val="19"/>
              </w:rPr>
              <w:t>Contingency (10%)</w:t>
            </w:r>
          </w:p>
        </w:tc>
        <w:tc>
          <w:tcPr>
            <w:tcW w:type="dxa" w:w="2041"/>
            <w:tcBorders>
              <w:top w:val="single" w:sz="4" w:color="D5DDE1"/>
              <w:left w:val="single" w:sz="4" w:color="D5DDE1"/>
              <w:bottom w:val="single" w:sz="4" w:color="D5DDE1"/>
              <w:right w:val="single" w:sz="4" w:color="D5DDE1"/>
            </w:tcBorders>
          </w:tcPr>
          <w:p>
            <w:pPr>
              <w:keepNext/>
              <w:spacing w:after="0" w:line="252" w:lineRule="auto"/>
              <w:jc w:val="right"/>
            </w:pPr>
            <w:r>
              <w:rPr>
                <w:sz w:val="19"/>
              </w:rPr>
              <w:t>1,640</w:t>
            </w:r>
          </w:p>
        </w:tc>
      </w:tr>
      <w:tr>
        <w:trPr>
          <w:cantSplit w:val="true"/>
        </w:trPr>
        <w:tc>
          <w:tcPr>
            <w:tcW w:type="dxa" w:w="7370"/>
            <w:tcBorders>
              <w:top w:val="single" w:sz="4" w:color="D5DDE1"/>
              <w:left w:val="single" w:sz="4" w:color="D5DDE1"/>
              <w:bottom w:val="single" w:sz="4" w:color="D5DDE1"/>
              <w:right w:val="single" w:sz="4" w:color="D5DDE1"/>
            </w:tcBorders>
            <w:shd w:val="clear" w:color="auto" w:fill="EAF2F5"/>
          </w:tcPr>
          <w:p>
            <w:pPr>
              <w:spacing w:after="0" w:line="252" w:lineRule="auto"/>
            </w:pPr>
            <w:r>
              <w:rPr>
                <w:b/>
                <w:sz w:val="19"/>
              </w:rPr>
              <w:t>Total</w:t>
            </w:r>
          </w:p>
        </w:tc>
        <w:tc>
          <w:tcPr>
            <w:tcW w:type="dxa" w:w="2041"/>
            <w:tcBorders>
              <w:top w:val="single" w:sz="4" w:color="D5DDE1"/>
              <w:left w:val="single" w:sz="4" w:color="D5DDE1"/>
              <w:bottom w:val="single" w:sz="4" w:color="D5DDE1"/>
              <w:right w:val="single" w:sz="4" w:color="D5DDE1"/>
            </w:tcBorders>
            <w:shd w:val="clear" w:color="auto" w:fill="EAF2F5"/>
          </w:tcPr>
          <w:p>
            <w:pPr>
              <w:spacing w:after="0" w:line="252" w:lineRule="auto"/>
              <w:jc w:val="right"/>
            </w:pPr>
            <w:r>
              <w:rPr>
                <w:b/>
                <w:sz w:val="19"/>
              </w:rPr>
              <w:t>18,040</w:t>
            </w:r>
          </w:p>
        </w:tc>
      </w:tr>
    </w:tbl>
    <w:p>
      <w:pPr>
        <w:pStyle w:val="Heading1"/>
      </w:pPr>
      <w:r>
        <w:t>Section K  Dissemination</w:t>
      </w:r>
    </w:p>
    <w:p>
      <w:r>
        <w:t>Results will be presented to ICU staff, at a national critical-care meeting and submitted to a peer-reviewed open-access journal, reported according to STROBE. Authorship will follow the ICMJE criteria and was agreed before the study started.</w:t>
      </w:r>
    </w:p>
    <w:p>
      <w:pPr>
        <w:pStyle w:val="Heading1"/>
      </w:pPr>
      <w:r>
        <w:t>Section L  Declaration</w:t>
      </w:r>
    </w:p>
    <w:p>
      <w:r>
        <w:t>I confirm that the information in this application is accurate, that the study will be conducted according to the approved protocol, the Declaration of Helsinki, Good Clinical Practice and [National regulations], and that no participant will be included before approval.</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494"/>
        <w:gridCol w:w="6917"/>
      </w:tblGrid>
      <w:tr>
        <w:tc>
          <w:tcPr>
            <w:tcW w:type="dxa" w:w="2494"/>
          </w:tcPr>
          <w:p>
            <w:pPr>
              <w:spacing w:after="0"/>
            </w:pPr>
            <w:r>
              <w:rPr>
                <w:b/>
                <w:color w:val="04242F"/>
                <w:sz w:val="20"/>
              </w:rPr>
              <w:t>Principal investigator:</w:t>
            </w:r>
          </w:p>
        </w:tc>
        <w:tc>
          <w:tcPr>
            <w:tcW w:type="dxa" w:w="6917"/>
          </w:tcPr>
          <w:p>
            <w:pPr>
              <w:spacing w:after="0"/>
            </w:pPr>
            <w:r>
              <w:rPr>
                <w:sz w:val="20"/>
              </w:rPr>
              <w:t>[Name]   (signed)   [DD/MM/YYYY]</w:t>
            </w:r>
          </w:p>
        </w:tc>
      </w:tr>
      <w:tr>
        <w:tc>
          <w:tcPr>
            <w:tcW w:type="dxa" w:w="2494"/>
          </w:tcPr>
          <w:p>
            <w:pPr>
              <w:spacing w:after="0"/>
            </w:pPr>
            <w:r>
              <w:rPr>
                <w:b/>
                <w:color w:val="04242F"/>
                <w:sz w:val="20"/>
              </w:rPr>
              <w:t>Head of department:</w:t>
            </w:r>
          </w:p>
        </w:tc>
        <w:tc>
          <w:tcPr>
            <w:tcW w:type="dxa" w:w="6917"/>
          </w:tcPr>
          <w:p>
            <w:pPr>
              <w:spacing w:after="0"/>
            </w:pPr>
            <w:r>
              <w:rPr>
                <w:sz w:val="20"/>
              </w:rPr>
              <w:t>[Name]   (signed)   [DD/MM/YYYY]</w:t>
            </w:r>
          </w:p>
        </w:tc>
      </w:tr>
    </w:tbl>
    <w:p>
      <w:pPr>
        <w:spacing w:after="0" w:line="120" w:lineRule="exact"/>
      </w:pPr>
    </w:p>
    <w:p>
      <w:pPr>
        <w:pStyle w:val="Heading3"/>
      </w:pPr>
      <w:r>
        <w:t>Attachments</w:t>
      </w:r>
    </w:p>
    <w:p>
      <w:pPr>
        <w:spacing w:after="20"/>
      </w:pPr>
      <w:r>
        <w:rPr>
          <w:rFonts w:ascii="Segoe UI Symbol" w:hAnsi="Segoe UI Symbol" w:cs="Segoe UI Symbol" w:eastAsia="Segoe UI Symbol"/>
        </w:rPr>
        <w:t>☐</w:t>
      </w:r>
      <w:r>
        <w:t xml:space="preserve">  Protocol version 1.0</w:t>
      </w:r>
    </w:p>
    <w:p>
      <w:pPr>
        <w:spacing w:after="20"/>
      </w:pPr>
      <w:r>
        <w:rPr>
          <w:rFonts w:ascii="Segoe UI Symbol" w:hAnsi="Segoe UI Symbol" w:cs="Segoe UI Symbol" w:eastAsia="Segoe UI Symbol"/>
        </w:rPr>
        <w:t>☐</w:t>
      </w:r>
      <w:r>
        <w:t xml:space="preserve">  CRF and data dictionary version 1.0</w:t>
      </w:r>
    </w:p>
    <w:p>
      <w:pPr>
        <w:spacing w:after="20"/>
      </w:pPr>
      <w:r>
        <w:rPr>
          <w:rFonts w:ascii="Segoe UI Symbol" w:hAnsi="Segoe UI Symbol" w:cs="Segoe UI Symbol" w:eastAsia="Segoe UI Symbol"/>
        </w:rPr>
        <w:t>☐</w:t>
      </w:r>
      <w:r>
        <w:t xml:space="preserve">  Information notice and opt-out leaflet (patients and relatives) version 1.0</w:t>
      </w:r>
    </w:p>
    <w:p>
      <w:pPr>
        <w:spacing w:after="20"/>
      </w:pPr>
      <w:r>
        <w:rPr>
          <w:rFonts w:ascii="Segoe UI Symbol" w:hAnsi="Segoe UI Symbol" w:cs="Segoe UI Symbol" w:eastAsia="Segoe UI Symbol"/>
        </w:rPr>
        <w:t>☐  CVs and Good Clinical Practice training records of the investigators</w:t>
      </w:r>
      <w:r/>
    </w:p>
    <w:p>
      <w:pPr>
        <w:spacing w:after="20"/>
      </w:pPr>
      <w:r>
        <w:rPr>
          <w:rFonts w:ascii="Segoe UI Symbol" w:hAnsi="Segoe UI Symbol" w:cs="Segoe UI Symbol" w:eastAsia="Segoe UI Symbol"/>
        </w:rPr>
        <w:t>☐</w:t>
      </w:r>
      <w:r>
        <w:t xml:space="preserve">  Letter of support from the head of department</w:t>
      </w:r>
    </w:p>
    <w:p>
      <w:pPr>
        <w:spacing w:after="20"/>
      </w:pPr>
      <w:r>
        <w:rPr>
          <w:rFonts w:ascii="Segoe UI Symbol" w:hAnsi="Segoe UI Symbol" w:cs="Segoe UI Symbol" w:eastAsia="Segoe UI Symbol"/>
        </w:rPr>
        <w:t>☐</w:t>
      </w:r>
      <w:r>
        <w:t xml:space="preserve">  Budget</w:t>
      </w:r>
    </w:p>
    <w:sectPr w:rsidR="00FC693F" w:rsidRPr="0006063C" w:rsidSect="00034616">
      <w:headerReference w:type="default" r:id="rId9"/>
      <w:footerReference w:type="default" r:id="rId10"/>
      <w:pgSz w:w="11906" w:h="16838"/>
      <w:pgMar w:top="1474"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Foundations of Clinical Research  ·  Neudata Consulting Ltd · </w:t>
    </w:r>
    <w:r>
      <w:rPr>
        <w:i/>
        <w:color w:val="8A99A3"/>
        <w:sz w:val="16"/>
      </w:rPr>
      <w:t>Insight. Impact. Innovation.</w:t>
    </w:r>
    <w:r>
      <w:tab/>
    </w:r>
    <w:r>
      <w:rPr>
        <w:color w:val="8A99A3"/>
        <w:sz w:val="16"/>
      </w:rPr>
      <w:t xml:space="preserve">Page </w:t>
    </w:r>
    <w:r>
      <w:rPr>
        <w:color w:val="8A99A3"/>
        <w:sz w:val="16"/>
      </w:rPr>
      <w:fldChar w:fldCharType="begin"/>
      <w:instrText xml:space="preserve"> PAGE </w:instrText>
      <w:fldChar w:fldCharType="separate"/>
      <w:t>1</w:t>
      <w:fldChar w:fldCharType="end"/>
    </w:r>
    <w:r>
      <w:rPr>
        <w:color w:val="8A99A3"/>
        <w:sz w:val="16"/>
      </w:rPr>
      <w:t xml:space="preserve"> of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FICTIONAL EXAMPLE FOR TRAINING · Sample ethics application</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20" w:after="100"/>
      <w:outlineLvl w:val="0"/>
    </w:pPr>
    <w:rPr>
      <w:rFonts w:ascii="Century Gothic" w:hAnsi="Century Gothic" w:cs="Century Gothic" w:eastAsia="Century Gothic"/>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Century Gothic" w:hAnsi="Century Gothic" w:cs="Century Gothic" w:eastAsia="Century Gothic"/>
      <w:b/>
      <w:bCs/>
      <w:i w:val="0"/>
      <w:color w:val="0B376C"/>
      <w:sz w:val="24"/>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Century Gothic" w:hAnsi="Century Gothic" w:cs="Century Gothic" w:eastAsia="Century Gothic"/>
      <w:b/>
      <w:bCs/>
      <w:i w:val="0"/>
      <w:color w:val="055F5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ascii="Century Gothic" w:hAnsi="Century Gothic" w:cs="Century Gothic" w:eastAsia="Century Gothic"/>
      <w:b/>
      <w:color w:val="04242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Century Gothic" w:hAnsi="Century Gothic" w:cs="Century Gothic" w:eastAsia="Century Gothic"/>
      <w:b w:val="0"/>
      <w:i w:val="0"/>
      <w:iCs/>
      <w:color w:val="055F56"/>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Guidance">
    <w:name w:val="Guidance"/>
    <w:basedOn w:val="Normal"/>
    <w:pPr>
      <w:keepNext/>
      <w:spacing w:after="80"/>
    </w:pPr>
    <w:rPr>
      <w:rFonts w:ascii="Arial" w:hAnsi="Arial" w:cs="Arial" w:eastAsia="Arial"/>
      <w:i/>
      <w:color w:val="6B7B84"/>
      <w:sz w:val="19"/>
    </w:rPr>
  </w:style>
  <w:style w:type="paragraph" w:customStyle="1" w:styleId="Example">
    <w:name w:val="Example"/>
    <w:basedOn w:val="Normal"/>
    <w:pPr>
      <w:pBdr>
        <w:left w:val="single" w:sz="24" w:space="8" w:color="9FD3CB"/>
      </w:pBdr>
      <w:shd w:val="clear" w:color="auto" w:fill="F3F8F7"/>
      <w:spacing w:after="120"/>
      <w:ind w:left="198"/>
    </w:pPr>
    <w:rPr>
      <w:rFonts w:ascii="Arial" w:hAnsi="Arial" w:cs="Arial" w:eastAsia="Arial"/>
      <w:i/>
      <w:color w:val="6B7B84"/>
      <w:sz w:val="19"/>
    </w:rPr>
  </w:style>
  <w:style w:type="paragraph" w:customStyle="1" w:styleId="NeudataSmall">
    <w:name w:val="Neudata Small"/>
    <w:basedOn w:val="Normal"/>
    <w:pPr>
      <w:spacing w:after="0"/>
    </w:pPr>
    <w:rPr>
      <w:rFonts w:ascii="Arial" w:hAnsi="Arial" w:cs="Arial" w:eastAsia="Arial"/>
      <w:color w:val="8A99A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Sample ethics application (fictional)</dc:title>
  <dc:subject>Fictional example for training</dc:subject>
  <dc:creator>Neudata Consulting Ltd</dc:creator>
  <cp:keywords/>
  <dc:description>Generated by Course/Templates/build_documents.py</dc:description>
  <cp:lastModifiedBy/>
  <cp:revision>1</cp:revision>
  <dcterms:created xsi:type="dcterms:W3CDTF">2013-12-23T23:15:00Z</dcterms:created>
  <dcterms:modified xsi:type="dcterms:W3CDTF">2013-12-23T23:15:00Z</dcterms:modified>
  <cp:category/>
</cp:coreProperties>
</file>