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3.png" ContentType="image/png"/>
  <Override PartName="/word/media/rId2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title</w:t>
      </w:r>
    </w:p>
    <w:p>
      <w:pPr>
        <w:pStyle w:val="Subtitle"/>
      </w:pPr>
      <w:r>
        <w:t xml:space="preserve">Short descriptive subtitle</w:t>
      </w:r>
    </w:p>
    <w:p>
      <w:pPr>
        <w:pStyle w:val="Author"/>
      </w:pPr>
      <w:r>
        <w:t xml:space="preserve">Analyst Name</w:t>
      </w:r>
    </w:p>
    <w:p>
      <w:pPr>
        <w:pStyle w:val="Date"/>
      </w:pPr>
      <w:r>
        <w:t xml:space="preserve">2 October 2026</w:t>
      </w:r>
    </w:p>
    <w:p>
      <w:pPr>
        <w:pStyle w:val="AbstractTitle"/>
      </w:pPr>
      <w:r>
        <w:t xml:space="preserve">Abstract</w:t>
      </w:r>
    </w:p>
    <w:p>
      <w:pPr>
        <w:pStyle w:val="Abstract"/>
      </w:pPr>
      <w:r>
        <w:t xml:space="preserve">One-paragraph executive summary: the question, the data, the approach and the</w:t>
      </w:r>
      <w:r>
        <w:t xml:space="preserve"> </w:t>
      </w:r>
      <w:r>
        <w:t xml:space="preserve">headline finding. Keep it readable by a non-technical decision-maker.</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19" w:name="introduction"/>
    <w:p>
      <w:pPr>
        <w:pStyle w:val="Heading1"/>
      </w:pPr>
      <w:r>
        <w:t xml:space="preserve">1. Introduction</w:t>
      </w:r>
    </w:p>
    <w:p>
      <w:pPr>
        <w:pStyle w:val="FirstParagraph"/>
      </w:pPr>
      <w:r>
        <w:t xml:space="preserve">Describe the background, the client’s objective and the questions this report answers.</w:t>
      </w:r>
    </w:p>
    <w:p>
      <w:pPr>
        <w:pStyle w:val="KeyFindings"/>
      </w:pPr>
      <w:r>
        <w:rPr>
          <w:b/>
          <w:bCs/>
        </w:rPr>
        <w:t xml:space="preserve">Key findings</w:t>
      </w:r>
    </w:p>
    <w:p>
      <w:pPr>
        <w:pStyle w:val="Compact"/>
        <w:numPr>
          <w:ilvl w:val="0"/>
          <w:numId w:val="1001"/>
        </w:numPr>
      </w:pPr>
      <w:r>
        <w:t xml:space="preserve">Finding one, stated plainly with its size and uncertainty.</w:t>
      </w:r>
    </w:p>
    <w:p>
      <w:pPr>
        <w:pStyle w:val="Compact"/>
        <w:numPr>
          <w:ilvl w:val="0"/>
          <w:numId w:val="1001"/>
        </w:numPr>
      </w:pPr>
      <w:r>
        <w:t xml:space="preserve">Finding two.</w:t>
      </w:r>
    </w:p>
    <w:p>
      <w:pPr>
        <w:pStyle w:val="Compact"/>
        <w:numPr>
          <w:ilvl w:val="0"/>
          <w:numId w:val="1001"/>
        </w:numPr>
      </w:pPr>
      <w:r>
        <w:t xml:space="preserve">Recommendation or implication for the client.</w:t>
      </w:r>
    </w:p>
    <w:bookmarkEnd w:id="19"/>
    <w:bookmarkStart w:id="20" w:name="data-and-methods"/>
    <w:p>
      <w:pPr>
        <w:pStyle w:val="Heading1"/>
      </w:pPr>
      <w:r>
        <w:t xml:space="preserve">2. Data and methods</w:t>
      </w:r>
    </w:p>
    <w:p>
      <w:pPr>
        <w:pStyle w:val="FirstParagraph"/>
      </w:pPr>
      <w:r>
        <w:t xml:space="preserve">Summarise the data sources, inclusion criteria, variables and statistical methods. Refer to the statistical analysis plan for full detail.</w:t>
      </w:r>
    </w:p>
    <w:bookmarkEnd w:id="20"/>
    <w:bookmarkStart w:id="28" w:name="results"/>
    <w:p>
      <w:pPr>
        <w:pStyle w:val="Heading1"/>
      </w:pPr>
      <w:r>
        <w:t xml:space="preserve">3. Results</w:t>
      </w:r>
    </w:p>
    <w:bookmarkStart w:id="22" w:name="descriptive-summary"/>
    <w:p>
      <w:pPr>
        <w:pStyle w:val="Heading2"/>
      </w:pPr>
      <w:r>
        <w:t xml:space="preserve">3.1 Descriptive summary</w:t>
      </w:r>
    </w:p>
    <w:p>
      <w:pPr>
        <w:pStyle w:val="FirstParagraph"/>
      </w:pPr>
      <w:hyperlink w:anchor="tbl-summary">
        <w:r>
          <w:rPr>
            <w:rStyle w:val="Hyperlink"/>
          </w:rPr>
          <w:t xml:space="preserve">Table 1</w:t>
        </w:r>
      </w:hyperlink>
      <w:r>
        <w:t xml:space="preserve"> </w:t>
      </w:r>
      <w:r>
        <w:t xml:space="preserve">summarises the example data.</w:t>
      </w:r>
    </w:p>
    <w:tbl>
      <w:tblPr>
        <w:tblStyle w:val="Table"/>
        <w:tblW w:type="pct" w:w="5000"/>
        <w:tblLayout w:type="fixed"/>
        <w:tblLook w:firstRow="0" w:lastRow="0" w:firstColumn="0" w:lastColumn="0" w:noHBand="0" w:noVBand="0" w:val="0000"/>
      </w:tblPr>
      <w:tblGrid>
        <w:gridCol w:w="7920"/>
      </w:tblGrid>
      <w:tr>
        <w:tc>
          <w:tcPr/>
          <w:bookmarkStart w:id="21" w:name="tbl-summary"/>
          <w:p>
            <w:pPr>
              <w:jc w:val="center"/>
            </w:pPr>
            <w:pPr>
              <w:jc w:val="left"/>
              <w:spacing w:before="200"/>
              <w:pStyle w:val="ImageCaption"/>
            </w:pPr>
            <w:r>
              <w:t xml:space="preserve">Table 1: Mean tooth length by supplement and dose (example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Supplement</w:t>
                  </w:r>
                </w:p>
              </w:tc>
              <w:tc>
                <w:tcPr/>
                <w:p>
                  <w:pPr>
                    <w:pStyle w:val="Compact"/>
                    <w:jc w:val="right"/>
                    <w:jc w:val="center"/>
                  </w:pPr>
                  <w:r>
                    <w:t xml:space="preserve">Dose (mg/day)</w:t>
                  </w:r>
                </w:p>
              </w:tc>
              <w:tc>
                <w:tcPr/>
                <w:p>
                  <w:pPr>
                    <w:pStyle w:val="Compact"/>
                    <w:jc w:val="right"/>
                    <w:jc w:val="center"/>
                  </w:pPr>
                  <w:r>
                    <w:t xml:space="preserve">Mean length</w:t>
                  </w:r>
                </w:p>
              </w:tc>
            </w:tr>
            <w:tr>
              <w:tc>
                <w:tcPr/>
                <w:p>
                  <w:pPr>
                    <w:pStyle w:val="Compact"/>
                    <w:jc w:val="left"/>
                    <w:jc w:val="center"/>
                  </w:pPr>
                  <w:r>
                    <w:t xml:space="preserve">OJ</w:t>
                  </w:r>
                </w:p>
              </w:tc>
              <w:tc>
                <w:tcPr/>
                <w:p>
                  <w:pPr>
                    <w:pStyle w:val="Compact"/>
                    <w:jc w:val="right"/>
                    <w:jc w:val="center"/>
                  </w:pPr>
                  <w:r>
                    <w:t xml:space="preserve">0.5</w:t>
                  </w:r>
                </w:p>
              </w:tc>
              <w:tc>
                <w:tcPr/>
                <w:p>
                  <w:pPr>
                    <w:pStyle w:val="Compact"/>
                    <w:jc w:val="right"/>
                    <w:jc w:val="center"/>
                  </w:pPr>
                  <w:r>
                    <w:t xml:space="preserve">13.2</w:t>
                  </w:r>
                </w:p>
              </w:tc>
            </w:tr>
            <w:tr>
              <w:tc>
                <w:tcPr/>
                <w:p>
                  <w:pPr>
                    <w:pStyle w:val="Compact"/>
                    <w:jc w:val="left"/>
                    <w:jc w:val="center"/>
                  </w:pPr>
                  <w:r>
                    <w:t xml:space="preserve">VC</w:t>
                  </w:r>
                </w:p>
              </w:tc>
              <w:tc>
                <w:tcPr/>
                <w:p>
                  <w:pPr>
                    <w:pStyle w:val="Compact"/>
                    <w:jc w:val="right"/>
                    <w:jc w:val="center"/>
                  </w:pPr>
                  <w:r>
                    <w:t xml:space="preserve">0.5</w:t>
                  </w:r>
                </w:p>
              </w:tc>
              <w:tc>
                <w:tcPr/>
                <w:p>
                  <w:pPr>
                    <w:pStyle w:val="Compact"/>
                    <w:jc w:val="right"/>
                    <w:jc w:val="center"/>
                  </w:pPr>
                  <w:r>
                    <w:t xml:space="preserve">8.0</w:t>
                  </w:r>
                </w:p>
              </w:tc>
            </w:tr>
            <w:tr>
              <w:tc>
                <w:tcPr/>
                <w:p>
                  <w:pPr>
                    <w:pStyle w:val="Compact"/>
                    <w:jc w:val="left"/>
                    <w:jc w:val="center"/>
                  </w:pPr>
                  <w:r>
                    <w:t xml:space="preserve">OJ</w:t>
                  </w:r>
                </w:p>
              </w:tc>
              <w:tc>
                <w:tcPr/>
                <w:p>
                  <w:pPr>
                    <w:pStyle w:val="Compact"/>
                    <w:jc w:val="right"/>
                    <w:jc w:val="center"/>
                  </w:pPr>
                  <w:r>
                    <w:t xml:space="preserve">1.0</w:t>
                  </w:r>
                </w:p>
              </w:tc>
              <w:tc>
                <w:tcPr/>
                <w:p>
                  <w:pPr>
                    <w:pStyle w:val="Compact"/>
                    <w:jc w:val="right"/>
                    <w:jc w:val="center"/>
                  </w:pPr>
                  <w:r>
                    <w:t xml:space="preserve">22.7</w:t>
                  </w:r>
                </w:p>
              </w:tc>
            </w:tr>
            <w:tr>
              <w:tc>
                <w:tcPr/>
                <w:p>
                  <w:pPr>
                    <w:pStyle w:val="Compact"/>
                    <w:jc w:val="left"/>
                    <w:jc w:val="center"/>
                  </w:pPr>
                  <w:r>
                    <w:t xml:space="preserve">VC</w:t>
                  </w:r>
                </w:p>
              </w:tc>
              <w:tc>
                <w:tcPr/>
                <w:p>
                  <w:pPr>
                    <w:pStyle w:val="Compact"/>
                    <w:jc w:val="right"/>
                    <w:jc w:val="center"/>
                  </w:pPr>
                  <w:r>
                    <w:t xml:space="preserve">1.0</w:t>
                  </w:r>
                </w:p>
              </w:tc>
              <w:tc>
                <w:tcPr/>
                <w:p>
                  <w:pPr>
                    <w:pStyle w:val="Compact"/>
                    <w:jc w:val="right"/>
                    <w:jc w:val="center"/>
                  </w:pPr>
                  <w:r>
                    <w:t xml:space="preserve">16.8</w:t>
                  </w:r>
                </w:p>
              </w:tc>
            </w:tr>
            <w:tr>
              <w:tc>
                <w:tcPr/>
                <w:p>
                  <w:pPr>
                    <w:pStyle w:val="Compact"/>
                    <w:jc w:val="left"/>
                    <w:jc w:val="center"/>
                  </w:pPr>
                  <w:r>
                    <w:t xml:space="preserve">OJ</w:t>
                  </w:r>
                </w:p>
              </w:tc>
              <w:tc>
                <w:tcPr/>
                <w:p>
                  <w:pPr>
                    <w:pStyle w:val="Compact"/>
                    <w:jc w:val="right"/>
                    <w:jc w:val="center"/>
                  </w:pPr>
                  <w:r>
                    <w:t xml:space="preserve">2.0</w:t>
                  </w:r>
                </w:p>
              </w:tc>
              <w:tc>
                <w:tcPr/>
                <w:p>
                  <w:pPr>
                    <w:pStyle w:val="Compact"/>
                    <w:jc w:val="right"/>
                    <w:jc w:val="center"/>
                  </w:pPr>
                  <w:r>
                    <w:t xml:space="preserve">26.1</w:t>
                  </w:r>
                </w:p>
              </w:tc>
            </w:tr>
            <w:tr>
              <w:tc>
                <w:tcPr/>
                <w:p>
                  <w:pPr>
                    <w:pStyle w:val="Compact"/>
                    <w:jc w:val="left"/>
                    <w:jc w:val="center"/>
                  </w:pPr>
                  <w:r>
                    <w:t xml:space="preserve">VC</w:t>
                  </w:r>
                </w:p>
              </w:tc>
              <w:tc>
                <w:tcPr/>
                <w:p>
                  <w:pPr>
                    <w:pStyle w:val="Compact"/>
                    <w:jc w:val="right"/>
                    <w:jc w:val="center"/>
                  </w:pPr>
                  <w:r>
                    <w:t xml:space="preserve">2.0</w:t>
                  </w:r>
                </w:p>
              </w:tc>
              <w:tc>
                <w:tcPr/>
                <w:p>
                  <w:pPr>
                    <w:pStyle w:val="Compact"/>
                    <w:jc w:val="right"/>
                    <w:jc w:val="center"/>
                  </w:pPr>
                  <w:r>
                    <w:t xml:space="preserve">26.1</w:t>
                  </w:r>
                </w:p>
              </w:tc>
            </w:tr>
          </w:tbl>
          <w:bookmarkEnd w:id="21"/>
          <w:p/>
        </w:tc>
      </w:tr>
    </w:tbl>
    <w:bookmarkEnd w:id="22"/>
    <w:bookmarkStart w:id="27" w:name="main-analysis"/>
    <w:p>
      <w:pPr>
        <w:pStyle w:val="Heading2"/>
      </w:pPr>
      <w:r>
        <w:t xml:space="preserve">3.2 Main analysis</w:t>
      </w:r>
    </w:p>
    <w:p>
      <w:pPr>
        <w:pStyle w:val="FirstParagraph"/>
      </w:pPr>
      <w:hyperlink w:anchor="fig-main">
        <w:r>
          <w:rPr>
            <w:rStyle w:val="Hyperlink"/>
          </w:rPr>
          <w:t xml:space="preserve">Figure 1</w:t>
        </w:r>
      </w:hyperlink>
      <w:r>
        <w:t xml:space="preserve"> </w:t>
      </w:r>
      <w:r>
        <w:t xml:space="preserve">shows the relationship using the Neudata palette.</w:t>
      </w:r>
    </w:p>
    <w:tbl>
      <w:tblPr>
        <w:tblStyle w:val="Table"/>
        <w:tblW w:type="pct" w:w="5000"/>
        <w:tblLayout w:type="fixed"/>
        <w:tblLook w:firstRow="0" w:lastRow="0" w:firstColumn="0" w:lastColumn="0" w:noHBand="0" w:noVBand="0" w:val="0000"/>
      </w:tblPr>
      <w:tblGrid>
        <w:gridCol w:w="7920"/>
      </w:tblGrid>
      <w:tr>
        <w:tc>
          <w:tcPr/>
          <w:bookmarkStart w:id="26" w:name="fig-main"/>
          <w:p>
            <w:pPr>
              <w:pStyle w:val="Compact"/>
              <w:jc w:val="center"/>
            </w:pPr>
            <w:r>
              <w:drawing>
                <wp:inline>
                  <wp:extent cx="5969000" cy="3410857"/>
                  <wp:effectExtent b="0" l="0" r="0" t="0"/>
                  <wp:docPr descr="" title="" id="24" name="Picture"/>
                  <a:graphic>
                    <a:graphicData uri="http://schemas.openxmlformats.org/drawingml/2006/picture">
                      <pic:pic>
                        <pic:nvPicPr>
                          <pic:cNvPr descr="template_files/figure-docx/fig-main-1.png" id="25" name="Picture"/>
                          <pic:cNvPicPr>
                            <a:picLocks noChangeArrowheads="1" noChangeAspect="1"/>
                          </pic:cNvPicPr>
                        </pic:nvPicPr>
                        <pic:blipFill>
                          <a:blip r:embed="rId23"/>
                          <a:stretch>
                            <a:fillRect/>
                          </a:stretch>
                        </pic:blipFill>
                        <pic:spPr bwMode="auto">
                          <a:xfrm>
                            <a:off x="0" y="0"/>
                            <a:ext cx="5969000" cy="34108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Tooth length by dose and supplement (example data).</w:t>
            </w:r>
          </w:p>
          <w:bookmarkEnd w:id="26"/>
        </w:tc>
      </w:tr>
    </w:tbl>
    <w:bookmarkEnd w:id="27"/>
    <w:bookmarkEnd w:id="28"/>
    <w:bookmarkStart w:id="32" w:name="discussion"/>
    <w:p>
      <w:pPr>
        <w:pStyle w:val="Heading1"/>
      </w:pPr>
      <w:r>
        <w:t xml:space="preserve">4. Discussion</w:t>
      </w:r>
    </w:p>
    <w:p>
      <w:pPr>
        <w:pStyle w:val="FirstParagraph"/>
      </w:pPr>
      <w:r>
        <w:t xml:space="preserve">Interpret the results, note limitations and set out recommendations.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 Files\RStudio\resources\app\bin\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This report was generated from code. Software versions are listed in the appendix.</w:t>
            </w:r>
          </w:p>
          <w:p/>
        </w:tc>
      </w:tr>
    </w:tbl>
    <w:bookmarkEnd w:id="32"/>
    <w:bookmarkStart w:id="36" w:name="appendix"/>
    <w:p>
      <w:pPr>
        <w:pStyle w:val="Heading1"/>
      </w:pPr>
      <w:r>
        <w:t xml:space="preserve">5. Appendix</w:t>
      </w:r>
    </w:p>
    <w:p>
      <w:pPr>
        <w:pStyle w:val="SourceCode"/>
      </w:pPr>
      <w:r>
        <w:rPr>
          <w:rStyle w:val="FunctionTok"/>
        </w:rPr>
        <w:t xml:space="preserve">sessionInfo</w:t>
      </w:r>
      <w:r>
        <w:rPr>
          <w:rStyle w:val="NormalTok"/>
        </w:rPr>
        <w:t xml:space="preserve">()</w:t>
      </w:r>
      <w:r>
        <w:rPr>
          <w:rStyle w:val="SpecialCharTok"/>
        </w:rPr>
        <w:t xml:space="preserve">$</w:t>
      </w:r>
      <w:r>
        <w:rPr>
          <w:rStyle w:val="NormalTok"/>
        </w:rPr>
        <w:t xml:space="preserve">R.version</w:t>
      </w:r>
      <w:r>
        <w:rPr>
          <w:rStyle w:val="SpecialCharTok"/>
        </w:rPr>
        <w:t xml:space="preserve">$</w:t>
      </w:r>
      <w:r>
        <w:rPr>
          <w:rStyle w:val="NormalTok"/>
        </w:rPr>
        <w:t xml:space="preserve">version.string</w:t>
      </w:r>
    </w:p>
    <w:p>
      <w:pPr>
        <w:pStyle w:val="SourceCode"/>
      </w:pPr>
      <w:r>
        <w:rPr>
          <w:rStyle w:val="VerbatimChar"/>
        </w:rPr>
        <w:t xml:space="preserve">[1] "R version 4.6.1 (2026-06-24 ucrt)"</w:t>
      </w:r>
    </w:p>
    <w:p>
      <w:r>
        <w:br w:type="page"/>
      </w:r>
    </w:p>
    <w:p>
      <w:pPr>
        <w:pStyle w:val="CopyrightLogo"/>
      </w:pPr>
      <w:r>
        <w:drawing>
          <wp:inline>
            <wp:extent cx="2041199" cy="1511999"/>
            <wp:effectExtent b="0" l="0" r="0" t="0"/>
            <wp:docPr descr="" title="" id="34" name="Picture"/>
            <a:graphic>
              <a:graphicData uri="http://schemas.openxmlformats.org/drawingml/2006/picture">
                <pic:pic>
                  <pic:nvPicPr>
                    <pic:cNvPr descr="neudata-logo.png" id="35" name="Picture"/>
                    <pic:cNvPicPr>
                      <a:picLocks noChangeArrowheads="1" noChangeAspect="1"/>
                    </pic:cNvPicPr>
                  </pic:nvPicPr>
                  <pic:blipFill>
                    <a:blip r:embed="rId33"/>
                    <a:stretch>
                      <a:fillRect/>
                    </a:stretch>
                  </pic:blipFill>
                  <pic:spPr bwMode="auto">
                    <a:xfrm>
                      <a:off x="0" y="0"/>
                      <a:ext cx="2041199" cy="1511999"/>
                    </a:xfrm>
                    <a:prstGeom prst="rect">
                      <a:avLst/>
                    </a:prstGeom>
                    <a:noFill/>
                    <a:ln w="9525">
                      <a:noFill/>
                      <a:headEnd/>
                      <a:tailEnd/>
                    </a:ln>
                  </pic:spPr>
                </pic:pic>
              </a:graphicData>
            </a:graphic>
          </wp:inline>
        </w:drawing>
      </w:r>
    </w:p>
    <w:p>
      <w:pPr>
        <w:pStyle w:val="CopyrightHeading"/>
      </w:pPr>
      <w:r>
        <w:t xml:space="preserve">Copyright © Neudata, 2026</w:t>
      </w:r>
    </w:p>
    <w:p>
      <w:pPr>
        <w:pStyle w:val="CopyrightText"/>
      </w:pPr>
      <w:r>
        <w:t xml:space="preserve">All property rights and copyright are reserved.</w:t>
      </w:r>
    </w:p>
    <w:p>
      <w:pPr>
        <w:pStyle w:val="CopyrightText"/>
      </w:pPr>
      <w:r>
        <w:t xml:space="preserve">This document contains proprietary data, information, and materials developed by Neudata for dedicated use only and may not be communicated, copied, reproduced, distributed, published, or cited, in whole or in part, without the prior written consent of Neudata. Where explicit written permission has been granted, appropriate attribution must be included, followed by “by courtesy of Neudata”.</w:t>
      </w:r>
    </w:p>
    <w:p>
      <w:pPr>
        <w:pStyle w:val="CopyrightText"/>
      </w:pPr>
      <w:r>
        <w:t xml:space="preserve">Any unauthorized use or infringement of these materials may give rise to legal action and claims for damages, without prejudice to any other rights of Neudata, including rights relating to patents, trademarks, or other forms of intellectual property protection.</w:t>
      </w:r>
    </w:p>
    <w:bookmarkEnd w:id="36"/>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A99A3"/>
        <w:sz w:val="16"/>
      </w:rPr>
      <w:t xml:space="preserve">Neudata Consulting Ltd · www.neu-data.com · </w:t>
    </w:r>
    <w:r>
      <w:rPr>
        <w:i/>
        <w:color w:val="055F56"/>
        <w:sz w:val="16"/>
      </w:rPr>
      <w:t>Insight. Impact. Innovation.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534600" cy="396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534600" cy="396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cs="Segoe UI" w:eastAsia="Segoe UI" w:hAnsi="Segoe UI"/>
      <w:sz w:val="21"/>
    </w:rPr>
  </w:style>
  <w:style w:styleId="BodyText" w:type="paragraph">
    <w:name w:val="Body Text"/>
    <w:basedOn w:val="Normal"/>
    <w:link w:val="BodyTextChar"/>
    <w:qFormat/>
    <w:pPr>
      <w:spacing w:after="180" w:before="180"/>
    </w:pPr>
    <w:rPr>
      <w:rFonts w:ascii="Segoe UI" w:cs="Segoe UI" w:eastAsia="Segoe UI" w:hAnsi="Segoe UI"/>
    </w:rPr>
  </w:style>
  <w:style w:customStyle="1" w:styleId="FirstParagraph" w:type="paragraph">
    <w:name w:val="First Paragraph"/>
    <w:basedOn w:val="BodyText"/>
    <w:next w:val="BodyText"/>
    <w:qFormat/>
    <w:rPr>
      <w:rFonts w:ascii="Segoe UI" w:cs="Segoe UI" w:eastAsia="Segoe UI" w:hAnsi="Segoe UI"/>
    </w:rPr>
  </w:style>
  <w:style w:customStyle="1" w:styleId="Compact" w:type="paragraph">
    <w:name w:val="Compact"/>
    <w:basedOn w:val="BodyText"/>
    <w:qFormat/>
    <w:pPr>
      <w:spacing w:after="36" w:before="36"/>
    </w:pPr>
    <w:rPr>
      <w:rFonts w:ascii="Segoe UI" w:cs="Segoe UI" w:eastAsia="Segoe UI" w:hAnsi="Segoe UI"/>
    </w:rPr>
  </w:style>
  <w:style w:styleId="Title" w:type="paragraph">
    <w:name w:val="Title"/>
    <w:basedOn w:val="Normal"/>
    <w:next w:val="BodyText"/>
    <w:link w:val="TitleChar"/>
    <w:uiPriority w:val="10"/>
    <w:qFormat/>
    <w:rsid w:val="00A10FD9"/>
    <w:pPr>
      <w:spacing w:after="80" w:line="240" w:lineRule="auto"/>
      <w:contextualSpacing/>
      <w:jc w:val="center"/>
    </w:pPr>
    <w:rPr>
      <w:rFonts w:ascii="Segoe UI" w:cs="Segoe UI" w:eastAsia="Segoe UI" w:hAnsi="Segoe UI"/>
      <w:b/>
      <w:color w:val="04242F"/>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Segoe UI" w:eastAsia="Segoe UI" w:hAnsi="Segoe UI"/>
      <w:color w:val="055F56"/>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Segoe UI" w:cs="Segoe UI" w:eastAsia="Segoe UI" w:hAnsi="Segoe UI"/>
      <w:sz w:val="24"/>
      <w:szCs w:val="24"/>
    </w:rPr>
  </w:style>
  <w:style w:styleId="Date" w:type="paragraph">
    <w:name w:val="Date"/>
    <w:basedOn w:val="Title"/>
    <w:next w:val="BodyText"/>
    <w:qFormat/>
    <w:pPr>
      <w:keepNext/>
      <w:keepLines/>
    </w:pPr>
    <w:rPr>
      <w:rFonts w:ascii="Segoe UI" w:cs="Segoe UI" w:eastAsia="Segoe UI" w:hAnsi="Segoe UI"/>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Segoe UI" w:cs="Segoe UI" w:eastAsia="Segoe UI" w:hAnsi="Segoe UI"/>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80"/>
      <w:outlineLvl w:val="0"/>
      <w:pBdr>
        <w:bottom w:color="055F56" w:space="4" w:sz="12" w:val="single"/>
      </w:pBdr>
    </w:pPr>
    <w:rPr>
      <w:rFonts w:ascii="Segoe UI" w:cs="Segoe UI" w:eastAsia="Segoe UI" w:hAnsi="Segoe UI"/>
      <w:b/>
      <w:color w:val="04242F"/>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Segoe UI" w:cs="Segoe UI" w:eastAsia="Segoe UI" w:hAnsi="Segoe UI"/>
      <w:b/>
      <w:color w:val="0B376C"/>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Segoe UI" w:cs="Segoe UI" w:eastAsia="Segoe UI" w:hAnsi="Segoe UI"/>
      <w:b/>
      <w:color w:val="055F56"/>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eastAsia="Segoe UI" w:hAnsi="Segoe UI"/>
      <w:b/>
      <w:i/>
      <w:iCs/>
      <w:color w:val="04242F"/>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Segoe UI" w:cs="Segoe UI" w:eastAsia="Segoe UI" w:hAnsi="Segoe UI"/>
    </w:rPr>
  </w:style>
  <w:style w:styleId="FootnoteText" w:type="paragraph">
    <w:name w:val="Footnote Text"/>
    <w:basedOn w:val="Normal"/>
    <w:next w:val="FootnoteText"/>
    <w:uiPriority w:val="9"/>
    <w:unhideWhenUsed/>
    <w:qFormat/>
    <w:rPr>
      <w:rFonts w:ascii="Segoe UI" w:cs="Segoe UI" w:eastAsia="Segoe UI" w:hAnsi="Segoe UI"/>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tblStylePr w:type="firstRow">
      <w:rPr>
        <w:b/>
        <w:color w:val="FFFFFF"/>
      </w:rPr>
      <w:tcPr>
        <w:shd w:color="auto" w:fill="04242F"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04242F"/>
      <w:sz w:val="18"/>
    </w:rPr>
  </w:style>
  <w:style w:customStyle="1" w:styleId="TableCaption" w:type="paragraph">
    <w:name w:val="Table Caption"/>
    <w:basedOn w:val="Caption"/>
    <w:pPr>
      <w:keepNext/>
    </w:pPr>
    <w:rPr>
      <w:rFonts w:ascii="Segoe UI" w:cs="Segoe UI" w:eastAsia="Segoe UI" w:hAnsi="Segoe UI"/>
      <w:i/>
      <w:color w:val="04242F"/>
      <w:sz w:val="18"/>
    </w:rPr>
  </w:style>
  <w:style w:customStyle="1" w:styleId="ImageCaption" w:type="paragraph">
    <w:name w:val="Image Caption"/>
    <w:basedOn w:val="Caption"/>
    <w:rPr>
      <w:rFonts w:ascii="Segoe UI" w:cs="Segoe UI" w:eastAsia="Segoe UI" w:hAnsi="Segoe UI"/>
      <w:i/>
      <w:color w:val="04242F"/>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376C"/>
    </w:rPr>
  </w:style>
  <w:style w:styleId="TOCHeading" w:type="paragraph">
    <w:name w:val="TOC Heading"/>
    <w:basedOn w:val="Heading1"/>
    <w:next w:val="BodyText"/>
    <w:uiPriority w:val="39"/>
    <w:unhideWhenUsed/>
    <w:qFormat/>
    <w:pPr>
      <w:spacing w:before="240" w:line="259" w:lineRule="auto"/>
      <w:outlineLvl w:val="9"/>
    </w:pPr>
    <w:rPr>
      <w:rFonts w:ascii="Segoe UI" w:cs="Segoe UI" w:eastAsia="Segoe UI" w:hAnsi="Segoe UI"/>
      <w:b w:val="0"/>
      <w:bCs w:val="0"/>
      <w:color w:themeColor="accent1" w:themeShade="BF" w:val="365F91"/>
    </w:rPr>
  </w:style>
  <w:style w:customStyle="1" w:styleId="KeyFindings" w:type="paragraph">
    <w:name w:val="Key Findings"/>
    <w:basedOn w:val="BodyText"/>
    <w:pPr>
      <w:pBdr>
        <w:left w:color="055F56" w:space="8" w:sz="36" w:val="single"/>
      </w:pBdr>
      <w:shd w:color="auto" w:fill="EAF2F5" w:val="clear"/>
      <w:ind w:left="227"/>
    </w:pPr>
    <w:rPr>
      <w:rFonts w:ascii="Segoe UI" w:cs="Segoe UI" w:eastAsia="Segoe UI" w:hAnsi="Segoe UI"/>
      <w:color w:val="04242F"/>
      <w:sz w:val="21"/>
    </w:rPr>
  </w:style>
  <w:style w:customStyle="1" w:styleId="CopyrightLogo" w:type="paragraph">
    <w:name w:val="Copyright Logo"/>
    <w:basedOn w:val="Normal"/>
    <w:pPr>
      <w:spacing w:after="480" w:before="2400"/>
      <w:jc w:val="center"/>
    </w:pPr>
  </w:style>
  <w:style w:customStyle="1" w:styleId="CopyrightHeading" w:type="paragraph">
    <w:name w:val="Copyright Heading"/>
    <w:basedOn w:val="Normal"/>
    <w:pPr>
      <w:keepNext/>
      <w:spacing w:after="160"/>
    </w:pPr>
    <w:rPr>
      <w:rFonts w:ascii="Segoe UI" w:cs="Segoe UI" w:eastAsia="Segoe UI" w:hAnsi="Segoe UI"/>
      <w:b/>
      <w:color w:val="04242F"/>
      <w:sz w:val="26"/>
    </w:rPr>
  </w:style>
  <w:style w:customStyle="1" w:styleId="CopyrightText" w:type="paragraph">
    <w:name w:val="Copyright Text"/>
    <w:basedOn w:val="Normal"/>
    <w:pPr>
      <w:spacing w:after="160" w:line="264" w:lineRule="auto"/>
    </w:pPr>
    <w:rPr>
      <w:rFonts w:ascii="Consolas" w:cs="Consolas" w:eastAsia="Consolas" w:hAnsi="Consolas"/>
      <w:color w:val="1A1A1A"/>
      <w:sz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title</dc:title>
  <dc:creator>Analyst Name</dc:creator>
  <cp:keywords/>
  <dcterms:created xsi:type="dcterms:W3CDTF">2026-10-02T20:57:52Z</dcterms:created>
  <dcterms:modified xsi:type="dcterms:W3CDTF">2026-10-02T20:57:52Z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One-paragraph executive summary: the question, the data, the approach and the headline finding. Keep it readable by a non-technical decision-maker.</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lient">
    <vt:lpwstr>Client organisation</vt:lpwstr>
  </property>
  <property fmtid="{D5CDD505-2E9C-101B-9397-08002B2CF9AE}" pid="9" name="confidentiality">
    <vt:lpwstr>Confidential</vt:lpwstr>
  </property>
  <property fmtid="{D5CDD505-2E9C-101B-9397-08002B2CF9AE}" pid="10" name="date">
    <vt:lpwstr>2 October 2026</vt:lpwstr>
  </property>
  <property fmtid="{D5CDD505-2E9C-101B-9397-08002B2CF9AE}" pid="11" name="date-format">
    <vt:lpwstr>D MMMM YYYY</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eference">
    <vt:lpwstr>NDC-2026-000</vt:lpwstr>
  </property>
  <property fmtid="{D5CDD505-2E9C-101B-9397-08002B2CF9AE}" pid="17" name="revealjs-plugins">
    <vt:lpwstr/>
  </property>
  <property fmtid="{D5CDD505-2E9C-101B-9397-08002B2CF9AE}" pid="18" name="subtitle">
    <vt:lpwstr>Short descriptive subtitle</vt:lpwstr>
  </property>
  <property fmtid="{D5CDD505-2E9C-101B-9397-08002B2CF9AE}" pid="19" name="toc-title">
    <vt:lpwstr>Contents</vt:lpwstr>
  </property>
</Properties>
</file>