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title</w:t>
      </w:r>
    </w:p>
    <w:p>
      <w:pPr>
        <w:pStyle w:val="Subtitle"/>
      </w:pPr>
      <w:r>
        <w:t>Subtitle or short description</w:t>
      </w:r>
    </w:p>
    <w:p>
      <w:pPr>
        <w:pStyle w:val="NeudataSmall"/>
      </w:pPr>
      <w:r>
        <w:rPr>
          <w:i/>
          <w:color w:val="6B7B84"/>
        </w:rPr>
        <w:t>[Author]</w:t>
      </w:r>
      <w:r>
        <w:t xml:space="preserve">  ·  </w:t>
      </w:r>
      <w:r>
        <w:rPr>
          <w:i/>
          <w:color w:val="6B7B84"/>
        </w:rPr>
        <w:t>[DD-MM-YYYY]</w:t>
      </w:r>
      <w:r>
        <w:t xml:space="preserve">  ·  Version </w:t>
      </w:r>
      <w:r>
        <w:rPr>
          <w:i/>
          <w:color w:val="6B7B84"/>
        </w:rPr>
        <w:t>[1.0]</w:t>
      </w:r>
    </w:p>
    <w:p>
      <w:pPr>
        <w:spacing w:after="0" w:line="280" w:lineRule="exact"/>
      </w:pPr>
    </w:p>
    <w:p>
      <w:pPr>
        <w:pStyle w:val="Heading1"/>
      </w:pPr>
      <w:r>
        <w:t>1  Heading 1</w:t>
      </w:r>
    </w:p>
    <w:p>
      <w:r>
        <w:t>Body text uses the Normal style (Arial 10.5 pt). Headings use Century Gothic in the Neudata colours: navy with a teal rule for Heading 1, logo blue for Heading 2 and teal for Heading 3. Use the Styles gallery (Home → Styles) rather than manual formatting.</w:t>
      </w:r>
    </w:p>
    <w:p>
      <w:pPr>
        <w:pStyle w:val="KeyFindings"/>
      </w:pPr>
      <w:r>
        <w:t>Key Findings style: highlight the main message of a section in a tinted box.</w:t>
      </w:r>
    </w:p>
    <w:p>
      <w:pPr>
        <w:pStyle w:val="Heading2"/>
      </w:pPr>
      <w:r>
        <w:t>1.1  Heading 2</w:t>
      </w:r>
    </w:p>
    <w:p>
      <w:pPr>
        <w:pStyle w:val="ListBullet"/>
      </w:pPr>
      <w:r>
        <w:t>Bulleted list item (List Bullet style)</w:t>
      </w:r>
    </w:p>
    <w:p>
      <w:pPr>
        <w:pStyle w:val="ListBullet"/>
      </w:pPr>
      <w:r>
        <w:t>Second item</w:t>
      </w:r>
    </w:p>
    <w:p>
      <w:pPr>
        <w:pStyle w:val="ListBullet"/>
      </w:pPr>
      <w:r>
        <w:t>Third item</w:t>
      </w:r>
    </w:p>
    <w:p>
      <w:pPr>
        <w:pStyle w:val="Heading3"/>
      </w:pPr>
      <w:r>
        <w:t>Heading 3</w:t>
      </w:r>
    </w:p>
    <w:p>
      <w:r>
        <w:t>Tables use a navy header row and light striping: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1701"/>
        <w:gridCol w:w="5443"/>
        <w:gridCol w:w="2268"/>
      </w:tblGrid>
      <w:tr>
        <w:trPr>
          <w:cantSplit w:val="true"/>
          <w:tblHeader w:val="true"/>
        </w:trPr>
        <w:tc>
          <w:tcPr>
            <w:tcW w:type="dxa" w:w="170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5443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268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  <w:jc w:val="right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A</w:t>
            </w:r>
          </w:p>
        </w:tc>
        <w:tc>
          <w:tcPr>
            <w:tcW w:type="dxa" w:w="54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First row</w:t>
            </w:r>
          </w:p>
        </w:tc>
        <w:tc>
          <w:tcPr>
            <w:tcW w:type="dxa" w:w="226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  <w:jc w:val="right"/>
            </w:pPr>
            <w:r>
              <w:rPr>
                <w:sz w:val="19"/>
              </w:rPr>
              <w:t>1,200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B</w:t>
            </w:r>
          </w:p>
        </w:tc>
        <w:tc>
          <w:tcPr>
            <w:tcW w:type="dxa" w:w="54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Second row</w:t>
            </w:r>
          </w:p>
        </w:tc>
        <w:tc>
          <w:tcPr>
            <w:tcW w:type="dxa" w:w="226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  <w:jc w:val="right"/>
            </w:pPr>
            <w:r>
              <w:rPr>
                <w:sz w:val="19"/>
              </w:rPr>
              <w:t>640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C</w:t>
            </w:r>
          </w:p>
        </w:tc>
        <w:tc>
          <w:tcPr>
            <w:tcW w:type="dxa" w:w="54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Third row</w:t>
            </w:r>
          </w:p>
        </w:tc>
        <w:tc>
          <w:tcPr>
            <w:tcW w:type="dxa" w:w="226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  <w:jc w:val="right"/>
            </w:pPr>
            <w:r>
              <w:rPr>
                <w:sz w:val="19"/>
              </w:rPr>
              <w:t>560</w:t>
            </w:r>
          </w:p>
        </w:tc>
      </w:tr>
    </w:tbl>
    <w:p>
      <w:pPr>
        <w:pStyle w:val="Caption"/>
        <w:jc w:val="center"/>
      </w:pPr>
      <w:r>
        <w:t>Table 1: Example table caption (Caption style).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361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>
      <w:rPr>
        <w:color w:val="8A99A3"/>
        <w:sz w:val="16"/>
      </w:rPr>
      <w:t xml:space="preserve">Neudata Consulting Ltd · </w:t>
    </w:r>
    <w:r>
      <w:rPr>
        <w:i/>
        <w:color w:val="8A99A3"/>
        <w:sz w:val="16"/>
      </w:rPr>
      <w:t>Insight. Impact. Innovation.</w:t>
    </w:r>
    <w:r>
      <w:tab/>
    </w:r>
    <w:r>
      <w:rPr>
        <w:color w:val="8A99A3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8A99A3"/>
        <w:sz w:val="16"/>
      </w:rPr>
      <w:t xml:space="preserve"> / </w:t>
    </w:r>
    <w:r>
      <w:rPr>
        <w:color w:val="8A99A3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055F56"/>
      </w:pBdr>
      <w:tabs>
        <w:tab w:pos="9411" w:val="right"/>
      </w:tabs>
    </w:pPr>
    <w:r>
      <w:rPr>
        <w:color w:val="04242F"/>
        <w:sz w:val="16"/>
      </w:rPr>
      <w:t>Document title</w:t>
    </w:r>
    <w:r>
      <w:tab/>
      <w:drawing>
        <wp:inline xmlns:a="http://schemas.openxmlformats.org/drawingml/2006/main" xmlns:pic="http://schemas.openxmlformats.org/drawingml/2006/picture">
          <wp:extent cx="493269" cy="34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data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3269" cy="342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color w:val="1F2D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9411" w:val="right"/>
      </w:tabs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9411" w:val="right"/>
      </w:tabs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0" w:space="4" w:color="055F56"/>
      </w:pBdr>
      <w:spacing w:before="360" w:after="120"/>
      <w:outlineLvl w:val="0"/>
    </w:pPr>
    <w:rPr>
      <w:rFonts w:ascii="Century Gothic" w:hAnsi="Century Gothic" w:cs="Century Gothic" w:eastAsia="Century Gothic"/>
      <w:b/>
      <w:bCs/>
      <w:i w:val="0"/>
      <w:color w:val="0424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entury Gothic" w:hAnsi="Century Gothic" w:cs="Century Gothic" w:eastAsia="Century Gothic"/>
      <w:b/>
      <w:bCs/>
      <w:i w:val="0"/>
      <w:color w:val="0B376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Century Gothic" w:hAnsi="Century Gothic" w:cs="Century Gothic" w:eastAsia="Century Gothic"/>
      <w:b/>
      <w:bCs/>
      <w:i w:val="0"/>
      <w:color w:val="055F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Century Gothic" w:hAnsi="Century Gothic" w:cs="Century Gothic" w:eastAsia="Century Gothic"/>
      <w:b/>
      <w:color w:val="04242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entury Gothic" w:hAnsi="Century Gothic" w:cs="Century Gothic" w:eastAsia="Century Gothic"/>
      <w:b w:val="0"/>
      <w:i w:val="0"/>
      <w:iCs/>
      <w:color w:val="055F5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color w:val="1F2D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  <w:color w:val="1F2D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 w:val="0"/>
      <w:bCs/>
      <w:i/>
      <w:color w:val="04242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Findings">
    <w:name w:val="Key Findings"/>
    <w:basedOn w:val="Normal"/>
    <w:pPr>
      <w:pBdr>
        <w:left w:val="single" w:sz="30" w:space="8" w:color="055F56"/>
      </w:pBdr>
      <w:shd w:val="clear" w:color="auto" w:fill="EAF2F5"/>
      <w:ind w:left="198"/>
    </w:pPr>
    <w:rPr>
      <w:rFonts w:ascii="Arial" w:hAnsi="Arial" w:cs="Arial" w:eastAsia="Arial"/>
      <w:color w:val="04242F"/>
      <w:sz w:val="21"/>
    </w:rPr>
  </w:style>
  <w:style w:type="paragraph" w:customStyle="1" w:styleId="NeudataSmall">
    <w:name w:val="Neudata Small"/>
    <w:basedOn w:val="Normal"/>
    <w:pPr>
      <w:spacing w:after="0"/>
    </w:pPr>
    <w:rPr>
      <w:rFonts w:ascii="Arial" w:hAnsi="Arial" w:cs="Arial" w:eastAsia="Arial"/>
      <w:color w:val="8A99A3"/>
      <w:sz w:val="17"/>
    </w:rPr>
  </w:style>
  <w:style w:type="character" w:customStyle="1" w:styleId="NeudataLabel">
    <w:name w:val="Neudata Label"/>
    <w:rPr>
      <w:rFonts w:ascii="Century Gothic" w:hAnsi="Century Gothic" w:cs="Century Gothic" w:eastAsia="Century Gothic"/>
      <w:b/>
      <w:color w:val="04242F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Neudata document</dc:title>
  <dc:subject/>
  <dc:creator>Neudata Consulting Ltd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