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rFonts w:ascii="Work Sans" w:cs="Work Sans" w:eastAsia="Work Sans" w:hAnsi="Work Sans"/>
          <w:b w:val="1"/>
          <w:sz w:val="24"/>
          <w:szCs w:val="24"/>
        </w:rPr>
      </w:pPr>
      <w:bookmarkStart w:colFirst="0" w:colLast="0" w:name="_vf8rdpgpqeki" w:id="0"/>
      <w:bookmarkEnd w:id="0"/>
      <w:r w:rsidDel="00000000" w:rsidR="00000000" w:rsidRPr="00000000">
        <w:rPr>
          <w:rFonts w:ascii="Work Sans" w:cs="Work Sans" w:eastAsia="Work Sans" w:hAnsi="Work Sans"/>
          <w:b w:val="1"/>
          <w:color w:val="212121"/>
          <w:rtl w:val="0"/>
        </w:rPr>
        <w:t xml:space="preserve">User Stories</w:t>
      </w:r>
      <w:r w:rsidDel="00000000" w:rsidR="00000000" w:rsidRPr="00000000">
        <w:rPr>
          <w:rtl w:val="0"/>
        </w:rPr>
      </w:r>
    </w:p>
    <w:p w:rsidR="00000000" w:rsidDel="00000000" w:rsidP="00000000" w:rsidRDefault="00000000" w:rsidRPr="00000000" w14:paraId="00000002">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This application accommodates three user types, provided by the client:</w:t>
      </w:r>
    </w:p>
    <w:p w:rsidR="00000000" w:rsidDel="00000000" w:rsidP="00000000" w:rsidRDefault="00000000" w:rsidRPr="00000000" w14:paraId="00000003">
      <w:pPr>
        <w:widowControl w:val="0"/>
        <w:numPr>
          <w:ilvl w:val="0"/>
          <w:numId w:val="1"/>
        </w:numPr>
        <w:spacing w:line="276" w:lineRule="auto"/>
        <w:ind w:left="720" w:hanging="360"/>
        <w:rPr>
          <w:rFonts w:ascii="Work Sans" w:cs="Work Sans" w:eastAsia="Work Sans" w:hAnsi="Work Sans"/>
          <w:color w:val="212121"/>
          <w:sz w:val="20"/>
          <w:szCs w:val="20"/>
          <w:u w:val="none"/>
        </w:rPr>
      </w:pPr>
      <w:r w:rsidDel="00000000" w:rsidR="00000000" w:rsidRPr="00000000">
        <w:rPr>
          <w:rFonts w:ascii="Work Sans" w:cs="Work Sans" w:eastAsia="Work Sans" w:hAnsi="Work Sans"/>
          <w:i w:val="1"/>
          <w:color w:val="212121"/>
          <w:sz w:val="20"/>
          <w:szCs w:val="20"/>
          <w:rtl w:val="0"/>
        </w:rPr>
        <w:t xml:space="preserve">Researchers</w:t>
      </w:r>
      <w:r w:rsidDel="00000000" w:rsidR="00000000" w:rsidRPr="00000000">
        <w:rPr>
          <w:rFonts w:ascii="Work Sans" w:cs="Work Sans" w:eastAsia="Work Sans" w:hAnsi="Work Sans"/>
          <w:color w:val="212121"/>
          <w:sz w:val="20"/>
          <w:szCs w:val="20"/>
          <w:rtl w:val="0"/>
        </w:rPr>
        <w:t xml:space="preserve"> - individuals </w:t>
      </w:r>
      <w:commentRangeStart w:id="0"/>
      <w:commentRangeStart w:id="1"/>
      <w:r w:rsidDel="00000000" w:rsidR="00000000" w:rsidRPr="00000000">
        <w:rPr>
          <w:rFonts w:ascii="Work Sans" w:cs="Work Sans" w:eastAsia="Work Sans" w:hAnsi="Work Sans"/>
          <w:color w:val="212121"/>
          <w:sz w:val="20"/>
          <w:szCs w:val="20"/>
          <w:rtl w:val="0"/>
        </w:rPr>
        <w:t xml:space="preserve">associated with the University of British Columbia</w:t>
      </w:r>
      <w:commentRangeEnd w:id="0"/>
      <w:r w:rsidDel="00000000" w:rsidR="00000000" w:rsidRPr="00000000">
        <w:commentReference w:id="0"/>
      </w:r>
      <w:commentRangeEnd w:id="1"/>
      <w:r w:rsidDel="00000000" w:rsidR="00000000" w:rsidRPr="00000000">
        <w:commentReference w:id="1"/>
      </w:r>
      <w:r w:rsidDel="00000000" w:rsidR="00000000" w:rsidRPr="00000000">
        <w:rPr>
          <w:rFonts w:ascii="Work Sans" w:cs="Work Sans" w:eastAsia="Work Sans" w:hAnsi="Work Sans"/>
          <w:color w:val="212121"/>
          <w:sz w:val="20"/>
          <w:szCs w:val="20"/>
          <w:rtl w:val="0"/>
        </w:rPr>
        <w:t xml:space="preserve"> who manage, track and oversee ongoing experiments.</w:t>
      </w:r>
    </w:p>
    <w:p w:rsidR="00000000" w:rsidDel="00000000" w:rsidP="00000000" w:rsidRDefault="00000000" w:rsidRPr="00000000" w14:paraId="00000004">
      <w:pPr>
        <w:widowControl w:val="0"/>
        <w:spacing w:line="276" w:lineRule="auto"/>
        <w:rPr>
          <w:rFonts w:ascii="Work Sans" w:cs="Work Sans" w:eastAsia="Work Sans" w:hAnsi="Work Sans"/>
          <w:color w:val="212121"/>
          <w:sz w:val="20"/>
          <w:szCs w:val="20"/>
        </w:rPr>
      </w:pPr>
      <w:r w:rsidDel="00000000" w:rsidR="00000000" w:rsidRPr="00000000">
        <w:rPr>
          <w:rtl w:val="0"/>
        </w:rPr>
      </w:r>
    </w:p>
    <w:p w:rsidR="00000000" w:rsidDel="00000000" w:rsidP="00000000" w:rsidRDefault="00000000" w:rsidRPr="00000000" w14:paraId="00000005">
      <w:pPr>
        <w:widowControl w:val="0"/>
        <w:numPr>
          <w:ilvl w:val="0"/>
          <w:numId w:val="1"/>
        </w:numPr>
        <w:spacing w:line="276" w:lineRule="auto"/>
        <w:ind w:left="720" w:hanging="360"/>
        <w:rPr>
          <w:rFonts w:ascii="Work Sans" w:cs="Work Sans" w:eastAsia="Work Sans" w:hAnsi="Work Sans"/>
          <w:color w:val="212121"/>
          <w:sz w:val="20"/>
          <w:szCs w:val="20"/>
          <w:u w:val="none"/>
        </w:rPr>
      </w:pPr>
      <w:r w:rsidDel="00000000" w:rsidR="00000000" w:rsidRPr="00000000">
        <w:rPr>
          <w:rFonts w:ascii="Work Sans" w:cs="Work Sans" w:eastAsia="Work Sans" w:hAnsi="Work Sans"/>
          <w:i w:val="1"/>
          <w:color w:val="212121"/>
          <w:sz w:val="20"/>
          <w:szCs w:val="20"/>
          <w:rtl w:val="0"/>
        </w:rPr>
        <w:t xml:space="preserve">Administrators</w:t>
      </w:r>
      <w:r w:rsidDel="00000000" w:rsidR="00000000" w:rsidRPr="00000000">
        <w:rPr>
          <w:rFonts w:ascii="Work Sans" w:cs="Work Sans" w:eastAsia="Work Sans" w:hAnsi="Work Sans"/>
          <w:color w:val="212121"/>
          <w:sz w:val="20"/>
          <w:szCs w:val="20"/>
          <w:rtl w:val="0"/>
        </w:rPr>
        <w:t xml:space="preserve"> - individuals with higher privileges than researchers who can create new experiments and assign them to researchers, as well as manage, track and oversee ongoing experiments.</w:t>
      </w:r>
    </w:p>
    <w:p w:rsidR="00000000" w:rsidDel="00000000" w:rsidP="00000000" w:rsidRDefault="00000000" w:rsidRPr="00000000" w14:paraId="00000006">
      <w:pPr>
        <w:widowControl w:val="0"/>
        <w:spacing w:line="276" w:lineRule="auto"/>
        <w:rPr>
          <w:rFonts w:ascii="Work Sans" w:cs="Work Sans" w:eastAsia="Work Sans" w:hAnsi="Work Sans"/>
          <w:color w:val="212121"/>
          <w:sz w:val="20"/>
          <w:szCs w:val="20"/>
        </w:rPr>
      </w:pPr>
      <w:r w:rsidDel="00000000" w:rsidR="00000000" w:rsidRPr="00000000">
        <w:rPr>
          <w:rtl w:val="0"/>
        </w:rPr>
      </w:r>
    </w:p>
    <w:p w:rsidR="00000000" w:rsidDel="00000000" w:rsidP="00000000" w:rsidRDefault="00000000" w:rsidRPr="00000000" w14:paraId="00000007">
      <w:pPr>
        <w:widowControl w:val="0"/>
        <w:numPr>
          <w:ilvl w:val="0"/>
          <w:numId w:val="1"/>
        </w:numPr>
        <w:spacing w:line="276" w:lineRule="auto"/>
        <w:ind w:left="720" w:hanging="360"/>
        <w:rPr>
          <w:rFonts w:ascii="Work Sans" w:cs="Work Sans" w:eastAsia="Work Sans" w:hAnsi="Work Sans"/>
          <w:color w:val="212121"/>
          <w:sz w:val="20"/>
          <w:szCs w:val="20"/>
          <w:u w:val="none"/>
        </w:rPr>
      </w:pPr>
      <w:r w:rsidDel="00000000" w:rsidR="00000000" w:rsidRPr="00000000">
        <w:rPr>
          <w:rFonts w:ascii="Work Sans" w:cs="Work Sans" w:eastAsia="Work Sans" w:hAnsi="Work Sans"/>
          <w:i w:val="1"/>
          <w:color w:val="212121"/>
          <w:sz w:val="20"/>
          <w:szCs w:val="20"/>
          <w:rtl w:val="0"/>
        </w:rPr>
        <w:t xml:space="preserve">Participants</w:t>
      </w:r>
      <w:r w:rsidDel="00000000" w:rsidR="00000000" w:rsidRPr="00000000">
        <w:rPr>
          <w:rFonts w:ascii="Work Sans" w:cs="Work Sans" w:eastAsia="Work Sans" w:hAnsi="Work Sans"/>
          <w:color w:val="212121"/>
          <w:sz w:val="20"/>
          <w:szCs w:val="20"/>
          <w:rtl w:val="0"/>
        </w:rPr>
        <w:t xml:space="preserve"> - individuals who volunteer to participate in a given experiment and are not associated with the organization running the experiment.</w:t>
      </w:r>
    </w:p>
    <w:p w:rsidR="00000000" w:rsidDel="00000000" w:rsidP="00000000" w:rsidRDefault="00000000" w:rsidRPr="00000000" w14:paraId="00000008">
      <w:pPr>
        <w:widowControl w:val="0"/>
        <w:spacing w:line="276" w:lineRule="auto"/>
        <w:ind w:left="0" w:firstLine="0"/>
        <w:rPr>
          <w:rFonts w:ascii="Work Sans" w:cs="Work Sans" w:eastAsia="Work Sans" w:hAnsi="Work Sans"/>
          <w:color w:val="212121"/>
          <w:sz w:val="20"/>
          <w:szCs w:val="20"/>
        </w:rPr>
      </w:pPr>
      <w:r w:rsidDel="00000000" w:rsidR="00000000" w:rsidRPr="00000000">
        <w:rPr>
          <w:rtl w:val="0"/>
        </w:rPr>
      </w:r>
    </w:p>
    <w:p w:rsidR="00000000" w:rsidDel="00000000" w:rsidP="00000000" w:rsidRDefault="00000000" w:rsidRPr="00000000" w14:paraId="00000009">
      <w:pPr>
        <w:widowControl w:val="0"/>
        <w:spacing w:line="276" w:lineRule="auto"/>
        <w:ind w:left="0" w:firstLine="0"/>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Below, we define stories for each user and attempt to identify various features the application is expected to support to help users attain their goals. Due to budget and time constraints, we differentiate features as follows:</w:t>
      </w:r>
    </w:p>
    <w:p w:rsidR="00000000" w:rsidDel="00000000" w:rsidP="00000000" w:rsidRDefault="00000000" w:rsidRPr="00000000" w14:paraId="0000000A">
      <w:pPr>
        <w:widowControl w:val="0"/>
        <w:spacing w:line="276" w:lineRule="auto"/>
        <w:ind w:left="0" w:firstLine="0"/>
        <w:rPr>
          <w:rFonts w:ascii="Work Sans" w:cs="Work Sans" w:eastAsia="Work Sans" w:hAnsi="Work Sans"/>
          <w:color w:val="212121"/>
          <w:sz w:val="20"/>
          <w:szCs w:val="20"/>
        </w:rPr>
      </w:pPr>
      <w:r w:rsidDel="00000000" w:rsidR="00000000" w:rsidRPr="00000000">
        <w:rPr>
          <w:rtl w:val="0"/>
        </w:rPr>
      </w:r>
    </w:p>
    <w:p w:rsidR="00000000" w:rsidDel="00000000" w:rsidP="00000000" w:rsidRDefault="00000000" w:rsidRPr="00000000" w14:paraId="0000000B">
      <w:pPr>
        <w:widowControl w:val="0"/>
        <w:numPr>
          <w:ilvl w:val="0"/>
          <w:numId w:val="3"/>
        </w:numPr>
        <w:spacing w:line="276" w:lineRule="auto"/>
        <w:ind w:left="720" w:hanging="360"/>
        <w:rPr>
          <w:rFonts w:ascii="Work Sans" w:cs="Work Sans" w:eastAsia="Work Sans" w:hAnsi="Work Sans"/>
          <w:color w:val="212121"/>
          <w:sz w:val="20"/>
          <w:szCs w:val="20"/>
          <w:u w:val="none"/>
        </w:rPr>
      </w:pPr>
      <w:r w:rsidDel="00000000" w:rsidR="00000000" w:rsidRPr="00000000">
        <w:rPr>
          <w:rFonts w:ascii="Work Sans" w:cs="Work Sans" w:eastAsia="Work Sans" w:hAnsi="Work Sans"/>
          <w:i w:val="1"/>
          <w:color w:val="212121"/>
          <w:sz w:val="20"/>
          <w:szCs w:val="20"/>
          <w:rtl w:val="0"/>
        </w:rPr>
        <w:t xml:space="preserve">CORE</w:t>
      </w:r>
      <w:r w:rsidDel="00000000" w:rsidR="00000000" w:rsidRPr="00000000">
        <w:rPr>
          <w:rFonts w:ascii="Work Sans" w:cs="Work Sans" w:eastAsia="Work Sans" w:hAnsi="Work Sans"/>
          <w:color w:val="212121"/>
          <w:sz w:val="20"/>
          <w:szCs w:val="20"/>
          <w:rtl w:val="0"/>
        </w:rPr>
        <w:t xml:space="preserve"> - core features are essential to the success of this project and must be integrated into the product in order for the application to launch</w:t>
      </w:r>
    </w:p>
    <w:p w:rsidR="00000000" w:rsidDel="00000000" w:rsidP="00000000" w:rsidRDefault="00000000" w:rsidRPr="00000000" w14:paraId="0000000C">
      <w:pPr>
        <w:widowControl w:val="0"/>
        <w:spacing w:line="276" w:lineRule="auto"/>
        <w:rPr>
          <w:rFonts w:ascii="Work Sans" w:cs="Work Sans" w:eastAsia="Work Sans" w:hAnsi="Work Sans"/>
          <w:color w:val="212121"/>
          <w:sz w:val="20"/>
          <w:szCs w:val="20"/>
        </w:rPr>
      </w:pPr>
      <w:r w:rsidDel="00000000" w:rsidR="00000000" w:rsidRPr="00000000">
        <w:rPr>
          <w:rtl w:val="0"/>
        </w:rPr>
      </w:r>
    </w:p>
    <w:p w:rsidR="00000000" w:rsidDel="00000000" w:rsidP="00000000" w:rsidRDefault="00000000" w:rsidRPr="00000000" w14:paraId="0000000D">
      <w:pPr>
        <w:widowControl w:val="0"/>
        <w:numPr>
          <w:ilvl w:val="0"/>
          <w:numId w:val="3"/>
        </w:numPr>
        <w:spacing w:line="276" w:lineRule="auto"/>
        <w:ind w:left="720" w:hanging="360"/>
        <w:rPr>
          <w:rFonts w:ascii="Work Sans" w:cs="Work Sans" w:eastAsia="Work Sans" w:hAnsi="Work Sans"/>
          <w:color w:val="212121"/>
          <w:sz w:val="20"/>
          <w:szCs w:val="20"/>
          <w:u w:val="none"/>
        </w:rPr>
      </w:pPr>
      <w:r w:rsidDel="00000000" w:rsidR="00000000" w:rsidRPr="00000000">
        <w:rPr>
          <w:rFonts w:ascii="Work Sans" w:cs="Work Sans" w:eastAsia="Work Sans" w:hAnsi="Work Sans"/>
          <w:i w:val="1"/>
          <w:color w:val="212121"/>
          <w:sz w:val="20"/>
          <w:szCs w:val="20"/>
          <w:rtl w:val="0"/>
        </w:rPr>
        <w:t xml:space="preserve">NICE-TO-HAVE</w:t>
      </w:r>
      <w:r w:rsidDel="00000000" w:rsidR="00000000" w:rsidRPr="00000000">
        <w:rPr>
          <w:rFonts w:ascii="Work Sans" w:cs="Work Sans" w:eastAsia="Work Sans" w:hAnsi="Work Sans"/>
          <w:color w:val="212121"/>
          <w:sz w:val="20"/>
          <w:szCs w:val="20"/>
          <w:rtl w:val="0"/>
        </w:rPr>
        <w:t xml:space="preserve"> - additional features which would bring more value to the product, that, however, are not integral to the success of the project. They may be built and integrated once </w:t>
      </w:r>
      <w:r w:rsidDel="00000000" w:rsidR="00000000" w:rsidRPr="00000000">
        <w:rPr>
          <w:rFonts w:ascii="Work Sans" w:cs="Work Sans" w:eastAsia="Work Sans" w:hAnsi="Work Sans"/>
          <w:i w:val="1"/>
          <w:color w:val="212121"/>
          <w:sz w:val="20"/>
          <w:szCs w:val="20"/>
          <w:u w:val="single"/>
          <w:rtl w:val="0"/>
        </w:rPr>
        <w:t xml:space="preserve">all</w:t>
      </w:r>
      <w:r w:rsidDel="00000000" w:rsidR="00000000" w:rsidRPr="00000000">
        <w:rPr>
          <w:rFonts w:ascii="Work Sans" w:cs="Work Sans" w:eastAsia="Work Sans" w:hAnsi="Work Sans"/>
          <w:color w:val="212121"/>
          <w:sz w:val="20"/>
          <w:szCs w:val="20"/>
          <w:rtl w:val="0"/>
        </w:rPr>
        <w:t xml:space="preserve"> core features have been completed.</w:t>
      </w:r>
    </w:p>
    <w:p w:rsidR="00000000" w:rsidDel="00000000" w:rsidP="00000000" w:rsidRDefault="00000000" w:rsidRPr="00000000" w14:paraId="0000000E">
      <w:pPr>
        <w:widowControl w:val="0"/>
        <w:spacing w:line="276" w:lineRule="auto"/>
        <w:rPr>
          <w:rFonts w:ascii="Work Sans" w:cs="Work Sans" w:eastAsia="Work Sans" w:hAnsi="Work Sans"/>
          <w:color w:val="212121"/>
          <w:sz w:val="20"/>
          <w:szCs w:val="20"/>
        </w:rPr>
      </w:pPr>
      <w:r w:rsidDel="00000000" w:rsidR="00000000" w:rsidRPr="00000000">
        <w:rPr>
          <w:rtl w:val="0"/>
        </w:rPr>
      </w:r>
    </w:p>
    <w:p w:rsidR="00000000" w:rsidDel="00000000" w:rsidP="00000000" w:rsidRDefault="00000000" w:rsidRPr="00000000" w14:paraId="0000000F">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User stories are presented below.</w:t>
      </w:r>
    </w:p>
    <w:p w:rsidR="00000000" w:rsidDel="00000000" w:rsidP="00000000" w:rsidRDefault="00000000" w:rsidRPr="00000000" w14:paraId="00000010">
      <w:pPr>
        <w:pStyle w:val="Heading3"/>
        <w:spacing w:line="276" w:lineRule="auto"/>
        <w:rPr/>
      </w:pPr>
      <w:bookmarkStart w:colFirst="0" w:colLast="0" w:name="_izkxiptccoc9" w:id="1"/>
      <w:bookmarkEnd w:id="1"/>
      <w:r w:rsidDel="00000000" w:rsidR="00000000" w:rsidRPr="00000000">
        <w:rPr>
          <w:rFonts w:ascii="Work Sans" w:cs="Work Sans" w:eastAsia="Work Sans" w:hAnsi="Work Sans"/>
          <w:b w:val="1"/>
          <w:color w:val="212121"/>
          <w:sz w:val="24"/>
          <w:szCs w:val="24"/>
          <w:rtl w:val="0"/>
        </w:rPr>
        <w:t xml:space="preserve">Researchers</w:t>
      </w:r>
      <w:r w:rsidDel="00000000" w:rsidR="00000000" w:rsidRPr="00000000">
        <w:rPr>
          <w:rtl w:val="0"/>
        </w:rPr>
      </w:r>
    </w:p>
    <w:tbl>
      <w:tblPr>
        <w:tblStyle w:val="Table1"/>
        <w:tblW w:w="11130.0" w:type="dxa"/>
        <w:jc w:val="left"/>
        <w:tblInd w:w="-98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95"/>
        <w:gridCol w:w="1650"/>
        <w:gridCol w:w="3585"/>
        <w:tblGridChange w:id="0">
          <w:tblGrid>
            <w:gridCol w:w="5895"/>
            <w:gridCol w:w="1650"/>
            <w:gridCol w:w="3585"/>
          </w:tblGrid>
        </w:tblGridChange>
      </w:tblGrid>
      <w:tr>
        <w:tc>
          <w:tcPr>
            <w:shd w:fill="00848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As a researcher...</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Feature</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Client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login into my account, view and/or update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be able to delete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see a list of all existing experiments assigned to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view details about each experiment (i.e. how many participants have completed the survey, participant-related data such as gender distribution,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NICE-TO-HAVE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Number of experiments completed vs in-progress by key demographics such as gender, age, ethnicity,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have some tools for analysing and do some statistics.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NICE-TO-HAVE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share an experiment with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Work Sans" w:cs="Work Sans" w:eastAsia="Work Sans" w:hAnsi="Work Sans"/>
                <w:color w:val="212121"/>
                <w:sz w:val="20"/>
                <w:szCs w:val="20"/>
              </w:rPr>
            </w:pPr>
            <w:r w:rsidDel="00000000" w:rsidR="00000000" w:rsidRPr="00000000">
              <w:rPr>
                <w:rtl w:val="0"/>
              </w:rPr>
            </w:r>
          </w:p>
        </w:tc>
      </w:tr>
    </w:tbl>
    <w:p w:rsidR="00000000" w:rsidDel="00000000" w:rsidP="00000000" w:rsidRDefault="00000000" w:rsidRPr="00000000" w14:paraId="00000029">
      <w:pPr>
        <w:spacing w:line="276" w:lineRule="auto"/>
        <w:rPr>
          <w:rFonts w:ascii="Work Sans" w:cs="Work Sans" w:eastAsia="Work Sans" w:hAnsi="Work Sans"/>
          <w:color w:val="212121"/>
          <w:sz w:val="20"/>
          <w:szCs w:val="20"/>
        </w:rPr>
      </w:pPr>
      <w:r w:rsidDel="00000000" w:rsidR="00000000" w:rsidRPr="00000000">
        <w:rPr>
          <w:rtl w:val="0"/>
        </w:rPr>
      </w:r>
    </w:p>
    <w:p w:rsidR="00000000" w:rsidDel="00000000" w:rsidP="00000000" w:rsidRDefault="00000000" w:rsidRPr="00000000" w14:paraId="0000002A">
      <w:pPr>
        <w:pStyle w:val="Heading3"/>
        <w:spacing w:line="276" w:lineRule="auto"/>
        <w:rPr>
          <w:rFonts w:ascii="Work Sans" w:cs="Work Sans" w:eastAsia="Work Sans" w:hAnsi="Work Sans"/>
          <w:color w:val="212121"/>
          <w:sz w:val="20"/>
          <w:szCs w:val="20"/>
        </w:rPr>
      </w:pPr>
      <w:bookmarkStart w:colFirst="0" w:colLast="0" w:name="_ipidy51x7i96" w:id="2"/>
      <w:bookmarkEnd w:id="2"/>
      <w:r w:rsidDel="00000000" w:rsidR="00000000" w:rsidRPr="00000000">
        <w:rPr>
          <w:rFonts w:ascii="Work Sans" w:cs="Work Sans" w:eastAsia="Work Sans" w:hAnsi="Work Sans"/>
          <w:b w:val="1"/>
          <w:color w:val="212121"/>
          <w:sz w:val="24"/>
          <w:szCs w:val="24"/>
          <w:rtl w:val="0"/>
        </w:rPr>
        <w:t xml:space="preserve">Administrator</w:t>
      </w:r>
      <w:r w:rsidDel="00000000" w:rsidR="00000000" w:rsidRPr="00000000">
        <w:rPr>
          <w:rtl w:val="0"/>
        </w:rPr>
      </w:r>
    </w:p>
    <w:tbl>
      <w:tblPr>
        <w:tblStyle w:val="Table2"/>
        <w:tblW w:w="11130.0" w:type="dxa"/>
        <w:jc w:val="left"/>
        <w:tblInd w:w="-98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95"/>
        <w:gridCol w:w="1665"/>
        <w:gridCol w:w="3570"/>
        <w:tblGridChange w:id="0">
          <w:tblGrid>
            <w:gridCol w:w="5895"/>
            <w:gridCol w:w="1665"/>
            <w:gridCol w:w="3570"/>
          </w:tblGrid>
        </w:tblGridChange>
      </w:tblGrid>
      <w:tr>
        <w:tc>
          <w:tcPr>
            <w:shd w:fill="00848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As an administrator...</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Feature</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Client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login into my account, view and/or update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be able to delete my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see a list of all existing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create, update or delete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Experiments can’t be modified mid-stream for a participant (i.e., you can’t change the study on them after they’ve consented), but they can be modified between one experiment and the next.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assign experiments to certain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manage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NICE-TO-HAVE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be able to do everything a researcher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w:cs="Work Sans" w:eastAsia="Work Sans" w:hAnsi="Work Sans"/>
                <w:color w:val="212121"/>
                <w:sz w:val="20"/>
                <w:szCs w:val="20"/>
              </w:rPr>
            </w:pPr>
            <w:r w:rsidDel="00000000" w:rsidR="00000000" w:rsidRPr="00000000">
              <w:rPr>
                <w:rtl w:val="0"/>
              </w:rPr>
            </w:r>
          </w:p>
        </w:tc>
      </w:tr>
    </w:tbl>
    <w:p w:rsidR="00000000" w:rsidDel="00000000" w:rsidP="00000000" w:rsidRDefault="00000000" w:rsidRPr="00000000" w14:paraId="00000046">
      <w:pPr>
        <w:pStyle w:val="Heading3"/>
        <w:rPr>
          <w:rFonts w:ascii="Work Sans" w:cs="Work Sans" w:eastAsia="Work Sans" w:hAnsi="Work Sans"/>
          <w:color w:val="212121"/>
          <w:sz w:val="20"/>
          <w:szCs w:val="20"/>
        </w:rPr>
      </w:pPr>
      <w:bookmarkStart w:colFirst="0" w:colLast="0" w:name="_l9sijxcm1zas" w:id="3"/>
      <w:bookmarkEnd w:id="3"/>
      <w:r w:rsidDel="00000000" w:rsidR="00000000" w:rsidRPr="00000000">
        <w:rPr>
          <w:rFonts w:ascii="Work Sans" w:cs="Work Sans" w:eastAsia="Work Sans" w:hAnsi="Work Sans"/>
          <w:b w:val="1"/>
          <w:color w:val="212121"/>
          <w:sz w:val="24"/>
          <w:szCs w:val="24"/>
          <w:rtl w:val="0"/>
        </w:rPr>
        <w:t xml:space="preserve">Participants</w:t>
      </w:r>
      <w:r w:rsidDel="00000000" w:rsidR="00000000" w:rsidRPr="00000000">
        <w:rPr>
          <w:rtl w:val="0"/>
        </w:rPr>
      </w:r>
    </w:p>
    <w:tbl>
      <w:tblPr>
        <w:tblStyle w:val="Table3"/>
        <w:tblW w:w="11130.0" w:type="dxa"/>
        <w:jc w:val="left"/>
        <w:tblInd w:w="-980.0" w:type="dxa"/>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5895"/>
        <w:gridCol w:w="1665"/>
        <w:gridCol w:w="3570"/>
        <w:tblGridChange w:id="0">
          <w:tblGrid>
            <w:gridCol w:w="5895"/>
            <w:gridCol w:w="1665"/>
            <w:gridCol w:w="3570"/>
          </w:tblGrid>
        </w:tblGridChange>
      </w:tblGrid>
      <w:tr>
        <w:tc>
          <w:tcPr>
            <w:shd w:fill="008489"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As a participant...</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Feature</w:t>
            </w:r>
          </w:p>
        </w:tc>
        <w:tc>
          <w:tcPr>
            <w:shd w:fill="008489"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Work Sans" w:cs="Work Sans" w:eastAsia="Work Sans" w:hAnsi="Work Sans"/>
                <w:color w:val="ffffff"/>
                <w:sz w:val="20"/>
                <w:szCs w:val="20"/>
              </w:rPr>
            </w:pPr>
            <w:r w:rsidDel="00000000" w:rsidR="00000000" w:rsidRPr="00000000">
              <w:rPr>
                <w:rFonts w:ascii="Work Sans" w:cs="Work Sans" w:eastAsia="Work Sans" w:hAnsi="Work Sans"/>
                <w:color w:val="ffffff"/>
                <w:sz w:val="20"/>
                <w:szCs w:val="20"/>
                <w:rtl w:val="0"/>
              </w:rPr>
              <w:t xml:space="preserve">Client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login into my account, view and/or update my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see a list of all available experiments.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select and complete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I want to save progress on an experiment and come back to it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NICE-TO-HAVE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Work Sans" w:cs="Work Sans" w:eastAsia="Work Sans" w:hAnsi="Work Sans"/>
                <w:color w:val="212121"/>
                <w:sz w:val="20"/>
                <w:szCs w:val="20"/>
              </w:rPr>
            </w:pPr>
            <w:commentRangeStart w:id="2"/>
            <w:r w:rsidDel="00000000" w:rsidR="00000000" w:rsidRPr="00000000">
              <w:rPr>
                <w:rFonts w:ascii="Work Sans" w:cs="Work Sans" w:eastAsia="Work Sans" w:hAnsi="Work Sans"/>
                <w:color w:val="212121"/>
                <w:sz w:val="20"/>
                <w:szCs w:val="20"/>
                <w:rtl w:val="0"/>
              </w:rPr>
              <w:t xml:space="preserve">I want access to information such as research departments, researchers and their contact information.</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NICE-TO-HAVE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Work Sans" w:cs="Work Sans" w:eastAsia="Work Sans" w:hAnsi="Work Sans"/>
                <w:color w:val="21212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Work Sans" w:cs="Work Sans" w:eastAsia="Work Sans" w:hAnsi="Work Sans"/>
                <w:color w:val="212121"/>
                <w:sz w:val="20"/>
                <w:szCs w:val="20"/>
              </w:rPr>
            </w:pPr>
            <w:commentRangeStart w:id="3"/>
            <w:r w:rsidDel="00000000" w:rsidR="00000000" w:rsidRPr="00000000">
              <w:rPr>
                <w:rFonts w:ascii="Work Sans" w:cs="Work Sans" w:eastAsia="Work Sans" w:hAnsi="Work Sans"/>
                <w:color w:val="212121"/>
                <w:sz w:val="20"/>
                <w:szCs w:val="20"/>
                <w:rtl w:val="0"/>
              </w:rPr>
              <w:t xml:space="preserve">I want to know the brief description and flow of the experiment.</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rFonts w:ascii="Work Sans" w:cs="Work Sans" w:eastAsia="Work Sans" w:hAnsi="Work Sans"/>
                <w:color w:val="212121"/>
                <w:sz w:val="20"/>
                <w:szCs w:val="20"/>
              </w:rPr>
            </w:pPr>
            <w:r w:rsidDel="00000000" w:rsidR="00000000" w:rsidRPr="00000000">
              <w:rPr>
                <w:rFonts w:ascii="Work Sans" w:cs="Work Sans" w:eastAsia="Work Sans" w:hAnsi="Work Sans"/>
                <w:color w:val="212121"/>
                <w:sz w:val="20"/>
                <w:szCs w:val="20"/>
                <w:rtl w:val="0"/>
              </w:rPr>
              <w:t xml:space="preserve">NICE-TO-HAVE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Work Sans" w:cs="Work Sans" w:eastAsia="Work Sans" w:hAnsi="Work Sans"/>
                <w:color w:val="212121"/>
                <w:sz w:val="20"/>
                <w:szCs w:val="20"/>
              </w:rPr>
            </w:pPr>
            <w:r w:rsidDel="00000000" w:rsidR="00000000" w:rsidRPr="00000000">
              <w:rPr>
                <w:rtl w:val="0"/>
              </w:rPr>
            </w:r>
          </w:p>
        </w:tc>
      </w:tr>
    </w:tbl>
    <w:p w:rsidR="00000000" w:rsidDel="00000000" w:rsidP="00000000" w:rsidRDefault="00000000" w:rsidRPr="00000000" w14:paraId="0000005F">
      <w:pPr>
        <w:rPr>
          <w:rFonts w:ascii="Work Sans" w:cs="Work Sans" w:eastAsia="Work Sans" w:hAnsi="Work Sans"/>
          <w:b w:val="1"/>
          <w:color w:val="212121"/>
          <w:sz w:val="20"/>
          <w:szCs w:val="20"/>
        </w:rPr>
      </w:pPr>
      <w:r w:rsidDel="00000000" w:rsidR="00000000" w:rsidRPr="00000000">
        <w:rPr>
          <w:rtl w:val="0"/>
        </w:rPr>
      </w:r>
    </w:p>
    <w:p w:rsidR="00000000" w:rsidDel="00000000" w:rsidP="00000000" w:rsidRDefault="00000000" w:rsidRPr="00000000" w14:paraId="00000060">
      <w:pPr>
        <w:rPr>
          <w:rFonts w:ascii="Work Sans" w:cs="Work Sans" w:eastAsia="Work Sans" w:hAnsi="Work Sans"/>
          <w:b w:val="1"/>
          <w:color w:val="212121"/>
          <w:sz w:val="20"/>
          <w:szCs w:val="20"/>
        </w:rPr>
      </w:pPr>
      <w:r w:rsidDel="00000000" w:rsidR="00000000" w:rsidRPr="00000000">
        <w:rPr>
          <w:rFonts w:ascii="Work Sans" w:cs="Work Sans" w:eastAsia="Work Sans" w:hAnsi="Work Sans"/>
          <w:b w:val="1"/>
          <w:color w:val="212121"/>
          <w:sz w:val="20"/>
          <w:szCs w:val="20"/>
          <w:rtl w:val="0"/>
        </w:rPr>
        <w:t xml:space="preserve">Open Questions</w:t>
      </w:r>
    </w:p>
    <w:p w:rsidR="00000000" w:rsidDel="00000000" w:rsidP="00000000" w:rsidRDefault="00000000" w:rsidRPr="00000000" w14:paraId="00000061">
      <w:pPr>
        <w:numPr>
          <w:ilvl w:val="0"/>
          <w:numId w:val="2"/>
        </w:numPr>
        <w:ind w:left="720" w:hanging="360"/>
        <w:rPr>
          <w:rFonts w:ascii="Work Sans" w:cs="Work Sans" w:eastAsia="Work Sans" w:hAnsi="Work Sans"/>
          <w:i w:val="1"/>
          <w:sz w:val="20"/>
          <w:szCs w:val="20"/>
        </w:rPr>
      </w:pPr>
      <w:r w:rsidDel="00000000" w:rsidR="00000000" w:rsidRPr="00000000">
        <w:rPr>
          <w:rFonts w:ascii="Work Sans" w:cs="Work Sans" w:eastAsia="Work Sans" w:hAnsi="Work Sans"/>
          <w:i w:val="1"/>
          <w:color w:val="666666"/>
          <w:sz w:val="20"/>
          <w:szCs w:val="20"/>
          <w:rtl w:val="0"/>
        </w:rPr>
        <w:t xml:space="preserve">If a participant does not have an account, will they have to create one? Is there ever a scenario in which a participant can complete a survey without creating an account? </w:t>
      </w:r>
      <w:r w:rsidDel="00000000" w:rsidR="00000000" w:rsidRPr="00000000">
        <w:rPr>
          <w:rFonts w:ascii="Work Sans" w:cs="Work Sans" w:eastAsia="Work Sans" w:hAnsi="Work Sans"/>
          <w:b w:val="1"/>
          <w:sz w:val="20"/>
          <w:szCs w:val="20"/>
          <w:rtl w:val="0"/>
        </w:rPr>
        <w:t xml:space="preserve">Yes, ideally, using a similar model to what is currently on imagestudy.org, where participants come from a participant pool and get directed directly into an experiment. Perhaps it could be set up where they are given the option of creating/saving login credentials at the </w:t>
      </w:r>
      <w:r w:rsidDel="00000000" w:rsidR="00000000" w:rsidRPr="00000000">
        <w:rPr>
          <w:rFonts w:ascii="Work Sans" w:cs="Work Sans" w:eastAsia="Work Sans" w:hAnsi="Work Sans"/>
          <w:b w:val="1"/>
          <w:i w:val="1"/>
          <w:sz w:val="20"/>
          <w:szCs w:val="20"/>
          <w:rtl w:val="0"/>
        </w:rPr>
        <w:t xml:space="preserve">end</w:t>
      </w:r>
      <w:r w:rsidDel="00000000" w:rsidR="00000000" w:rsidRPr="00000000">
        <w:rPr>
          <w:rFonts w:ascii="Work Sans" w:cs="Work Sans" w:eastAsia="Work Sans" w:hAnsi="Work Sans"/>
          <w:b w:val="1"/>
          <w:sz w:val="20"/>
          <w:szCs w:val="20"/>
          <w:rtl w:val="0"/>
        </w:rPr>
        <w:t xml:space="preserve"> of the experiment? </w:t>
      </w:r>
      <w:r w:rsidDel="00000000" w:rsidR="00000000" w:rsidRPr="00000000">
        <w:rPr>
          <w:rFonts w:ascii="Work Sans" w:cs="Work Sans" w:eastAsia="Work Sans" w:hAnsi="Work Sans"/>
          <w:i w:val="1"/>
          <w:color w:val="666666"/>
          <w:sz w:val="20"/>
          <w:szCs w:val="20"/>
          <w:rtl w:val="0"/>
        </w:rPr>
        <w:t xml:space="preserve"> </w:t>
      </w:r>
    </w:p>
    <w:p w:rsidR="00000000" w:rsidDel="00000000" w:rsidP="00000000" w:rsidRDefault="00000000" w:rsidRPr="00000000" w14:paraId="00000062">
      <w:pPr>
        <w:numPr>
          <w:ilvl w:val="0"/>
          <w:numId w:val="2"/>
        </w:numPr>
        <w:ind w:left="720" w:hanging="360"/>
        <w:rPr>
          <w:rFonts w:ascii="Work Sans" w:cs="Work Sans" w:eastAsia="Work Sans" w:hAnsi="Work Sans"/>
          <w:i w:val="1"/>
          <w:color w:val="666666"/>
          <w:sz w:val="20"/>
          <w:szCs w:val="20"/>
        </w:rPr>
      </w:pPr>
      <w:r w:rsidDel="00000000" w:rsidR="00000000" w:rsidRPr="00000000">
        <w:rPr>
          <w:rFonts w:ascii="Work Sans" w:cs="Work Sans" w:eastAsia="Work Sans" w:hAnsi="Work Sans"/>
          <w:i w:val="1"/>
          <w:color w:val="666666"/>
          <w:sz w:val="20"/>
          <w:szCs w:val="20"/>
          <w:rtl w:val="0"/>
        </w:rPr>
        <w:t xml:space="preserve">Is there someone participants can reach out to if they run into issues? </w:t>
      </w:r>
      <w:r w:rsidDel="00000000" w:rsidR="00000000" w:rsidRPr="00000000">
        <w:rPr>
          <w:rFonts w:ascii="Work Sans" w:cs="Work Sans" w:eastAsia="Work Sans" w:hAnsi="Work Sans"/>
          <w:b w:val="1"/>
          <w:sz w:val="20"/>
          <w:szCs w:val="20"/>
          <w:rtl w:val="0"/>
        </w:rPr>
        <w:t xml:space="preserve">Yes, but who will depend on the experiment/nature of the problem. There should be a general tech issues contact option (maybe funneling to </w:t>
      </w:r>
      <w:hyperlink r:id="rId7">
        <w:r w:rsidDel="00000000" w:rsidR="00000000" w:rsidRPr="00000000">
          <w:rPr>
            <w:rFonts w:ascii="Work Sans" w:cs="Work Sans" w:eastAsia="Work Sans" w:hAnsi="Work Sans"/>
            <w:b w:val="1"/>
            <w:color w:val="1155cc"/>
            <w:sz w:val="20"/>
            <w:szCs w:val="20"/>
            <w:u w:val="single"/>
            <w:rtl w:val="0"/>
          </w:rPr>
          <w:t xml:space="preserve">tdennehy.projects@gmail.com</w:t>
        </w:r>
      </w:hyperlink>
      <w:r w:rsidDel="00000000" w:rsidR="00000000" w:rsidRPr="00000000">
        <w:rPr>
          <w:rFonts w:ascii="Work Sans" w:cs="Work Sans" w:eastAsia="Work Sans" w:hAnsi="Work Sans"/>
          <w:b w:val="1"/>
          <w:sz w:val="20"/>
          <w:szCs w:val="20"/>
          <w:rtl w:val="0"/>
        </w:rPr>
        <w:t xml:space="preserve">, or a contact dedicated to tech for the website), and experiment-specific contacts. For the experiment-specific contacts that would be contacting the researcher/research team who posted/created the experiment.</w:t>
      </w:r>
      <w:r w:rsidDel="00000000" w:rsidR="00000000" w:rsidRPr="00000000">
        <w:rPr>
          <w:rtl w:val="0"/>
        </w:rPr>
      </w:r>
    </w:p>
    <w:p w:rsidR="00000000" w:rsidDel="00000000" w:rsidP="00000000" w:rsidRDefault="00000000" w:rsidRPr="00000000" w14:paraId="00000063">
      <w:pPr>
        <w:numPr>
          <w:ilvl w:val="0"/>
          <w:numId w:val="2"/>
        </w:numPr>
        <w:ind w:left="720" w:hanging="360"/>
        <w:rPr>
          <w:rFonts w:ascii="Work Sans" w:cs="Work Sans" w:eastAsia="Work Sans" w:hAnsi="Work Sans"/>
          <w:i w:val="1"/>
          <w:color w:val="666666"/>
          <w:sz w:val="20"/>
          <w:szCs w:val="20"/>
        </w:rPr>
      </w:pPr>
      <w:r w:rsidDel="00000000" w:rsidR="00000000" w:rsidRPr="00000000">
        <w:rPr>
          <w:rFonts w:ascii="Work Sans" w:cs="Work Sans" w:eastAsia="Work Sans" w:hAnsi="Work Sans"/>
          <w:i w:val="1"/>
          <w:color w:val="666666"/>
          <w:sz w:val="20"/>
          <w:szCs w:val="20"/>
          <w:rtl w:val="0"/>
        </w:rPr>
        <w:t xml:space="preserve">What happens to the user data if a user deletes the account? Do we need to inform users their information will stay in the system? </w:t>
      </w:r>
      <w:r w:rsidDel="00000000" w:rsidR="00000000" w:rsidRPr="00000000">
        <w:rPr>
          <w:rFonts w:ascii="Work Sans" w:cs="Work Sans" w:eastAsia="Work Sans" w:hAnsi="Work Sans"/>
          <w:b w:val="1"/>
          <w:sz w:val="20"/>
          <w:szCs w:val="20"/>
          <w:rtl w:val="0"/>
        </w:rPr>
        <w:t xml:space="preserve">What are GPDR rules re: websites? We should maybe discuss/have a plan for how we deal w/deletions and if there is a best way to set things up.</w:t>
      </w:r>
      <w:r w:rsidDel="00000000" w:rsidR="00000000" w:rsidRPr="00000000">
        <w:rPr>
          <w:rtl w:val="0"/>
        </w:rPr>
      </w:r>
    </w:p>
    <w:sectPr>
      <w:pgSz w:h="15840" w:w="12240" w:orient="portrait"/>
      <w:pgMar w:bottom="1440" w:top="99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a C." w:id="3" w:date="2021-02-11T23:09:43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do need to be able to see a little bit about the experiment before choosing to participate. But this can be the first page that opens when they click the experiment link if there aren't other good options for displaying info.</w:t>
      </w:r>
    </w:p>
  </w:comment>
  <w:comment w:author="Tara C." w:id="0" w:date="2021-02-11T22:56:55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just at UBC--I have collaborators at other institutions (and may move myself).</w:t>
      </w:r>
    </w:p>
  </w:comment>
  <w:comment w:author="Alessia Pizzoccheri" w:id="1" w:date="2021-02-11T23:43:5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clarification! Will adjust the verbiage.</w:t>
      </w:r>
    </w:p>
  </w:comment>
  <w:comment w:author="Tara C." w:id="2" w:date="2021-02-11T23:07:09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 re: who to contact for a given experiment is legally required to be on consent forms in the US &amp; Canada; we would typically want to show that same info on the 'about the experiment'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tdennehy.project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