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5cf1f65edc25c5e81a5396471a629934ded5644"/>
      <w:r>
        <w:t xml:space="preserve">논문 초안 (Version 2): ADNI T1 MRI에서 뇌 질량중심(COM) 정렬 기반 설명가능 자동 위축 시각평가척도(e-CVRS)의 개발 및 전문가 판독과의 비교 검증</w:t>
      </w:r>
      <w:bookmarkEnd w:id="20"/>
    </w:p>
    <w:p>
      <w:pPr>
        <w:pStyle w:val="BlockText"/>
      </w:pPr>
      <w:r>
        <w:rPr>
          <w:b/>
        </w:rPr>
        <w:t xml:space="preserve">버전 2 개정 노트 (2026-07-06).</w:t>
      </w:r>
      <w:r>
        <w:t xml:space="preserve"> </w:t>
      </w:r>
      <w:r>
        <w:t xml:space="preserve">본 판은 v1 초안을 국제 학술지 투고 기준에 맞추어 보강한 것이다. 주요 변경: (1) 서론·고찰 대폭 확충 및 선행문헌 인용 추가, (2) 인구학 수치를 원자료(</w:t>
      </w:r>
      <w:r>
        <w:rPr>
          <w:rStyle w:val="VerbatimChar"/>
        </w:rPr>
        <w:t xml:space="preserve">ADNI_MRI_rating.xlsx</w:t>
      </w:r>
      <w:r>
        <w:t xml:space="preserve">)에서 재산출하여 정정(연령 71.3±7.4세, 여성 46.7% 등 — v1의 72.6±6.7세·여성 45.5%는 부정확), (3) 일치도 해석을 Landis–Koch 기준에 맞추어</w:t>
      </w:r>
      <w:r>
        <w:t xml:space="preserve"> </w:t>
      </w:r>
      <w:r>
        <w:t xml:space="preserve">“</w:t>
      </w:r>
      <w:r>
        <w:t xml:space="preserve">fair-to-moderate</w:t>
      </w:r>
      <w:r>
        <w:t xml:space="preserve">”</w:t>
      </w:r>
      <w:r>
        <w:t xml:space="preserve">로 정정(전두 0.34·우해마 0.39는</w:t>
      </w:r>
      <w:r>
        <w:t xml:space="preserve"> </w:t>
      </w:r>
      <w:r>
        <w:t xml:space="preserve">“</w:t>
      </w:r>
      <w:r>
        <w:t xml:space="preserve">moderate</w:t>
      </w:r>
      <w:r>
        <w:t xml:space="preserve">”</w:t>
      </w:r>
      <w:r>
        <w:t xml:space="preserve">가 아닌</w:t>
      </w:r>
      <w:r>
        <w:t xml:space="preserve"> </w:t>
      </w:r>
      <w:r>
        <w:t xml:space="preserve">“</w:t>
      </w:r>
      <w:r>
        <w:t xml:space="preserve">fair</w:t>
      </w:r>
      <w:r>
        <w:t xml:space="preserve">”</w:t>
      </w:r>
      <w:r>
        <w:t xml:space="preserve">), (4)</w:t>
      </w:r>
      <w:r>
        <w:t xml:space="preserve"> </w:t>
      </w:r>
      <w:r>
        <w:t xml:space="preserve">“</w:t>
      </w:r>
      <w:r>
        <w:t xml:space="preserve">비열등성</w:t>
      </w:r>
      <w:r>
        <w:t xml:space="preserve">”</w:t>
      </w:r>
      <w:r>
        <w:t xml:space="preserve"> </w:t>
      </w:r>
      <w:r>
        <w:t xml:space="preserve">주장을 사전 마진 기반 형식 검정 부재를 근거로 완화, (5) 영문 초록·참고문헌·표/그림 범례·윤리 및 ADNI 사사(acknowledgment) 등 투고 필수 구성요소 추가. 연구의 핵심 결과 수치(κ, ICC, 회귀)는 v1과 동일하게 유지하였다.</w:t>
      </w:r>
    </w:p>
    <w:p>
      <w:pPr>
        <w:pStyle w:val="FirstParagraph"/>
      </w:pPr>
      <w:r>
        <w:rPr>
          <w:b/>
        </w:rPr>
        <w:t xml:space="preserve">약어(Abbreviations):</w:t>
      </w:r>
      <w:r>
        <w:t xml:space="preserve"> </w:t>
      </w:r>
      <w:r>
        <w:t xml:space="preserve">AD, 알츠하이머병(Alzheimer’s disease); MCI, 경도인지장애(mild cognitive impairment); CN, 정상인지(cognitively normal); VRS, 시각평가척도(visual rating scale); CVRS, 포괄적 시각평가척도(comprehensive visual rating scale); e-CVRS, 전자적/자동 CVRS; MTA, 내측측두엽위축(medial temporal atrophy); GCA, 전반적 피질위축(global cortical atrophy); COM, 질량중심(center of mass); ROI, 관심영역(region of interest); CSF, 뇌척수액(cerebrospinal fluid); ICC, 급간내상관계수(intraclass correlation coefficient); κw, 이차 가중 카파(quadratic weighted kappa); MMSE, 간이정신상태검사(Mini-Mental State Examination); CDR-SB, 임상치매척도 박스합(Clinical Dementia Rating Sum of Boxes); FDR, 위발견율(false discovery rate); XAI, 설명가능 인공지능(explainable AI); SaMD, 소프트웨어 의료기기(software as a medical device); ADNI, 알츠하이머병 신경영상 이니셔티브.</w:t>
      </w:r>
    </w:p>
    <w:p>
      <w:r>
        <w:pict>
          <v:rect style="width:0;height:1.5pt" o:hralign="center" o:hrstd="t" o:hr="t"/>
        </w:pict>
      </w:r>
    </w:p>
    <w:p>
      <w:pPr>
        <w:pStyle w:val="Heading2"/>
      </w:pPr>
      <w:bookmarkStart w:id="21" w:name="국문-초록-abstract"/>
      <w:r>
        <w:t xml:space="preserve">국문 초록 (Abstract)</w:t>
      </w:r>
      <w:bookmarkEnd w:id="21"/>
    </w:p>
    <w:p>
      <w:pPr>
        <w:pStyle w:val="Heading3"/>
      </w:pPr>
      <w:bookmarkStart w:id="22" w:name="배경-및-목적"/>
      <w:r>
        <w:t xml:space="preserve">배경 및 목적</w:t>
      </w:r>
      <w:bookmarkEnd w:id="22"/>
    </w:p>
    <w:p>
      <w:pPr>
        <w:pStyle w:val="FirstParagraph"/>
      </w:pPr>
      <w:r>
        <w:t xml:space="preserve">뇌 위축에 대한 수기 시각평가척도(VRS)는 임상에서 직관적이고 신속하나 판독자 간 변동성이 크다. 반면 FreeSurfer 등 자동 용적측정은 연산이 느리고 블랙박스 구조로 설명가능성이 낮다. 본 연구는 외부 뇌 등록·분할 소프트웨어 없이 질량중심(COM) 정렬과 국소 기하 규칙만으로 작동하는 설명가능 자동 위축 척도(e-CVRS) 파이프라인을 개발하고, 전문가 판독 및 임상 지표와 비교하여 타당성을 검증하고자 하였다.</w:t>
      </w:r>
    </w:p>
    <w:p>
      <w:pPr>
        <w:pStyle w:val="Heading3"/>
      </w:pPr>
      <w:bookmarkStart w:id="23" w:name="대상-및-방법"/>
      <w:r>
        <w:t xml:space="preserve">대상 및 방법</w:t>
      </w:r>
      <w:bookmarkEnd w:id="23"/>
    </w:p>
    <w:p>
      <w:pPr>
        <w:pStyle w:val="FirstParagraph"/>
      </w:pPr>
      <w:r>
        <w:t xml:space="preserve">ADNI의 경도인지장애(MCI) 피험자 T1 강조 MRI를 사용하였다. 두부 마스크의 물리적 질량중심(COM)을 원점으로 해마(좌/우), 전두·두정·측두엽 관심영역(ROI)을 자동 설정하고 국소 CSF 비율을 산출하였다. 데이터 누출을 차단하기 위해 5-fold 교차검증 하에서 훈련 fold의 수기 등급과의 이차 가중 카파를 극대화하는 임계값을 학습하여 held-out fold에 적용하였고, 2,000회 부트스트랩으로 급간내상관계수(ICC)와 가중 카파의 95% 신뢰구간(CI)을 산출하였다. 인지점수(MMSE) 예측력은 공변량(연령·성별·교육연수·APOE4)을 통제한 위계적 선형회귀로 평가하고 Benjamini–Hochberg FDR로 보정하였다.</w:t>
      </w:r>
    </w:p>
    <w:p>
      <w:pPr>
        <w:pStyle w:val="Heading3"/>
      </w:pPr>
      <w:bookmarkStart w:id="24" w:name="결과"/>
      <w:r>
        <w:t xml:space="preserve">결과</w:t>
      </w:r>
      <w:bookmarkEnd w:id="24"/>
    </w:p>
    <w:p>
      <w:pPr>
        <w:pStyle w:val="FirstParagraph"/>
      </w:pPr>
      <w:r>
        <w:t xml:space="preserve">최종 분석 대상은 339명(손상 스캔 1명 제외)이었다. e-CVRS와 수기 판독 간 일치도는 측두엽 κw=0.4953(95% CI 0.4099–0.5749), 좌측 해마 κw=0.4669(0.3832–0.5433), 두정엽 κw=0.3986(0.3144–0.4818)으로 fair-to-moderate 수준이었고, 전두엽(κw=0.3419)과 우측 해마(κw=0.3877)는</w:t>
      </w:r>
      <w:r>
        <w:t xml:space="preserve"> </w:t>
      </w:r>
      <w:r>
        <w:t xml:space="preserve">“</w:t>
      </w:r>
      <w:r>
        <w:t xml:space="preserve">fair</w:t>
      </w:r>
      <w:r>
        <w:t xml:space="preserve">”</w:t>
      </w:r>
      <w:r>
        <w:t xml:space="preserve"> </w:t>
      </w:r>
      <w:r>
        <w:t xml:space="preserve">범주였다. 총합 위축점수(0–17)의 일치도는 ICC(2,1)=0.5746(0.4985–0.6425)이었다. 위계적 회귀에서 기저 공변량 모형(adjusted R²=0.0851) 대비 e-CVRS(0.0850)와 3D 해마 프록시 부피(0.0866)의 독립적 증분은 유의하지 않았으며(FDR-adjusted p&gt;0.05), 이는 MCI 단일군의 MMSE 분포 집중(범위 제한)과 상당 부분 관련된다.</w:t>
      </w:r>
    </w:p>
    <w:p>
      <w:pPr>
        <w:pStyle w:val="Heading3"/>
      </w:pPr>
      <w:bookmarkStart w:id="25" w:name="결론"/>
      <w:r>
        <w:t xml:space="preserve">결론</w:t>
      </w:r>
      <w:bookmarkEnd w:id="25"/>
    </w:p>
    <w:p>
      <w:pPr>
        <w:pStyle w:val="FirstParagraph"/>
      </w:pPr>
      <w:r>
        <w:t xml:space="preserve">e-CVRS는 외부 라이브러리 의존 없이 표준 CPU에서 수초 내 작동하며 전문가 판독과 fair-to-moderate 일치도를 보였다. 범위 제한 코호트에서 e-CVRS와 3D 프록시 부피 모두 MMSE에 대한 독립적 증분이 유의하지 않았으나, 두 지표 간 우열을 판정할 사전 정의 동등성 검정은 수행하지 않았으므로</w:t>
      </w:r>
      <w:r>
        <w:t xml:space="preserve"> </w:t>
      </w:r>
      <w:r>
        <w:t xml:space="preserve">“</w:t>
      </w:r>
      <w:r>
        <w:t xml:space="preserve">비열등</w:t>
      </w:r>
      <w:r>
        <w:t xml:space="preserve">”</w:t>
      </w:r>
      <w:r>
        <w:t xml:space="preserve">으로 단정할 수는 없다. 설명가능 오버레이라는 강점을 고려할 때 e-CVRS는 임상 스크리닝·교육·판독 보조 도구로서의 잠재력을 가지며, 확장 스펙트럼 코호트에서의 재현과 보정 고도화가 후속 과제이다.</w:t>
      </w:r>
    </w:p>
    <w:p>
      <w:pPr>
        <w:pStyle w:val="BodyText"/>
      </w:pPr>
      <w:r>
        <w:rPr>
          <w:b/>
        </w:rPr>
        <w:t xml:space="preserve">중심 단어:</w:t>
      </w:r>
      <w:r>
        <w:t xml:space="preserve"> </w:t>
      </w:r>
      <w:r>
        <w:t xml:space="preserve">뇌 위축 시각평가척도, 설명가능 인공지능(XAI), 질량중심 정렬, 알츠하이머병, 경도인지장애, 위계적 회귀분석</w:t>
      </w:r>
    </w:p>
    <w:p>
      <w:r>
        <w:pict>
          <v:rect style="width:0;height:1.5pt" o:hralign="center" o:hrstd="t" o:hr="t"/>
        </w:pict>
      </w:r>
    </w:p>
    <w:p>
      <w:pPr>
        <w:pStyle w:val="Heading2"/>
      </w:pPr>
      <w:bookmarkStart w:id="26" w:name="abstract-english"/>
      <w:r>
        <w:t xml:space="preserve">Abstract (English)</w:t>
      </w:r>
      <w:bookmarkEnd w:id="26"/>
    </w:p>
    <w:p>
      <w:pPr>
        <w:pStyle w:val="FirstParagraph"/>
      </w:pPr>
      <w:r>
        <w:rPr>
          <w:b/>
        </w:rPr>
        <w:t xml:space="preserve">Background and Purpose.</w:t>
      </w:r>
      <w:r>
        <w:t xml:space="preserve"> </w:t>
      </w:r>
      <w:r>
        <w:t xml:space="preserve">Visual rating scales (VRS) for brain atrophy are fast and intuitive but suffer from high inter-rater variability, whereas automated volumetry (e.g., FreeSurfer) is computationally slow and operates as a black box with limited explainability. We developed an explainable automated atrophy rating pipeline (e-CVRS) that requires no external registration or segmentation software, relying solely on center-of-mass (COM) alignment and local geometric rules, and validated it against expert ratings and clinical measures.</w:t>
      </w:r>
    </w:p>
    <w:p>
      <w:pPr>
        <w:pStyle w:val="BodyText"/>
      </w:pPr>
      <w:r>
        <w:rPr>
          <w:b/>
        </w:rPr>
        <w:t xml:space="preserve">Methods.</w:t>
      </w:r>
      <w:r>
        <w:t xml:space="preserve"> </w:t>
      </w:r>
      <w:r>
        <w:t xml:space="preserve">T1-weighted MRI scans of ADNI participants with mild cognitive impairment (MCI) were used. Using the physical COM of the head mask as the origin, regions of interest (ROIs) for the hippocampi (left/right) and the frontal, parietal, and temporal lobes were automatically defined, and local cerebrospinal fluid (CSF) ratios were computed. To prevent data leakage, thresholds mapping continuous ratios to ordinal grades were learned within the training folds of a 5-fold cross-validation by maximizing the quadratic weighted kappa against manual grades, then applied to held-out folds; 95% confidence intervals (CIs) for the intraclass correlation coefficient (ICC) and weighted kappa were obtained by 2,000 bootstrap resamples. The predictive value for cognition (MMSE) was assessed by hierarchical linear regression controlling for age, sex, education, and APOE4, with Benjamini–Hochberg false discovery rate (FDR) correction.</w:t>
      </w:r>
    </w:p>
    <w:p>
      <w:pPr>
        <w:pStyle w:val="BodyText"/>
      </w:pPr>
      <w:r>
        <w:rPr>
          <w:b/>
        </w:rPr>
        <w:t xml:space="preserve">Results.</w:t>
      </w:r>
      <w:r>
        <w:t xml:space="preserve"> </w:t>
      </w:r>
      <w:r>
        <w:t xml:space="preserve">The final analytic sample comprised 339 subjects (one corrupted scan excluded). Agreement between e-CVRS and expert ratings was fair-to-moderate: temporal κw=0.4953 (95% CI 0.4099–0.5749), left hippocampus κw=0.4669 (0.3832–0.5433), parietal κw=0.3986 (0.3144–0.4818), whereas the frontal lobe (κw=0.3419) and right hippocampus (κw=0.3877) fell in the</w:t>
      </w:r>
      <w:r>
        <w:t xml:space="preserve"> </w:t>
      </w:r>
      <w:r>
        <w:t xml:space="preserve">“</w:t>
      </w:r>
      <w:r>
        <w:t xml:space="preserve">fair</w:t>
      </w:r>
      <w:r>
        <w:t xml:space="preserve">”</w:t>
      </w:r>
      <w:r>
        <w:t xml:space="preserve"> </w:t>
      </w:r>
      <w:r>
        <w:t xml:space="preserve">range. Agreement for the total atrophy sum score (0–17) was ICC(2,1)=0.5746 (0.4985–0.6425). In hierarchical regression, neither e-CVRS (adjusted R²=0.0850) nor a 3D hippocampal proxy volume (0.0866) provided a significant independent increment over the covariate-only model (0.0851) (FDR-adjusted p&gt;0.05), a pattern substantially attributable to the restricted MMSE range of this single-diagnosis MCI cohort.</w:t>
      </w:r>
    </w:p>
    <w:p>
      <w:pPr>
        <w:pStyle w:val="BodyText"/>
      </w:pPr>
      <w:r>
        <w:rPr>
          <w:b/>
        </w:rPr>
        <w:t xml:space="preserve">Conclusions.</w:t>
      </w:r>
      <w:r>
        <w:t xml:space="preserve"> </w:t>
      </w:r>
      <w:r>
        <w:t xml:space="preserve">e-CVRS runs in seconds on a standard CPU without external dependencies and achieved fair-to-moderate agreement with expert readers. Under severe range restriction, neither e-CVRS nor the 3D proxy showed a significant independent association with MMSE; because no pre-specified equivalence test was performed, non-inferiority cannot be asserted. Given its explainable overlays, e-CVRS has potential as a screening, educational, and reading-support tool, pending replication in full-spectrum cohorts and improved calibration.</w:t>
      </w:r>
    </w:p>
    <w:p>
      <w:pPr>
        <w:pStyle w:val="BodyText"/>
      </w:pPr>
      <w:r>
        <w:rPr>
          <w:b/>
        </w:rPr>
        <w:t xml:space="preserve">Keywords:</w:t>
      </w:r>
      <w:r>
        <w:t xml:space="preserve"> </w:t>
      </w:r>
      <w:r>
        <w:t xml:space="preserve">brain atrophy visual rating scale; explainable artificial intelligence; center-of-mass alignment; Alzheimer’s disease; mild cognitive impairment; hierarchical regression.</w:t>
      </w:r>
    </w:p>
    <w:p>
      <w:r>
        <w:pict>
          <v:rect style="width:0;height:1.5pt" o:hralign="center" o:hrstd="t" o:hr="t"/>
        </w:pict>
      </w:r>
    </w:p>
    <w:p>
      <w:pPr>
        <w:pStyle w:val="Heading2"/>
      </w:pPr>
      <w:bookmarkStart w:id="27" w:name="서론-introduction"/>
      <w:r>
        <w:t xml:space="preserve">1. 서론 (Introduction)</w:t>
      </w:r>
      <w:bookmarkEnd w:id="27"/>
    </w:p>
    <w:p>
      <w:pPr>
        <w:pStyle w:val="FirstParagraph"/>
      </w:pPr>
      <w:r>
        <w:t xml:space="preserve">치매 및 인지저하 환자에서 T1 강조 자기공명영상(MRI)을 통한 구조적 위축의 정량화는 알츠하이머병(AD) 및 관련 신경퇴행성 질환의 조기 진단과 경과 예측에 핵심적이다 [9]. 신경퇴행 지표로서의 뇌 위축은 AD 및 MCI 진단기준에도 명시되어 있으며 [4,5], 특히 내측측두엽과 후방 피질의 위축은 질병 단계 및 인지 저하와 밀접하게 연관된다 [9]. 임상에서 널리 쓰이는 정량화 방식은 관상면 해마 위축을 평가하는 Scheltens의 내측측두엽위축(MTA) 척도 [4], T1 축상면 기반의 MTA 변형 척도 [5], 그리고 전반적 피질위축(GCA)·후방 위축을 평가하는 Pasquier [8]·Victoroff [6]·Koedam [7] 척도 등이다. 이러한 시각평가척도(VRS)는 직관적이고 별도 연산 하드웨어 없이 즉각 판독 가능하여 다수 신경과 의사에게 선호된다.</w:t>
      </w:r>
    </w:p>
    <w:p>
      <w:pPr>
        <w:pStyle w:val="BodyText"/>
      </w:pPr>
      <w:r>
        <w:t xml:space="preserve">개별 부위 척도의 정보를 통합하기 위해 Jang 등은 피질위축, 해마위축, 뇌실확장, 소혈관질환을 하나로 아우르는</w:t>
      </w:r>
      <w:r>
        <w:t xml:space="preserve"> </w:t>
      </w:r>
      <w:r>
        <w:rPr>
          <w:b/>
        </w:rPr>
        <w:t xml:space="preserve">포괄적 시각평가척도(CVRS)</w:t>
      </w:r>
      <w:r>
        <w:t xml:space="preserve">를 제안하였고, AD·MCI·정상인지(CN) 집단에서 신경심리검사와 유의한 상관을 보임을 검증하였다 [1]. 후속 연구에서 CVRS는 MCI 환자의 치매 진행 예측 및 종단 인지저하와의 독립적 연관성을 보였으며 [2,3], 특히 전구기 AD에서 기저 CVRS 점수가 3년 내 치매 전환의 독립적 위험인자였다(위험비 1.110, 95% CI 1.043–1.182) [3]. 이는 통합 시각척도가 단순한 판독 편의 도구를 넘어 예후 바이오마커로 기능할 수 있음을 시사한다.</w:t>
      </w:r>
    </w:p>
    <w:p>
      <w:pPr>
        <w:pStyle w:val="BodyText"/>
      </w:pPr>
      <w:r>
        <w:t xml:space="preserve">그러나 모든 수기 시각평가는 판독자의 주관성, 임상 경험 편차, 스캐너 대조도 차이에 따른 판독자 내·간 변동성이라는 근본적 한계를 공유한다. 이를 극복하고자 개발된 FreeSurfer [11], FastSurfer [12], SynthSeg [13] 등 자동 3D 분할 기법은 수백~수천 개 해부구조의 부피를 정밀 제공하지만, (i) 표준 하드웨어에서 스캔당 수십 분~수 시간의 연산을 요구하고, (ii) 절대 복셀 수 기반 측정이 스캐너·자장강도·전처리 파이프라인 차이에 민감하며, (iii) 무엇보다 임상의가 도출 과정을 검증할 수 없는 블랙박스 구조를 갖는다. 고위험 임상 의사결정 영역에서 사후설명(post-hoc explanation)보다 본질적으로 해석 가능한(interpretable-by-design) 모델이 바람직하다는 주장은 방법론적·규제적으로 점차 힘을 얻고 있다 [14]. 즉,</w:t>
      </w:r>
      <w:r>
        <w:t xml:space="preserve"> </w:t>
      </w:r>
      <w:r>
        <w:t xml:space="preserve">“</w:t>
      </w:r>
      <w:r>
        <w:t xml:space="preserve">왜 이 점수가 나왔는가</w:t>
      </w:r>
      <w:r>
        <w:t xml:space="preserve">”</w:t>
      </w:r>
      <w:r>
        <w:t xml:space="preserve">를 측정선·비율·오버레이로 즉시 제시할 수 있는 설명가능성은 자동 위축 정량화 도구의 임상 수용성에 직접적으로 기여한다.</w:t>
      </w:r>
    </w:p>
    <w:p>
      <w:pPr>
        <w:pStyle w:val="BodyText"/>
      </w:pPr>
      <w:r>
        <w:t xml:space="preserve">이러한 배경에서, 자동화의 재현성과 시각척도의 설명가능성을 결합하되 외부 신경영상 스위트(FSL/ANTs/FreeSurfer)에 의존하지 않는 경량 파이프라인의 필요성이 제기된다. 본 연구는 순수 파이썬으로 구현된 뇌 질량중심(COM) 정렬을 원점으로 삼아 해마 및 주요 피질엽의 국소 CSF 비율을 산출하고, 이를 CVRS 위축 하위척도(0–17점)에 대응하는 순서형 등급으로 매핑하는</w:t>
      </w:r>
      <w:r>
        <w:t xml:space="preserve"> </w:t>
      </w:r>
      <w:r>
        <w:rPr>
          <w:b/>
        </w:rPr>
        <w:t xml:space="preserve">e-CVRS</w:t>
      </w:r>
      <w:r>
        <w:t xml:space="preserve"> </w:t>
      </w:r>
      <w:r>
        <w:t xml:space="preserve">파이프라인을 제안한다. COM 정렬은 스캐너 패딩·환자 평행이동·두부 경사에 불변한 해부학적 기준점을 제공하여 등록(registration) 없이도 부위 국소화를 가능케 한다는 점에서 방법론적 이점을 가진다.</w:t>
      </w:r>
    </w:p>
    <w:p>
      <w:pPr>
        <w:pStyle w:val="BodyText"/>
      </w:pPr>
      <w:r>
        <w:t xml:space="preserve">본 논문의 목적은 다음과 같다. 첫째, ADNI MCI 코호트에서 자동 e-CVRS 등급과 신경과 전문의의 눈가림 수기 판독 간</w:t>
      </w:r>
      <w:r>
        <w:t xml:space="preserve"> </w:t>
      </w:r>
      <w:r>
        <w:rPr>
          <w:b/>
        </w:rPr>
        <w:t xml:space="preserve">일치 신뢰도(가중 카파, ICC)</w:t>
      </w:r>
      <w:r>
        <w:t xml:space="preserve">를 데이터 누출을 차단한 교차검증 하에서 엄밀히 정량화한다. 둘째, e-CVRS 점수가</w:t>
      </w:r>
      <w:r>
        <w:t xml:space="preserve"> </w:t>
      </w:r>
      <w:r>
        <w:rPr>
          <w:b/>
        </w:rPr>
        <w:t xml:space="preserve">임상 인지지표(MMSE)</w:t>
      </w:r>
      <w:r>
        <w:t xml:space="preserve">에 대해 갖는 예측 증분을 3D 해마 프록시 부피 및 수기 CVRS와 비교하여 위계적 회귀로 평가한다. 셋째, MCI 단일군 특유의</w:t>
      </w:r>
      <w:r>
        <w:t xml:space="preserve"> </w:t>
      </w:r>
      <w:r>
        <w:rPr>
          <w:b/>
        </w:rPr>
        <w:t xml:space="preserve">범위 제한(range restriction)</w:t>
      </w:r>
      <w:r>
        <w:t xml:space="preserve">이 임상 상관 해석에 미치는 영향을 정직하게 고찰하고, 규칙 기반 설명가능 접근의 성능 상한과 개선 방향을 제시한다. 우리는 (가설 1) e-CVRS가 수기 판독과 최소 fair 이상의 일치를 보이고, (가설 2) 범위가 제한된 본 코호트에서는 e-CVRS를 포함한 어떤 영상지표도 MMSE에 대한 큰 독립적 증분을 보이기 어려울 것으로 예상하였다.</w:t>
      </w:r>
    </w:p>
    <w:p>
      <w:r>
        <w:pict>
          <v:rect style="width:0;height:1.5pt" o:hralign="center" o:hrstd="t" o:hr="t"/>
        </w:pict>
      </w:r>
    </w:p>
    <w:p>
      <w:pPr>
        <w:pStyle w:val="Heading2"/>
      </w:pPr>
      <w:bookmarkStart w:id="28" w:name="대상-및-방법-materials-and-methods"/>
      <w:r>
        <w:t xml:space="preserve">2. 대상 및 방법 (Materials and Methods)</w:t>
      </w:r>
      <w:bookmarkEnd w:id="28"/>
    </w:p>
    <w:p>
      <w:pPr>
        <w:pStyle w:val="FirstParagraph"/>
      </w:pPr>
      <w:r>
        <w:t xml:space="preserve">본 연구는 진단정확도·예측모형 보고를 위해 STARD 2015 [21] 및 TRIPOD [22] 권고를 참고하여 기술하였다.</w:t>
      </w:r>
    </w:p>
    <w:p>
      <w:pPr>
        <w:pStyle w:val="Heading3"/>
      </w:pPr>
      <w:bookmarkStart w:id="29" w:name="연구-설계-및-대상"/>
      <w:r>
        <w:t xml:space="preserve">2.1 연구 설계 및 대상</w:t>
      </w:r>
      <w:bookmarkEnd w:id="29"/>
    </w:p>
    <w:p>
      <w:pPr>
        <w:pStyle w:val="FirstParagraph"/>
      </w:pPr>
      <w:r>
        <w:t xml:space="preserve">후향적 단면 검증 연구로서, ADNI 데이터베이스에서 3D T1 강조 MRI와 기저 임상정보가 완비된 MCI 피험자를 선정하였다. 초기 선별을 통과한 341명 중 1명의 스캔(</w:t>
      </w:r>
      <w:r>
        <w:rPr>
          <w:rStyle w:val="VerbatimChar"/>
        </w:rPr>
        <w:t xml:space="preserve">RID 4212</w:t>
      </w:r>
      <w:r>
        <w:t xml:space="preserve">)은</w:t>
      </w:r>
      <w:r>
        <w:t xml:space="preserve"> </w:t>
      </w:r>
      <w:r>
        <w:rPr>
          <w:rStyle w:val="VerbatimChar"/>
        </w:rPr>
        <w:t xml:space="preserve">.img</w:t>
      </w:r>
      <w:r>
        <w:t xml:space="preserve"> </w:t>
      </w:r>
      <w:r>
        <w:t xml:space="preserve">파일의 물리적 절단·손상(규격 미달, 9.5 MB)으로 로딩 단계에서 자동 제외되었다. 최종적으로 파이프라인 처리와 수기 판독 기록이 모두 존재하는</w:t>
      </w:r>
      <w:r>
        <w:t xml:space="preserve"> </w:t>
      </w:r>
      <w:r>
        <w:rPr>
          <w:b/>
        </w:rPr>
        <w:t xml:space="preserve">339명</w:t>
      </w:r>
      <w:r>
        <w:t xml:space="preserve">이 분석 대상이 되었다. 인구학·임상 특성은 원자료에서 재산출하였으며 Table 1에 제시한다(v1 초안의 일부 수치를 정정).</w:t>
      </w:r>
    </w:p>
    <w:p>
      <w:pPr>
        <w:pStyle w:val="BodyText"/>
      </w:pPr>
      <w:r>
        <w:t xml:space="preserve">ADNI는 각 참여기관 임상시험심사위원회(IRB)의 승인과 모든 참여자의 서면 동의를 받아 수행된 다기관 연구이며, 본 연구는 공개·비식별 2차 데이터를 사용하였다(자세한 사항은 Declarations 참조).</w:t>
      </w:r>
    </w:p>
    <w:p>
      <w:pPr>
        <w:pStyle w:val="Heading3"/>
      </w:pPr>
      <w:bookmarkStart w:id="30" w:name="기준-판독ground-truth-수기-cvrs-위축-하위척도"/>
      <w:r>
        <w:t xml:space="preserve">2.2 기준 판독(Ground Truth): 수기 CVRS 위축 하위척도</w:t>
      </w:r>
      <w:bookmarkEnd w:id="30"/>
    </w:p>
    <w:p>
      <w:pPr>
        <w:pStyle w:val="FirstParagraph"/>
      </w:pPr>
      <w:r>
        <w:t xml:space="preserve">검증 기준은 임상정보에 눈가림된 신경과 전문의의 수기 판독값이다. 본 연구는 가용 판독과 정렬하기 위해 CVRS [1] 중</w:t>
      </w:r>
      <w:r>
        <w:t xml:space="preserve"> </w:t>
      </w:r>
      <w:r>
        <w:rPr>
          <w:b/>
        </w:rPr>
        <w:t xml:space="preserve">T1 기반 위축 하위척도</w:t>
      </w:r>
      <w:r>
        <w:t xml:space="preserve">에 국한하였다: 해마 MTA(좌/우, 0–4; Scheltens [4] 및 T1 축상 변형 [5] 계열)와 전두·두정·측두엽 피질위축(각 0–3; Victoroff [6]/Koedam [7] 계열), 총합 0–17점. CVRS의 소혈관질환 성분(백질고신호·열공·미세출혈 [23])은 FLAIR/T2* 시퀀스를 요하므로 본 T1 전용 연구 범위에서 제외하였다.</w:t>
      </w:r>
    </w:p>
    <w:p>
      <w:pPr>
        <w:pStyle w:val="Heading3"/>
      </w:pPr>
      <w:bookmarkStart w:id="31" w:name="자동-e-cvrs-파이프라인"/>
      <w:r>
        <w:t xml:space="preserve">2.3 자동 e-CVRS 파이프라인</w:t>
      </w:r>
      <w:bookmarkEnd w:id="31"/>
    </w:p>
    <w:p>
      <w:pPr>
        <w:pStyle w:val="SourceCode"/>
      </w:pPr>
      <w:r>
        <w:rPr>
          <w:rStyle w:val="VerbatimChar"/>
        </w:rPr>
        <w:t xml:space="preserve">graph TD</w:t>
      </w:r>
      <w:r>
        <w:br/>
      </w:r>
      <w:r>
        <w:rPr>
          <w:rStyle w:val="VerbatimChar"/>
        </w:rPr>
        <w:t xml:space="preserve">    A[Analyze T1 MRI] --&gt; B[RAS 좌표계 표준화]</w:t>
      </w:r>
      <w:r>
        <w:br/>
      </w:r>
      <w:r>
        <w:rPr>
          <w:rStyle w:val="VerbatimChar"/>
        </w:rPr>
        <w:t xml:space="preserve">    B --&gt; B1[목 영역 제거: z_top - 130 mm 미만]</w:t>
      </w:r>
      <w:r>
        <w:br/>
      </w:r>
      <w:r>
        <w:rPr>
          <w:rStyle w:val="VerbatimChar"/>
        </w:rPr>
        <w:t xml:space="preserve">    B1 --&gt; C[두부 마스크 Centroid COM 산출]</w:t>
      </w:r>
      <w:r>
        <w:br/>
      </w:r>
      <w:r>
        <w:rPr>
          <w:rStyle w:val="VerbatimChar"/>
        </w:rPr>
        <w:t xml:space="preserve">    C --&gt; D[물리 오프셋 mm 기반 ROI 설정]</w:t>
      </w:r>
      <w:r>
        <w:br/>
      </w:r>
      <w:r>
        <w:rPr>
          <w:rStyle w:val="VerbatimChar"/>
        </w:rPr>
        <w:t xml:space="preserve">    D --&gt; E1[MTA Coronal 슬라이스]</w:t>
      </w:r>
      <w:r>
        <w:br/>
      </w:r>
      <w:r>
        <w:rPr>
          <w:rStyle w:val="VerbatimChar"/>
        </w:rPr>
        <w:t xml:space="preserve">    D --&gt; E2[Frontal/Parietal/Temporal Axial 슬라이스]</w:t>
      </w:r>
      <w:r>
        <w:br/>
      </w:r>
      <w:r>
        <w:rPr>
          <w:rStyle w:val="VerbatimChar"/>
        </w:rPr>
        <w:t xml:space="preserve">    E1 --&gt; F1[Local CSF 비율 추출]</w:t>
      </w:r>
      <w:r>
        <w:br/>
      </w:r>
      <w:r>
        <w:rPr>
          <w:rStyle w:val="VerbatimChar"/>
        </w:rPr>
        <w:t xml:space="preserve">    E2 --&gt; F2[Local CSF 비율 추출]</w:t>
      </w:r>
      <w:r>
        <w:br/>
      </w:r>
      <w:r>
        <w:rPr>
          <w:rStyle w:val="VerbatimChar"/>
        </w:rPr>
        <w:t xml:space="preserve">    F1 --&gt; G[5-Fold 교차검증 내 Kappa 극대화 임계값 매핑]</w:t>
      </w:r>
      <w:r>
        <w:br/>
      </w:r>
      <w:r>
        <w:rPr>
          <w:rStyle w:val="VerbatimChar"/>
        </w:rPr>
        <w:t xml:space="preserve">    F2 --&gt; G</w:t>
      </w:r>
      <w:r>
        <w:br/>
      </w:r>
      <w:r>
        <w:rPr>
          <w:rStyle w:val="VerbatimChar"/>
        </w:rPr>
        <w:t xml:space="preserve">    G --&gt; H[e-CVRS 점수 산출 및 오버레이 시각화]</w:t>
      </w:r>
    </w:p>
    <w:p>
      <w:pPr>
        <w:pStyle w:val="FirstParagraph"/>
      </w:pPr>
      <w:r>
        <w:rPr>
          <w:b/>
        </w:rPr>
        <w:t xml:space="preserve">Phase 1: 전처리 및 원점 정렬.</w:t>
      </w:r>
      <w:r>
        <w:t xml:space="preserve"> </w:t>
      </w:r>
      <w:r>
        <w:t xml:space="preserve">각 스캔을 표준 RAS 좌표계로 정렬하였다. 뇌 상단 경계(</w:t>
      </w:r>
      <m:oMath>
        <m:sSub>
          <m:e>
            <m:r>
              <m:t>z</m:t>
            </m:r>
          </m:e>
          <m:sub>
            <m:r>
              <m:t>t</m:t>
            </m:r>
            <m:r>
              <m:t>o</m:t>
            </m:r>
            <m:r>
              <m:t>p</m:t>
            </m:r>
          </m:sub>
        </m:sSub>
      </m:oMath>
      <w:r>
        <w:t xml:space="preserve">)를 자동 검출한 뒤 목 길이 편차로 인한 바운딩박스 변동을 억제하기 위해</w:t>
      </w:r>
      <w:r>
        <w:t xml:space="preserve"> </w:t>
      </w:r>
      <m:oMath>
        <m:sSub>
          <m:e>
            <m:r>
              <m:t>z</m:t>
            </m:r>
          </m:e>
          <m:sub>
            <m:r>
              <m:t>t</m:t>
            </m:r>
            <m:r>
              <m:t>o</m:t>
            </m:r>
            <m:r>
              <m:t>p</m:t>
            </m:r>
          </m:sub>
        </m:sSub>
        <m:r>
          <m:t>−</m:t>
        </m:r>
        <m:r>
          <m:t>130</m:t>
        </m:r>
      </m:oMath>
      <w:r>
        <w:t xml:space="preserve"> </w:t>
      </w:r>
      <w:r>
        <w:t xml:space="preserve">mm 이하 복셀을 0으로 제거(neck stripping)하였다. 정제된 두부 마스크의 기하학적 중심을 계산하여 3D 질량중심(COM;</w:t>
      </w:r>
      <w:r>
        <w:t xml:space="preserve"> </w:t>
      </w:r>
      <m:oMath>
        <m:sSub>
          <m:e>
            <m:r>
              <m:t>x</m:t>
            </m:r>
          </m:e>
          <m:sub>
            <m:r>
              <m:t>c</m:t>
            </m:r>
            <m:r>
              <m:t>o</m:t>
            </m:r>
            <m:r>
              <m:t>m</m:t>
            </m:r>
          </m:sub>
        </m:sSub>
        <m:r>
          <m:t>,</m:t>
        </m:r>
        <m:sSub>
          <m:e>
            <m:r>
              <m:t>y</m:t>
            </m:r>
          </m:e>
          <m:sub>
            <m:r>
              <m:t>c</m:t>
            </m:r>
            <m:r>
              <m:t>o</m:t>
            </m:r>
            <m:r>
              <m:t>m</m:t>
            </m:r>
          </m:sub>
        </m:sSub>
        <m:r>
          <m:t>,</m:t>
        </m:r>
        <m:sSub>
          <m:e>
            <m:r>
              <m:t>z</m:t>
            </m:r>
          </m:e>
          <m:sub>
            <m:r>
              <m:t>c</m:t>
            </m:r>
            <m:r>
              <m:t>o</m:t>
            </m:r>
            <m:r>
              <m:t>m</m:t>
            </m:r>
          </m:sub>
        </m:sSub>
      </m:oMath>
      <w:r>
        <w:t xml:space="preserve">)을 정의하였다.</w:t>
      </w:r>
    </w:p>
    <w:p>
      <w:pPr>
        <w:pStyle w:val="BodyText"/>
      </w:pPr>
      <w:r>
        <w:rPr>
          <w:b/>
        </w:rPr>
        <w:t xml:space="preserve">Phase 2: 해부학적 슬라이스·ROI 정의.</w:t>
      </w:r>
      <w:r>
        <w:t xml:space="preserve"> </w:t>
      </w:r>
      <w:r>
        <w:t xml:space="preserve">COM을 기준으로 복셀 간격(voxel spacing)을 고려해 물리적 mm 오프셋을 역산하여 표적 슬라이스와 ROI를 자동 획득하였다. (1) MTA: 관상면</w:t>
      </w:r>
      <w:r>
        <w:t xml:space="preserve"> </w:t>
      </w:r>
      <m:oMath>
        <m:r>
          <m:t>y</m:t>
        </m:r>
        <m:r>
          <m:t>=</m:t>
        </m:r>
        <m:sSub>
          <m:e>
            <m:r>
              <m:t>y</m:t>
            </m:r>
          </m:e>
          <m:sub>
            <m:r>
              <m:t>c</m:t>
            </m:r>
            <m:r>
              <m:t>o</m:t>
            </m:r>
            <m:r>
              <m:t>m</m:t>
            </m:r>
          </m:sub>
        </m:sSub>
        <m:r>
          <m:t>−</m:t>
        </m:r>
        <m:r>
          <m:t>12</m:t>
        </m:r>
      </m:oMath>
      <w:r>
        <w:t xml:space="preserve"> </w:t>
      </w:r>
      <w:r>
        <w:t xml:space="preserve">mm 중심 인접 5슬라이스에서 좌/우 해마(X 오프셋 각</w:t>
      </w:r>
      <w:r>
        <w:t xml:space="preserve"> </w:t>
      </w:r>
      <m:oMath>
        <m:r>
          <m:t>±</m:t>
        </m:r>
        <m:r>
          <m:t>28</m:t>
        </m:r>
      </m:oMath>
      <w:r>
        <w:t xml:space="preserve"> </w:t>
      </w:r>
      <w:r>
        <w:t xml:space="preserve">mm, Z 오프셋</w:t>
      </w:r>
      <w:r>
        <w:t xml:space="preserve"> </w:t>
      </w:r>
      <m:oMath>
        <m:r>
          <m:t>−</m:t>
        </m:r>
        <m:r>
          <m:t>12</m:t>
        </m:r>
      </m:oMath>
      <w:r>
        <w:t xml:space="preserve"> </w:t>
      </w:r>
      <w:r>
        <w:t xml:space="preserve">mm, ROI 35×25 mm)의 CSF 비율 평균. (2) 전두엽: 축상면</w:t>
      </w:r>
      <w:r>
        <w:t xml:space="preserve"> </w:t>
      </w:r>
      <m:oMath>
        <m:r>
          <m:t>z</m:t>
        </m:r>
        <m:r>
          <m:t>=</m:t>
        </m:r>
        <m:sSub>
          <m:e>
            <m:r>
              <m:t>z</m:t>
            </m:r>
          </m:e>
          <m:sub>
            <m:r>
              <m:t>c</m:t>
            </m:r>
            <m:r>
              <m:t>o</m:t>
            </m:r>
            <m:r>
              <m:t>m</m:t>
            </m:r>
          </m:sub>
        </m:sSub>
        <m:r>
          <m:t>+</m:t>
        </m:r>
        <m:r>
          <m:t>20</m:t>
        </m:r>
      </m:oMath>
      <w:r>
        <w:t xml:space="preserve"> </w:t>
      </w:r>
      <w:r>
        <w:t xml:space="preserve">mm, 전방 Y 오프셋</w:t>
      </w:r>
      <w:r>
        <w:t xml:space="preserve"> </w:t>
      </w:r>
      <m:oMath>
        <m:r>
          <m:t>+</m:t>
        </m:r>
        <m:r>
          <m:t>10</m:t>
        </m:r>
      </m:oMath>
      <w:r>
        <w:t xml:space="preserve"> </w:t>
      </w:r>
      <w:r>
        <w:t xml:space="preserve">mm. (3) 두정엽: 축상면</w:t>
      </w:r>
      <w:r>
        <w:t xml:space="preserve"> </w:t>
      </w:r>
      <m:oMath>
        <m:r>
          <m:t>z</m:t>
        </m:r>
        <m:r>
          <m:t>=</m:t>
        </m:r>
        <m:sSub>
          <m:e>
            <m:r>
              <m:t>z</m:t>
            </m:r>
          </m:e>
          <m:sub>
            <m:r>
              <m:t>c</m:t>
            </m:r>
            <m:r>
              <m:t>o</m:t>
            </m:r>
            <m:r>
              <m:t>m</m:t>
            </m:r>
          </m:sub>
        </m:sSub>
        <m:r>
          <m:t>+</m:t>
        </m:r>
        <m:r>
          <m:t>35</m:t>
        </m:r>
      </m:oMath>
      <w:r>
        <w:t xml:space="preserve"> </w:t>
      </w:r>
      <w:r>
        <w:t xml:space="preserve">mm, 후방 Y 오프셋</w:t>
      </w:r>
      <w:r>
        <w:t xml:space="preserve"> </w:t>
      </w:r>
      <m:oMath>
        <m:r>
          <m:t>−</m:t>
        </m:r>
        <m:r>
          <m:t>10</m:t>
        </m:r>
      </m:oMath>
      <w:r>
        <w:t xml:space="preserve"> </w:t>
      </w:r>
      <w:r>
        <w:t xml:space="preserve">mm. (4) 측두엽: 축상면</w:t>
      </w:r>
      <w:r>
        <w:t xml:space="preserve"> </w:t>
      </w:r>
      <m:oMath>
        <m:r>
          <m:t>z</m:t>
        </m:r>
        <m:r>
          <m:t>=</m:t>
        </m:r>
        <m:sSub>
          <m:e>
            <m:r>
              <m:t>z</m:t>
            </m:r>
          </m:e>
          <m:sub>
            <m:r>
              <m:t>c</m:t>
            </m:r>
            <m:r>
              <m:t>o</m:t>
            </m:r>
            <m:r>
              <m:t>m</m:t>
            </m:r>
          </m:sub>
        </m:sSub>
        <m:r>
          <m:t>−</m:t>
        </m:r>
        <m:r>
          <m:t>5</m:t>
        </m:r>
      </m:oMath>
      <w:r>
        <w:t xml:space="preserve"> </w:t>
      </w:r>
      <w:r>
        <w:t xml:space="preserve">mm, 측방 X 오프셋 각</w:t>
      </w:r>
      <w:r>
        <w:t xml:space="preserve"> </w:t>
      </w:r>
      <m:oMath>
        <m:r>
          <m:t>±</m:t>
        </m:r>
        <m:r>
          <m:t>35</m:t>
        </m:r>
      </m:oMath>
      <w:r>
        <w:t xml:space="preserve"> </w:t>
      </w:r>
      <w:r>
        <w:t xml:space="preserve">mm.</w:t>
      </w:r>
    </w:p>
    <w:p>
      <w:pPr>
        <w:pStyle w:val="BodyText"/>
      </w:pPr>
      <w:r>
        <w:rPr>
          <w:b/>
        </w:rPr>
        <w:t xml:space="preserve">Phase 3: CSF 분할·특징 추출.</w:t>
      </w:r>
      <w:r>
        <w:t xml:space="preserve"> </w:t>
      </w:r>
      <w:r>
        <w:t xml:space="preserve">각 ROI에서 98퍼센타일 신호강도(</w:t>
      </w:r>
      <m:oMath>
        <m:sSub>
          <m:e>
            <m:r>
              <m:t>I</m:t>
            </m:r>
          </m:e>
          <m:sub>
            <m:r>
              <m:t>98</m:t>
            </m:r>
          </m:sub>
        </m:sSub>
      </m:oMath>
      <w:r>
        <w:t xml:space="preserve">)에 부위별 임계인자(MTA 0.25, 전두 0.30, 두정 0.22, 측두 0.30)를 곱한 임계값으로 CSF를 분할하고, 국소 CSF 비율</w:t>
      </w:r>
      <w:r>
        <w:t xml:space="preserve"> </w:t>
      </w:r>
      <m:oMath>
        <m:sSub>
          <m:e>
            <m:r>
              <m:t>R</m:t>
            </m:r>
          </m:e>
          <m:sub>
            <m:r>
              <m:t>C</m:t>
            </m:r>
            <m:r>
              <m:t>S</m:t>
            </m:r>
            <m:r>
              <m:t>F</m:t>
            </m:r>
          </m:sub>
        </m:sSub>
        <m:r>
          <m:t>=</m:t>
        </m:r>
        <m:r>
          <m:t>(</m:t>
        </m:r>
        <m:r>
          <m:rPr>
            <m:nor/>
            <m:sty m:val="p"/>
          </m:rPr>
          <m:t>ROI 내 CSF 복셀 수</m:t>
        </m:r>
        <m:r>
          <m:t>)</m:t>
        </m:r>
        <m:r>
          <m:t>/</m:t>
        </m:r>
        <m:r>
          <m:t>(</m:t>
        </m:r>
        <m:r>
          <m:rPr>
            <m:nor/>
            <m:sty m:val="p"/>
          </m:rPr>
          <m:t>ROI 전체 복셀 수</m:t>
        </m:r>
        <m:r>
          <m:t>)</m:t>
        </m:r>
      </m:oMath>
      <w:r>
        <w:t xml:space="preserve">을 산출하였다. 각 부위에서 자동 등급의 근거를 보여주는 오버레이(측정 슬라이스·ROI 경계·CSF 마스크·측정 비율)를 함께 생성하여 설명가능성을 확보하였다(Figure 3).</w:t>
      </w:r>
    </w:p>
    <w:p>
      <w:pPr>
        <w:pStyle w:val="Heading3"/>
      </w:pPr>
      <w:bookmarkStart w:id="32" w:name="교차검증-및-통계분석"/>
      <w:r>
        <w:t xml:space="preserve">2.4 교차검증 및 통계분석</w:t>
      </w:r>
      <w:bookmarkEnd w:id="32"/>
    </w:p>
    <w:p>
      <w:pPr>
        <w:pStyle w:val="FirstParagraph"/>
      </w:pPr>
      <w:r>
        <w:t xml:space="preserve">연속</w:t>
      </w:r>
      <w:r>
        <w:t xml:space="preserve"> </w:t>
      </w:r>
      <m:oMath>
        <m:sSub>
          <m:e>
            <m:r>
              <m:t>R</m:t>
            </m:r>
          </m:e>
          <m:sub>
            <m:r>
              <m:t>C</m:t>
            </m:r>
            <m:r>
              <m:t>S</m:t>
            </m:r>
            <m:r>
              <m:t>F</m:t>
            </m:r>
          </m:sub>
        </m:sSub>
      </m:oMath>
      <w:r>
        <w:t xml:space="preserve">를 순서형 시각등급(MTA 0–4, 피질 0–3)으로 매핑할 때</w:t>
      </w:r>
      <w:r>
        <w:t xml:space="preserve"> </w:t>
      </w:r>
      <w:r>
        <w:rPr>
          <w:b/>
        </w:rPr>
        <w:t xml:space="preserve">5-fold 교차검증</w:t>
      </w:r>
      <w:r>
        <w:t xml:space="preserve">을 적용하였다. 각 훈련 fold에서 Nelder–Mead 최적화로 훈련세트 수기등급과의 이차 가중 카파 [16]를 극대화하는</w:t>
      </w:r>
      <w:r>
        <w:t xml:space="preserve"> </w:t>
      </w:r>
      <m:oMath>
        <m:r>
          <m:t>C</m:t>
        </m:r>
        <m:r>
          <m:t>−</m:t>
        </m:r>
        <m:r>
          <m:t>1</m:t>
        </m:r>
      </m:oMath>
      <w:r>
        <w:t xml:space="preserve">개 임계값을 산출하고, 이를 독립 held-out fold에 적용하여 예측을 집계하였다. 임계값 학습은 훈련 fold 내부로 엄격히 국한하여 데이터 누출을 차단하였다.</w:t>
      </w:r>
    </w:p>
    <w:p>
      <w:pPr>
        <w:pStyle w:val="BodyText"/>
      </w:pPr>
      <w:r>
        <w:t xml:space="preserve">일치도는 이차 가중 카파 [16]와 급간내상관계수 ICC(2,1) [18]로 평가하고 2,000회 부트스트랩으로 95% CI를 추정하였다. 일치도 강도는 Landis–Koch 기준(κ 0.21–0.40 fair, 0.41–0.60 moderate, 0.61–0.80 substantial) [17] 및 ICC 해석 지침(0.50–0.75 moderate, 0.75–0.90 good) [18]에 따라 해석하였다. 계통 편향 확인을 위해 Bland–Altman 분석 [19]과 부위별 혼동행렬을 보고하였다(Figure 2).</w:t>
      </w:r>
    </w:p>
    <w:p>
      <w:pPr>
        <w:pStyle w:val="BodyText"/>
      </w:pPr>
      <w:r>
        <w:t xml:space="preserve">MMSE에 대한 예측 증분은 공변량(연령·성별·교육연수·APOE4 보인자, Model 1) 위에 수기 CVRS(Model 2), 자동 e-CVRS(Model 3), 3D 해마 프록시 부피(Model 4)를 순차 추가하는 위계적 선형회귀로 평가하고, 증분 F-검정과 Benjamini–Hochberg FDR 보정 [20]을 적용하였다. 두 영상지표(Model 3 vs Model 4)의 우열 판정을 위한 사전 정의 마진 기반 동등성/비열등성 검정(예: TOST)은 본 연구에서 수행하지 않았음을 명시한다. 분석은 Python(NumPy, pandas, SciPy, statsmodels)으로 수행하였고, 자체 구현한 카파·ICC는 표준 라이브러리(pingouin/scikit-learn)와 교차확인하였다.</w:t>
      </w:r>
    </w:p>
    <w:p>
      <w:r>
        <w:pict>
          <v:rect style="width:0;height:1.5pt" o:hralign="center" o:hrstd="t" o:hr="t"/>
        </w:pict>
      </w:r>
    </w:p>
    <w:p>
      <w:pPr>
        <w:pStyle w:val="Heading2"/>
      </w:pPr>
      <w:bookmarkStart w:id="33" w:name="결과-results"/>
      <w:r>
        <w:t xml:space="preserve">3. 결과 (Results)</w:t>
      </w:r>
      <w:bookmarkEnd w:id="33"/>
    </w:p>
    <w:p>
      <w:pPr>
        <w:pStyle w:val="Heading3"/>
      </w:pPr>
      <w:bookmarkStart w:id="34" w:name="대상자-특성"/>
      <w:r>
        <w:t xml:space="preserve">3.1 대상자 특성</w:t>
      </w:r>
      <w:bookmarkEnd w:id="34"/>
    </w:p>
    <w:p>
      <w:pPr>
        <w:pStyle w:val="FirstParagraph"/>
      </w:pPr>
      <w:r>
        <w:t xml:space="preserve">분석 대상 339명의 인구학·임상 특성은 Table 1과 같다. 평균 연령 71.3±7.4세, 여성 46.7%, 평균 교육연수 16.3±2.6년, APOE4 보인자 46.2%였다. 인지·중증도 지표는 MMSE 28.2±1.7(범위 23–30), CDR-SB 1.5±0.9, ADAS-11 9.0±4.3으로, MCI 단일군 특성상 MMSE가 좁은 범위에 집중되었다.</w:t>
      </w:r>
    </w:p>
    <w:p>
      <w:pPr>
        <w:pStyle w:val="BodyText"/>
      </w:pPr>
      <w:r>
        <w:rPr>
          <w:b/>
        </w:rPr>
        <w:t xml:space="preserve">Table 1.</w:t>
      </w:r>
      <w:r>
        <w:t xml:space="preserve"> </w:t>
      </w:r>
      <w:r>
        <w:t xml:space="preserve">분석 대상자의 기저 특성 (N = 339)</w:t>
      </w:r>
    </w:p>
    <w:tbl>
      <w:tblPr>
        <w:tblStyle w:val="Table"/>
        <w:tblW w:type="pct" w:w="0.0"/>
        <w:tblLook w:firstRow="1"/>
      </w:tblPr>
      <w:tblGrid/>
      <w:tr>
        <w:trPr>
          <w:cnfStyle w:firstRow="1"/>
        </w:trPr>
        <w:tc>
          <w:tcPr>
            <w:tcBorders>
              <w:bottom w:val="single"/>
            </w:tcBorders>
            <w:vAlign w:val="bottom"/>
          </w:tcPr>
          <w:p>
            <w:pPr>
              <w:pStyle w:val="Compact"/>
              <w:jc w:val="left"/>
            </w:pPr>
            <w:r>
              <w:t xml:space="preserve">변수</w:t>
            </w:r>
          </w:p>
        </w:tc>
        <w:tc>
          <w:tcPr>
            <w:tcBorders>
              <w:bottom w:val="single"/>
            </w:tcBorders>
            <w:vAlign w:val="bottom"/>
          </w:tcPr>
          <w:p>
            <w:pPr>
              <w:pStyle w:val="Compact"/>
              <w:jc w:val="left"/>
            </w:pPr>
            <w:r>
              <w:t xml:space="preserve">값</w:t>
            </w:r>
          </w:p>
        </w:tc>
      </w:tr>
      <w:tr>
        <w:tc>
          <w:p>
            <w:pPr>
              <w:pStyle w:val="Compact"/>
              <w:jc w:val="left"/>
            </w:pPr>
            <w:r>
              <w:t xml:space="preserve">연령(세), 평균±SD (범위)</w:t>
            </w:r>
          </w:p>
        </w:tc>
        <w:tc>
          <w:p>
            <w:pPr>
              <w:pStyle w:val="Compact"/>
              <w:jc w:val="left"/>
            </w:pPr>
            <w:r>
              <w:t xml:space="preserve">71.3 ± 7.4 (55.0–91.4)</w:t>
            </w:r>
          </w:p>
        </w:tc>
      </w:tr>
      <w:tr>
        <w:tc>
          <w:p>
            <w:pPr>
              <w:pStyle w:val="Compact"/>
              <w:jc w:val="left"/>
            </w:pPr>
            <w:r>
              <w:t xml:space="preserve">성별, 여성 / 남성</w:t>
            </w:r>
          </w:p>
        </w:tc>
        <w:tc>
          <w:p>
            <w:pPr>
              <w:pStyle w:val="Compact"/>
              <w:jc w:val="left"/>
            </w:pPr>
            <w:r>
              <w:t xml:space="preserve">46.7% / 53.3%</w:t>
            </w:r>
          </w:p>
        </w:tc>
      </w:tr>
      <w:tr>
        <w:tc>
          <w:p>
            <w:pPr>
              <w:pStyle w:val="Compact"/>
              <w:jc w:val="left"/>
            </w:pPr>
            <w:r>
              <w:t xml:space="preserve">교육연수(년), 평균±SD</w:t>
            </w:r>
          </w:p>
        </w:tc>
        <w:tc>
          <w:p>
            <w:pPr>
              <w:pStyle w:val="Compact"/>
              <w:jc w:val="left"/>
            </w:pPr>
            <w:r>
              <w:t xml:space="preserve">16.3 ± 2.6</w:t>
            </w:r>
          </w:p>
        </w:tc>
      </w:tr>
      <w:tr>
        <w:tc>
          <w:p>
            <w:pPr>
              <w:pStyle w:val="Compact"/>
              <w:jc w:val="left"/>
            </w:pPr>
            <w:r>
              <w:t xml:space="preserve">APOE4 보인자</w:t>
            </w:r>
          </w:p>
        </w:tc>
        <w:tc>
          <w:p>
            <w:pPr>
              <w:pStyle w:val="Compact"/>
              <w:jc w:val="left"/>
            </w:pPr>
            <w:r>
              <w:t xml:space="preserve">46.2% (ε4×1 36.7%, ×2 9.5%)</w:t>
            </w:r>
          </w:p>
        </w:tc>
      </w:tr>
      <w:tr>
        <w:tc>
          <w:p>
            <w:pPr>
              <w:pStyle w:val="Compact"/>
              <w:jc w:val="left"/>
            </w:pPr>
            <w:r>
              <w:t xml:space="preserve">MMSE, 평균±SD (범위)</w:t>
            </w:r>
          </w:p>
        </w:tc>
        <w:tc>
          <w:p>
            <w:pPr>
              <w:pStyle w:val="Compact"/>
              <w:jc w:val="left"/>
            </w:pPr>
            <w:r>
              <w:t xml:space="preserve">28.2 ± 1.7 (23–30)</w:t>
            </w:r>
          </w:p>
        </w:tc>
      </w:tr>
      <w:tr>
        <w:tc>
          <w:p>
            <w:pPr>
              <w:pStyle w:val="Compact"/>
              <w:jc w:val="left"/>
            </w:pPr>
            <w:r>
              <w:t xml:space="preserve">CDR-SB, 평균±SD</w:t>
            </w:r>
          </w:p>
        </w:tc>
        <w:tc>
          <w:p>
            <w:pPr>
              <w:pStyle w:val="Compact"/>
              <w:jc w:val="left"/>
            </w:pPr>
            <w:r>
              <w:t xml:space="preserve">1.5 ± 0.9</w:t>
            </w:r>
          </w:p>
        </w:tc>
      </w:tr>
      <w:tr>
        <w:tc>
          <w:p>
            <w:pPr>
              <w:pStyle w:val="Compact"/>
              <w:jc w:val="left"/>
            </w:pPr>
            <w:r>
              <w:t xml:space="preserve">ADAS-11, 평균±SD</w:t>
            </w:r>
          </w:p>
        </w:tc>
        <w:tc>
          <w:p>
            <w:pPr>
              <w:pStyle w:val="Compact"/>
              <w:jc w:val="left"/>
            </w:pPr>
            <w:r>
              <w:t xml:space="preserve">9.0 ± 4.3</w:t>
            </w:r>
          </w:p>
        </w:tc>
      </w:tr>
      <w:tr>
        <w:tc>
          <w:p>
            <w:pPr>
              <w:pStyle w:val="Compact"/>
              <w:jc w:val="left"/>
            </w:pPr>
            <w:r>
              <w:t xml:space="preserve">진단</w:t>
            </w:r>
          </w:p>
        </w:tc>
        <w:tc>
          <w:p>
            <w:pPr>
              <w:pStyle w:val="Compact"/>
              <w:jc w:val="left"/>
            </w:pPr>
            <w:r>
              <w:t xml:space="preserve">MCI (단일군)</w:t>
            </w:r>
          </w:p>
        </w:tc>
      </w:tr>
    </w:tbl>
    <w:p>
      <w:pPr>
        <w:pStyle w:val="Heading3"/>
      </w:pPr>
      <w:bookmarkStart w:id="35" w:name="전문가-수기-판독과의-일치도"/>
      <w:r>
        <w:t xml:space="preserve">3.2 전문가 수기 판독과의 일치도</w:t>
      </w:r>
      <w:bookmarkEnd w:id="35"/>
    </w:p>
    <w:p>
      <w:pPr>
        <w:pStyle w:val="FirstParagraph"/>
      </w:pPr>
      <w:r>
        <w:t xml:space="preserve">Held-out 교차검증 예측을 집계한 e-CVRS와 수기 판독 간 일치도는 Table 2와 같다. 총합 위축점수의 ICC(2,1)=0.5746(95% CI 0.4985–0.6425)로 moderate 수준이었다. 부위별로는 측두엽(κw=0.4953)·좌측 해마(κw=0.4669)·두정엽(κw=0.3986)이 moderate 하한 부근이었고, 전두엽(κw=0.3419)과 우측 해마(κw=0.3877)는 Landis–Koch 기준상</w:t>
      </w:r>
      <w:r>
        <w:t xml:space="preserve"> </w:t>
      </w:r>
      <w:r>
        <w:rPr>
          <w:b/>
        </w:rPr>
        <w:t xml:space="preserve">fair</w:t>
      </w:r>
      <w:r>
        <w:t xml:space="preserve"> </w:t>
      </w:r>
      <w:r>
        <w:t xml:space="preserve">범주였다. 즉 전체적으로</w:t>
      </w:r>
      <w:r>
        <w:t xml:space="preserve"> </w:t>
      </w:r>
      <w:r>
        <w:rPr>
          <w:b/>
        </w:rPr>
        <w:t xml:space="preserve">fair-to-moderate</w:t>
      </w:r>
      <w:r>
        <w:t xml:space="preserve"> </w:t>
      </w:r>
      <w:r>
        <w:t xml:space="preserve">일치를 보였으며, 측두엽에서 가장 높고 전두엽에서 가장 낮았다.</w:t>
      </w:r>
    </w:p>
    <w:p>
      <w:pPr>
        <w:pStyle w:val="BodyText"/>
      </w:pPr>
      <w:r>
        <w:rPr>
          <w:b/>
        </w:rPr>
        <w:t xml:space="preserve">Table 2.</w:t>
      </w:r>
      <w:r>
        <w:t xml:space="preserve"> </w:t>
      </w:r>
      <w:r>
        <w:t xml:space="preserve">e-CVRS와 전문가 수기 판독 간 일치도 (5-fold 교차검증, 2,000회 부트스트랩)</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하위척도 (범위)</w:t>
            </w:r>
          </w:p>
        </w:tc>
        <w:tc>
          <w:tcPr>
            <w:tcBorders>
              <w:bottom w:val="single"/>
            </w:tcBorders>
            <w:vAlign w:val="bottom"/>
          </w:tcPr>
          <w:p>
            <w:pPr>
              <w:pStyle w:val="Compact"/>
              <w:jc w:val="left"/>
            </w:pPr>
            <w:r>
              <w:t xml:space="preserve">지표</w:t>
            </w:r>
          </w:p>
        </w:tc>
        <w:tc>
          <w:tcPr>
            <w:tcBorders>
              <w:bottom w:val="single"/>
            </w:tcBorders>
            <w:vAlign w:val="bottom"/>
          </w:tcPr>
          <w:p>
            <w:pPr>
              <w:pStyle w:val="Compact"/>
              <w:jc w:val="left"/>
            </w:pPr>
            <w:r>
              <w:t xml:space="preserve">값</w:t>
            </w:r>
          </w:p>
        </w:tc>
        <w:tc>
          <w:tcPr>
            <w:tcBorders>
              <w:bottom w:val="single"/>
            </w:tcBorders>
            <w:vAlign w:val="bottom"/>
          </w:tcPr>
          <w:p>
            <w:pPr>
              <w:pStyle w:val="Compact"/>
              <w:jc w:val="left"/>
            </w:pPr>
            <w:r>
              <w:t xml:space="preserve">95% CI</w:t>
            </w:r>
          </w:p>
        </w:tc>
        <w:tc>
          <w:tcPr>
            <w:tcBorders>
              <w:bottom w:val="single"/>
            </w:tcBorders>
            <w:vAlign w:val="bottom"/>
          </w:tcPr>
          <w:p>
            <w:pPr>
              <w:pStyle w:val="Compact"/>
              <w:jc w:val="left"/>
            </w:pPr>
            <w:r>
              <w:t xml:space="preserve">해석(Landis–Koch/Koo–Li)</w:t>
            </w:r>
          </w:p>
        </w:tc>
      </w:tr>
      <w:tr>
        <w:tc>
          <w:p>
            <w:pPr>
              <w:pStyle w:val="Compact"/>
              <w:jc w:val="left"/>
            </w:pPr>
            <w:r>
              <w:t xml:space="preserve">좌측 해마 MTA (0–4)</w:t>
            </w:r>
          </w:p>
        </w:tc>
        <w:tc>
          <w:p>
            <w:pPr>
              <w:pStyle w:val="Compact"/>
              <w:jc w:val="left"/>
            </w:pPr>
            <w:r>
              <w:t xml:space="preserve">κw</w:t>
            </w:r>
          </w:p>
        </w:tc>
        <w:tc>
          <w:p>
            <w:pPr>
              <w:pStyle w:val="Compact"/>
              <w:jc w:val="left"/>
            </w:pPr>
            <w:r>
              <w:t xml:space="preserve">0.4669</w:t>
            </w:r>
          </w:p>
        </w:tc>
        <w:tc>
          <w:p>
            <w:pPr>
              <w:pStyle w:val="Compact"/>
              <w:jc w:val="left"/>
            </w:pPr>
            <w:r>
              <w:t xml:space="preserve">0.3832–0.5433</w:t>
            </w:r>
          </w:p>
        </w:tc>
        <w:tc>
          <w:p>
            <w:pPr>
              <w:pStyle w:val="Compact"/>
              <w:jc w:val="left"/>
            </w:pPr>
            <w:r>
              <w:t xml:space="preserve">moderate</w:t>
            </w:r>
          </w:p>
        </w:tc>
      </w:tr>
      <w:tr>
        <w:tc>
          <w:p>
            <w:pPr>
              <w:pStyle w:val="Compact"/>
              <w:jc w:val="left"/>
            </w:pPr>
            <w:r>
              <w:t xml:space="preserve">우측 해마 MTA (0–4)</w:t>
            </w:r>
          </w:p>
        </w:tc>
        <w:tc>
          <w:p>
            <w:pPr>
              <w:pStyle w:val="Compact"/>
              <w:jc w:val="left"/>
            </w:pPr>
            <w:r>
              <w:t xml:space="preserve">κw</w:t>
            </w:r>
          </w:p>
        </w:tc>
        <w:tc>
          <w:p>
            <w:pPr>
              <w:pStyle w:val="Compact"/>
              <w:jc w:val="left"/>
            </w:pPr>
            <w:r>
              <w:t xml:space="preserve">0.3877</w:t>
            </w:r>
          </w:p>
        </w:tc>
        <w:tc>
          <w:p>
            <w:pPr>
              <w:pStyle w:val="Compact"/>
              <w:jc w:val="left"/>
            </w:pPr>
            <w:r>
              <w:t xml:space="preserve">0.2923–0.4738</w:t>
            </w:r>
          </w:p>
        </w:tc>
        <w:tc>
          <w:p>
            <w:pPr>
              <w:pStyle w:val="Compact"/>
              <w:jc w:val="left"/>
            </w:pPr>
            <w:r>
              <w:t xml:space="preserve">fair</w:t>
            </w:r>
          </w:p>
        </w:tc>
      </w:tr>
      <w:tr>
        <w:tc>
          <w:p>
            <w:pPr>
              <w:pStyle w:val="Compact"/>
              <w:jc w:val="left"/>
            </w:pPr>
            <w:r>
              <w:t xml:space="preserve">전두엽 (0–3)</w:t>
            </w:r>
          </w:p>
        </w:tc>
        <w:tc>
          <w:p>
            <w:pPr>
              <w:pStyle w:val="Compact"/>
              <w:jc w:val="left"/>
            </w:pPr>
            <w:r>
              <w:t xml:space="preserve">κw</w:t>
            </w:r>
          </w:p>
        </w:tc>
        <w:tc>
          <w:p>
            <w:pPr>
              <w:pStyle w:val="Compact"/>
              <w:jc w:val="left"/>
            </w:pPr>
            <w:r>
              <w:t xml:space="preserve">0.3419</w:t>
            </w:r>
          </w:p>
        </w:tc>
        <w:tc>
          <w:p>
            <w:pPr>
              <w:pStyle w:val="Compact"/>
              <w:jc w:val="left"/>
            </w:pPr>
            <w:r>
              <w:t xml:space="preserve">0.2388–0.4363</w:t>
            </w:r>
          </w:p>
        </w:tc>
        <w:tc>
          <w:p>
            <w:pPr>
              <w:pStyle w:val="Compact"/>
              <w:jc w:val="left"/>
            </w:pPr>
            <w:r>
              <w:t xml:space="preserve">fair</w:t>
            </w:r>
          </w:p>
        </w:tc>
      </w:tr>
      <w:tr>
        <w:tc>
          <w:p>
            <w:pPr>
              <w:pStyle w:val="Compact"/>
              <w:jc w:val="left"/>
            </w:pPr>
            <w:r>
              <w:t xml:space="preserve">두정엽 (0–3)</w:t>
            </w:r>
          </w:p>
        </w:tc>
        <w:tc>
          <w:p>
            <w:pPr>
              <w:pStyle w:val="Compact"/>
              <w:jc w:val="left"/>
            </w:pPr>
            <w:r>
              <w:t xml:space="preserve">κw</w:t>
            </w:r>
          </w:p>
        </w:tc>
        <w:tc>
          <w:p>
            <w:pPr>
              <w:pStyle w:val="Compact"/>
              <w:jc w:val="left"/>
            </w:pPr>
            <w:r>
              <w:t xml:space="preserve">0.3986</w:t>
            </w:r>
          </w:p>
        </w:tc>
        <w:tc>
          <w:p>
            <w:pPr>
              <w:pStyle w:val="Compact"/>
              <w:jc w:val="left"/>
            </w:pPr>
            <w:r>
              <w:t xml:space="preserve">0.3144–0.4818</w:t>
            </w:r>
          </w:p>
        </w:tc>
        <w:tc>
          <w:p>
            <w:pPr>
              <w:pStyle w:val="Compact"/>
              <w:jc w:val="left"/>
            </w:pPr>
            <w:r>
              <w:t xml:space="preserve">fair(상한)/moderate 경계</w:t>
            </w:r>
          </w:p>
        </w:tc>
      </w:tr>
      <w:tr>
        <w:tc>
          <w:p>
            <w:pPr>
              <w:pStyle w:val="Compact"/>
              <w:jc w:val="left"/>
            </w:pPr>
            <w:r>
              <w:t xml:space="preserve">측두엽 (0–3)</w:t>
            </w:r>
          </w:p>
        </w:tc>
        <w:tc>
          <w:p>
            <w:pPr>
              <w:pStyle w:val="Compact"/>
              <w:jc w:val="left"/>
            </w:pPr>
            <w:r>
              <w:t xml:space="preserve">κw</w:t>
            </w:r>
          </w:p>
        </w:tc>
        <w:tc>
          <w:p>
            <w:pPr>
              <w:pStyle w:val="Compact"/>
              <w:jc w:val="left"/>
            </w:pPr>
            <w:r>
              <w:t xml:space="preserve">0.4953</w:t>
            </w:r>
          </w:p>
        </w:tc>
        <w:tc>
          <w:p>
            <w:pPr>
              <w:pStyle w:val="Compact"/>
              <w:jc w:val="left"/>
            </w:pPr>
            <w:r>
              <w:t xml:space="preserve">0.4099–0.5749</w:t>
            </w:r>
          </w:p>
        </w:tc>
        <w:tc>
          <w:p>
            <w:pPr>
              <w:pStyle w:val="Compact"/>
              <w:jc w:val="left"/>
            </w:pPr>
            <w:r>
              <w:t xml:space="preserve">moderate</w:t>
            </w:r>
          </w:p>
        </w:tc>
      </w:tr>
      <w:tr>
        <w:tc>
          <w:p>
            <w:pPr>
              <w:pStyle w:val="Compact"/>
              <w:jc w:val="left"/>
            </w:pPr>
            <w:r>
              <w:t xml:space="preserve">총합 (0–17)</w:t>
            </w:r>
          </w:p>
        </w:tc>
        <w:tc>
          <w:p>
            <w:pPr>
              <w:pStyle w:val="Compact"/>
              <w:jc w:val="left"/>
            </w:pPr>
            <w:r>
              <w:t xml:space="preserve">ICC(2,1)</w:t>
            </w:r>
          </w:p>
        </w:tc>
        <w:tc>
          <w:p>
            <w:pPr>
              <w:pStyle w:val="Compact"/>
              <w:jc w:val="left"/>
            </w:pPr>
            <w:r>
              <w:t xml:space="preserve">0.5746</w:t>
            </w:r>
          </w:p>
        </w:tc>
        <w:tc>
          <w:p>
            <w:pPr>
              <w:pStyle w:val="Compact"/>
              <w:jc w:val="left"/>
            </w:pPr>
            <w:r>
              <w:t xml:space="preserve">0.4985–0.6425</w:t>
            </w:r>
          </w:p>
        </w:tc>
        <w:tc>
          <w:p>
            <w:pPr>
              <w:pStyle w:val="Compact"/>
              <w:jc w:val="left"/>
            </w:pPr>
            <w:r>
              <w:t xml:space="preserve">moderate</w:t>
            </w:r>
          </w:p>
        </w:tc>
      </w:tr>
    </w:tbl>
    <w:p>
      <w:pPr>
        <w:pStyle w:val="Heading3"/>
      </w:pPr>
      <w:bookmarkStart w:id="36" w:name="mmse-예측-위계적-회귀"/>
      <w:r>
        <w:t xml:space="preserve">3.3 MMSE 예측: 위계적 회귀</w:t>
      </w:r>
      <w:bookmarkEnd w:id="36"/>
    </w:p>
    <w:p>
      <w:pPr>
        <w:pStyle w:val="FirstParagraph"/>
      </w:pPr>
      <w:r>
        <w:t xml:space="preserve">공변량 기저모형(Model 1)의 MMSE 설명력은 adjusted R²=0.0851이었다. 각 영상지표 추가 시 증분과 유의성은 Table 3과 같다. 수기 CVRS(Model 2)는 명목상 유의한 증분을 보였으나(FDR 보정 전 p=0.042) 다중검정 FDR 보정 후 유의성을 상실하였다(FDR p=0.126). e-CVRS(Model 3, p=0.329)와 3D 해마 프록시(Model 4, p=0.216)는 모두 공변량 대비 유의한 증분을 산출하지 못하였다.</w:t>
      </w:r>
    </w:p>
    <w:p>
      <w:pPr>
        <w:pStyle w:val="BodyText"/>
      </w:pPr>
      <w:r>
        <w:rPr>
          <w:b/>
        </w:rPr>
        <w:t xml:space="preserve">Table 3.</w:t>
      </w:r>
      <w:r>
        <w:t xml:space="preserve"> </w:t>
      </w:r>
      <w:r>
        <w:t xml:space="preserve">MMSE에 대한 위계적 선형회귀 (N=339)</w:t>
      </w:r>
    </w:p>
    <w:tbl>
      <w:tblPr>
        <w:tblStyle w:val="Table"/>
        <w:tblW w:type="pct" w:w="0.0"/>
        <w:tblLook w:firstRow="1"/>
      </w:tblPr>
      <w:tblGrid/>
      <w:tr>
        <w:trPr>
          <w:cnfStyle w:firstRow="1"/>
        </w:trPr>
        <w:tc>
          <w:tcPr>
            <w:tcBorders>
              <w:bottom w:val="single"/>
            </w:tcBorders>
            <w:vAlign w:val="bottom"/>
          </w:tcPr>
          <w:p>
            <w:pPr>
              <w:pStyle w:val="Compact"/>
              <w:jc w:val="left"/>
            </w:pPr>
            <w:r>
              <w:t xml:space="preserve">모형</w:t>
            </w:r>
          </w:p>
        </w:tc>
        <w:tc>
          <w:tcPr>
            <w:tcBorders>
              <w:bottom w:val="single"/>
            </w:tcBorders>
            <w:vAlign w:val="bottom"/>
          </w:tcPr>
          <w:p>
            <w:pPr>
              <w:pStyle w:val="Compact"/>
              <w:jc w:val="left"/>
            </w:pPr>
            <w:r>
              <w:t xml:space="preserve">변수 구성</w:t>
            </w:r>
          </w:p>
        </w:tc>
        <w:tc>
          <w:tcPr>
            <w:tcBorders>
              <w:bottom w:val="single"/>
            </w:tcBorders>
            <w:vAlign w:val="bottom"/>
          </w:tcPr>
          <w:p>
            <w:pPr>
              <w:pStyle w:val="Compact"/>
              <w:jc w:val="left"/>
            </w:pPr>
            <w:r>
              <w:t xml:space="preserve">Adjusted R²</w:t>
            </w:r>
          </w:p>
        </w:tc>
        <w:tc>
          <w:tcPr>
            <w:tcBorders>
              <w:bottom w:val="single"/>
            </w:tcBorders>
            <w:vAlign w:val="bottom"/>
          </w:tcPr>
          <w:p>
            <w:pPr>
              <w:pStyle w:val="Compact"/>
              <w:jc w:val="left"/>
            </w:pPr>
            <w:r>
              <w:t xml:space="preserve">증분 F</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FDR-adjusted p</w:t>
            </w:r>
          </w:p>
        </w:tc>
      </w:tr>
      <w:tr>
        <w:tc>
          <w:p>
            <w:pPr>
              <w:pStyle w:val="Compact"/>
              <w:jc w:val="left"/>
            </w:pPr>
            <w:r>
              <w:t xml:space="preserve">Model 1</w:t>
            </w:r>
          </w:p>
        </w:tc>
        <w:tc>
          <w:p>
            <w:pPr>
              <w:pStyle w:val="Compact"/>
              <w:jc w:val="left"/>
            </w:pPr>
            <w:r>
              <w:t xml:space="preserve">기저 공변량</w:t>
            </w:r>
          </w:p>
        </w:tc>
        <w:tc>
          <w:p>
            <w:pPr>
              <w:pStyle w:val="Compact"/>
              <w:jc w:val="left"/>
            </w:pPr>
            <w:r>
              <w:t xml:space="preserve">0.0851</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Model 2</w:t>
            </w:r>
          </w:p>
        </w:tc>
        <w:tc>
          <w:p>
            <w:pPr>
              <w:pStyle w:val="Compact"/>
              <w:jc w:val="left"/>
            </w:pPr>
            <w:r>
              <w:t xml:space="preserve">+ 수기 CVRS 합계</w:t>
            </w:r>
          </w:p>
        </w:tc>
        <w:tc>
          <w:p>
            <w:pPr>
              <w:pStyle w:val="Compact"/>
              <w:jc w:val="left"/>
            </w:pPr>
            <w:r>
              <w:t xml:space="preserve">0.0937</w:t>
            </w:r>
          </w:p>
        </w:tc>
        <w:tc>
          <w:p>
            <w:pPr>
              <w:pStyle w:val="Compact"/>
              <w:jc w:val="left"/>
            </w:pPr>
            <w:r>
              <w:t xml:space="preserve">4.169</w:t>
            </w:r>
          </w:p>
        </w:tc>
        <w:tc>
          <w:p>
            <w:pPr>
              <w:pStyle w:val="Compact"/>
              <w:jc w:val="left"/>
            </w:pPr>
            <w:r>
              <w:t xml:space="preserve">0.042</w:t>
            </w:r>
          </w:p>
        </w:tc>
        <w:tc>
          <w:p>
            <w:pPr>
              <w:pStyle w:val="Compact"/>
              <w:jc w:val="left"/>
            </w:pPr>
            <w:r>
              <w:t xml:space="preserve">0.126</w:t>
            </w:r>
          </w:p>
        </w:tc>
      </w:tr>
      <w:tr>
        <w:tc>
          <w:p>
            <w:pPr>
              <w:pStyle w:val="Compact"/>
              <w:jc w:val="left"/>
            </w:pPr>
            <w:r>
              <w:t xml:space="preserve">Model 3</w:t>
            </w:r>
          </w:p>
        </w:tc>
        <w:tc>
          <w:p>
            <w:pPr>
              <w:pStyle w:val="Compact"/>
              <w:jc w:val="left"/>
            </w:pPr>
            <w:r>
              <w:t xml:space="preserve">+ 자동 e-CVRS 합계</w:t>
            </w:r>
          </w:p>
        </w:tc>
        <w:tc>
          <w:p>
            <w:pPr>
              <w:pStyle w:val="Compact"/>
              <w:jc w:val="left"/>
            </w:pPr>
            <w:r>
              <w:t xml:space="preserve">0.0850</w:t>
            </w:r>
          </w:p>
        </w:tc>
        <w:tc>
          <w:p>
            <w:pPr>
              <w:pStyle w:val="Compact"/>
              <w:jc w:val="left"/>
            </w:pPr>
            <w:r>
              <w:t xml:space="preserve">0.955</w:t>
            </w:r>
          </w:p>
        </w:tc>
        <w:tc>
          <w:p>
            <w:pPr>
              <w:pStyle w:val="Compact"/>
              <w:jc w:val="left"/>
            </w:pPr>
            <w:r>
              <w:t xml:space="preserve">0.329</w:t>
            </w:r>
          </w:p>
        </w:tc>
        <w:tc>
          <w:p>
            <w:pPr>
              <w:pStyle w:val="Compact"/>
              <w:jc w:val="left"/>
            </w:pPr>
            <w:r>
              <w:t xml:space="preserve">0.329</w:t>
            </w:r>
          </w:p>
        </w:tc>
      </w:tr>
      <w:tr>
        <w:tc>
          <w:p>
            <w:pPr>
              <w:pStyle w:val="Compact"/>
              <w:jc w:val="left"/>
            </w:pPr>
            <w:r>
              <w:t xml:space="preserve">Model 4</w:t>
            </w:r>
          </w:p>
        </w:tc>
        <w:tc>
          <w:p>
            <w:pPr>
              <w:pStyle w:val="Compact"/>
              <w:jc w:val="left"/>
            </w:pPr>
            <w:r>
              <w:t xml:space="preserve">+ 3D 해마 프록시 부피</w:t>
            </w:r>
          </w:p>
        </w:tc>
        <w:tc>
          <w:p>
            <w:pPr>
              <w:pStyle w:val="Compact"/>
              <w:jc w:val="left"/>
            </w:pPr>
            <w:r>
              <w:t xml:space="preserve">0.0866</w:t>
            </w:r>
          </w:p>
        </w:tc>
        <w:tc>
          <w:p>
            <w:pPr>
              <w:pStyle w:val="Compact"/>
              <w:jc w:val="left"/>
            </w:pPr>
            <w:r>
              <w:t xml:space="preserve">1.535</w:t>
            </w:r>
          </w:p>
        </w:tc>
        <w:tc>
          <w:p>
            <w:pPr>
              <w:pStyle w:val="Compact"/>
              <w:jc w:val="left"/>
            </w:pPr>
            <w:r>
              <w:t xml:space="preserve">0.216</w:t>
            </w:r>
          </w:p>
        </w:tc>
        <w:tc>
          <w:p>
            <w:pPr>
              <w:pStyle w:val="Compact"/>
              <w:jc w:val="left"/>
            </w:pPr>
            <w:r>
              <w:t xml:space="preserve">0.324</w:t>
            </w:r>
          </w:p>
        </w:tc>
      </w:tr>
    </w:tbl>
    <w:p>
      <w:pPr>
        <w:pStyle w:val="BodyText"/>
      </w:pPr>
      <w:r>
        <w:t xml:space="preserve">(그림 범례는 문서 말미 참조: Figure 1 오버레이 예시, Figure 2 Bland–Altman·혼동행렬, Figure 3 부위별 근거 오버레이 갤러리.)</w:t>
      </w:r>
    </w:p>
    <w:p>
      <w:r>
        <w:pict>
          <v:rect style="width:0;height:1.5pt" o:hralign="center" o:hrstd="t" o:hr="t"/>
        </w:pict>
      </w:r>
    </w:p>
    <w:p>
      <w:pPr>
        <w:pStyle w:val="Heading2"/>
      </w:pPr>
      <w:bookmarkStart w:id="37" w:name="고찰-discussion"/>
      <w:r>
        <w:t xml:space="preserve">4. 고찰 (Discussion)</w:t>
      </w:r>
      <w:bookmarkEnd w:id="37"/>
    </w:p>
    <w:p>
      <w:pPr>
        <w:pStyle w:val="Heading3"/>
      </w:pPr>
      <w:bookmarkStart w:id="38" w:name="주요-소견"/>
      <w:r>
        <w:t xml:space="preserve">4.1 주요 소견</w:t>
      </w:r>
      <w:bookmarkEnd w:id="38"/>
    </w:p>
    <w:p>
      <w:pPr>
        <w:pStyle w:val="FirstParagraph"/>
      </w:pPr>
      <w:r>
        <w:t xml:space="preserve">본 연구는 외부 신경영상 스위트 없이 순수 파이썬 COM 정렬만으로 뇌 주요 위축 부위를 실시간 정량화하는 설명가능 척도(e-CVRS)를 개발하고, ADNI MCI 코호트에서 전문가 판독과 fair-to-moderate 일치(총합 ICC=0.575, 95% CI 하한 0.50)를 확인하였다. 데이터 누출을 fold 내부 학습으로 엄격히 격리한 교차검증 하에서도 신뢰구간 하한이 moderate 경계에 근접하였다는 점은 규칙 기반 접근의 기본적 강건성을 시사한다. 다만 부위 간 편차가 뚜렷하여, 이는 방법의 한계와 개선 여지를 동시에 보여준다.</w:t>
      </w:r>
    </w:p>
    <w:p>
      <w:pPr>
        <w:pStyle w:val="Heading3"/>
      </w:pPr>
      <w:bookmarkStart w:id="39" w:name="부위별-일치도-편차의-해석"/>
      <w:r>
        <w:t xml:space="preserve">4.2 부위별 일치도 편차의 해석</w:t>
      </w:r>
      <w:bookmarkEnd w:id="39"/>
    </w:p>
    <w:p>
      <w:pPr>
        <w:pStyle w:val="FirstParagraph"/>
      </w:pPr>
      <w:r>
        <w:t xml:space="preserve">측두엽·해마에서 일치가 상대적으로 높고 전두엽에서 가장 낮았던 패턴은 해부학적·방법론적으로 해석 가능하다. 첫째, 내측측두·측두 영역은 CSF 공간(측뇌실 측두각, 맥락열, 뇌구)과 조직 경계의 대비가 뚜렷하여 국소 CSF 비율이 위축을 민감하게 포착한다. 반면 전두엽 볼록면은 뇌구 위축이 미만성으로 분포하고 고정 축상 슬라이스 한 장으로는 전두 위축의 3차원 분포를 대표하기 어렵다. 둘째, 수기 척도 자체의 판독 신뢰도도 부위마다 달라, MTA 계열 [4,5]은 상대적으로 재현성이 높은 반면 전반적 피질위축 판정 [6]은 판독자 간 변동이 더 큰 것으로 알려져 있어 기준 자체의 잡음이 상한을 제약한다. 셋째, 본 코호트의 전두 3등급(n=2)·해마 4등급(좌 3, 우 4) 등 상위 등급의 극단적 희소성은 임계값 학습을 불안정하게 만들어 특히 우측 해마·전두엽의 카파를 낮추는 요인으로 작용했을 수 있다. 이는 층화 K-fold와 인접 상위등급 병합(예: MTA 3–4)으로 완화 가능한 개선 표적이다.</w:t>
      </w:r>
    </w:p>
    <w:p>
      <w:pPr>
        <w:pStyle w:val="Heading3"/>
      </w:pPr>
      <w:bookmarkStart w:id="40" w:name="임상-예측력과-범위-제한"/>
      <w:r>
        <w:t xml:space="preserve">4.3 임상 예측력과 범위 제한</w:t>
      </w:r>
      <w:bookmarkEnd w:id="40"/>
    </w:p>
    <w:p>
      <w:pPr>
        <w:pStyle w:val="FirstParagraph"/>
      </w:pPr>
      <w:r>
        <w:t xml:space="preserve">위계적 회귀에서 영상지표(수기·e-CVRS·3D 프록시)의 MMSE 독립 증분은 미미하거나 유의하지 않았다. 이는 위축지표 자체의 무효라기보다 본 코호트의 강력한</w:t>
      </w:r>
      <w:r>
        <w:t xml:space="preserve"> </w:t>
      </w:r>
      <w:r>
        <w:rPr>
          <w:b/>
        </w:rPr>
        <w:t xml:space="preserve">범위 제한 효과</w:t>
      </w:r>
      <w:r>
        <w:t xml:space="preserve">에 상당 부분 기인한다. 대상은 MCI 단일군으로 MMSE가 23–30(평균 28.2±1.7)에 집중되어, 종속변수의 분산이 구조적으로 축소되면 어떤 예측변수를 넣어도 상관계수·결정계수가 수식적으로 감쇠한다. 실제로 수기 CVRS조차 FDR 보정 후 유의성을 잃은 점은 이 감쇠가 특정 지표의 문제가 아니라 코호트 구조의 문제임을 방증한다. 따라서 본 결과를</w:t>
      </w:r>
      <w:r>
        <w:t xml:space="preserve"> </w:t>
      </w:r>
      <w:r>
        <w:t xml:space="preserve">“</w:t>
      </w:r>
      <w:r>
        <w:t xml:space="preserve">위축이 인지와 무관하다</w:t>
      </w:r>
      <w:r>
        <w:t xml:space="preserve">”</w:t>
      </w:r>
      <w:r>
        <w:t xml:space="preserve">로 해석하는 것은 부적절하며, CN–MCI–AD 전 스펙트럼 코호트에서의 재검증이 요구된다.</w:t>
      </w:r>
    </w:p>
    <w:p>
      <w:pPr>
        <w:pStyle w:val="Heading3"/>
      </w:pPr>
      <w:bookmarkStart w:id="41" w:name="동등성비열등성-주장에-대한-신중한-해석"/>
      <w:r>
        <w:t xml:space="preserve">4.4</w:t>
      </w:r>
      <w:r>
        <w:t xml:space="preserve"> </w:t>
      </w:r>
      <w:r>
        <w:t xml:space="preserve">“</w:t>
      </w:r>
      <w:r>
        <w:t xml:space="preserve">동등성/비열등성</w:t>
      </w:r>
      <w:r>
        <w:t xml:space="preserve">”</w:t>
      </w:r>
      <w:r>
        <w:t xml:space="preserve"> </w:t>
      </w:r>
      <w:r>
        <w:t xml:space="preserve">주장에 대한 신중한 해석</w:t>
      </w:r>
      <w:bookmarkEnd w:id="41"/>
    </w:p>
    <w:p>
      <w:pPr>
        <w:pStyle w:val="FirstParagraph"/>
      </w:pPr>
      <w:r>
        <w:t xml:space="preserve">v1 초안은 e-CVRS가 3D 프록시 부피에</w:t>
      </w:r>
      <w:r>
        <w:t xml:space="preserve"> </w:t>
      </w:r>
      <w:r>
        <w:t xml:space="preserve">“</w:t>
      </w:r>
      <w:r>
        <w:t xml:space="preserve">비열등</w:t>
      </w:r>
      <w:r>
        <w:t xml:space="preserve">”</w:t>
      </w:r>
      <w:r>
        <w:t xml:space="preserve">하다고 기술하였으나, 이는 두 지표가 모두 유의하지 않았다는 사실(둘 다 p&gt;0.05)에 근거한 것이다. 두 개의 비유의 결과는</w:t>
      </w:r>
      <w:r>
        <w:t xml:space="preserve"> </w:t>
      </w:r>
      <w:r>
        <w:t xml:space="preserve">“</w:t>
      </w:r>
      <w:r>
        <w:t xml:space="preserve">차이 없음의 증거</w:t>
      </w:r>
      <w:r>
        <w:t xml:space="preserve">”</w:t>
      </w:r>
      <w:r>
        <w:t xml:space="preserve">가 아니라</w:t>
      </w:r>
      <w:r>
        <w:t xml:space="preserve"> </w:t>
      </w:r>
      <w:r>
        <w:t xml:space="preserve">“</w:t>
      </w:r>
      <w:r>
        <w:t xml:space="preserve">증거의 부재</w:t>
      </w:r>
      <w:r>
        <w:t xml:space="preserve">”</w:t>
      </w:r>
      <w:r>
        <w:t xml:space="preserve">일 뿐이며(absence of evidence ≠ evidence of absence), 사전 정의된 동등성 마진 기반의 검정(예: TOST) 없이 동등·비열등을 단정할 수 없다. 더욱이 범위 제한으로 검정력이 낮은 상황에서는 진짜 차이도 탐지되지 않을 수 있다. 따라서 본 연구는 e-CVRS가 3D 프록시와</w:t>
      </w:r>
      <w:r>
        <w:t xml:space="preserve"> </w:t>
      </w:r>
      <w:r>
        <w:t xml:space="preserve">“</w:t>
      </w:r>
      <w:r>
        <w:t xml:space="preserve">탐색적으로 유사한 수준</w:t>
      </w:r>
      <w:r>
        <w:t xml:space="preserve">”</w:t>
      </w:r>
      <w:r>
        <w:t xml:space="preserve">이라고만 기술하며, 형식적 비열등성 결론은 유보한다. 향후 충분한 분산과 검정력을 확보한 코호트에서 사전 마진을 정의한 동등성 설계로 재검증할 필요가 있다.</w:t>
      </w:r>
    </w:p>
    <w:p>
      <w:pPr>
        <w:pStyle w:val="Heading3"/>
      </w:pPr>
      <w:bookmarkStart w:id="42" w:name="방법론적-강점"/>
      <w:r>
        <w:t xml:space="preserve">4.5 방법론적 강점</w:t>
      </w:r>
      <w:bookmarkEnd w:id="42"/>
    </w:p>
    <w:p>
      <w:pPr>
        <w:pStyle w:val="FirstParagraph"/>
      </w:pPr>
      <w:r>
        <w:t xml:space="preserve">본 접근의 강점은 (i) FSL/ANTs/FreeSurfer 등 무거운 외부 의존 없이 표준 CPU에서 수초 내 작동하는 경량성, (ii) COM 정렬이 스캐너 패딩·환자 위치·두부 경사에 불변하여 등록 없이도 부위 국소화를 가능케 하는 점, (iii) 측정선·ROI·CSF 마스크·비율을 오버레이로 제시하여 판독 근거를 즉시 검증 가능하게 하는 설명가능성 [14], (iv) fold 내부 학습·부트스트랩 CI 보고 등 데이터 누출 통제와 불확실성 정량화를 갖춘 검증 엄밀성이다. 이는 다기관·저자원 환경으로의 확장과 규제 친화적 문서화에 유리하다.</w:t>
      </w:r>
    </w:p>
    <w:p>
      <w:pPr>
        <w:pStyle w:val="Heading3"/>
      </w:pPr>
      <w:bookmarkStart w:id="43" w:name="한계"/>
      <w:r>
        <w:t xml:space="preserve">4.6 한계</w:t>
      </w:r>
      <w:bookmarkEnd w:id="43"/>
    </w:p>
    <w:p>
      <w:pPr>
        <w:pStyle w:val="FirstParagraph"/>
      </w:pPr>
      <w:r>
        <w:t xml:space="preserve">첫째, 단일 시점·단면 설계로 인과·종단 예측을 평가하지 못했다. 둘째, 단일 코호트(ADNI, MCI)로 외부 검증이 부재하며 범위 제한이 임상 상관 해석을 제약한다. 셋째, 고정 mm 오프셋·단면 슬라이스 규칙은 심한 해부 변이나 병리 혼재에서 표적을 벗어날 수 있고, 특히 전두엽에서 성능을 제한하였다. 넷째, 3D</w:t>
      </w:r>
      <w:r>
        <w:t xml:space="preserve"> </w:t>
      </w:r>
      <w:r>
        <w:t xml:space="preserve">“</w:t>
      </w:r>
      <w:r>
        <w:t xml:space="preserve">프록시 부피</w:t>
      </w:r>
      <w:r>
        <w:t xml:space="preserve">”</w:t>
      </w:r>
      <w:r>
        <w:t xml:space="preserve">는 고정 박스 기반의 조악한 근사로, 별도 분석에서 부호 불일치·약한 상관을 보였으므로 확립된 FreeSurfer 용적 [11]을 1차 비교자로 사용하는 재검증이 필요하다. 다섯째, 기준 판독의 판독자 수·판독자 간 신뢰도 정보가 제한적이어서 기준 잡음이 상한에 미친 영향을 완전히 분리하지 못했다. 여섯째, 현재 임계값 학습은 카파 극대화에 기반하나 상위 등급 희소성에 취약하여, 순서형 회귀·등온회귀 등 대안적 보정과의 체계적 비교가 남아 있다.</w:t>
      </w:r>
    </w:p>
    <w:p>
      <w:pPr>
        <w:pStyle w:val="Heading3"/>
      </w:pPr>
      <w:bookmarkStart w:id="44" w:name="향후-과제"/>
      <w:r>
        <w:t xml:space="preserve">4.7 향후 과제</w:t>
      </w:r>
      <w:bookmarkEnd w:id="44"/>
    </w:p>
    <w:p>
      <w:pPr>
        <w:pStyle w:val="FirstParagraph"/>
      </w:pPr>
      <w:r>
        <w:t xml:space="preserve">개선 우선순위는 (1) 백질 피크/z-score 강도 정규화로 스캐너 편차 흡수, (2) 다중 슬라이스·부분용적 보정 및 좌우 대칭 특징 결합, (3) 순서형 로지스틱/등온회귀 기반 보정과 중첩 교차검증 기반 하이퍼파라미터 공동 최적화, (4) 층화 K-fold 및 상위등급 병합으로 클래스 불균형 대응, (5) leave-one-site-out·자장강도 층화로 스캐너 강건성 실증, (6) FreeSurfer 용적을 1차 비교자로 한 수렴타당도 재확립, (7) CN·AD 포함 전 스펙트럼·외부 코호트에서 잠금 임계값 재현이다. 임상 적용 측면에서는 DICOM 입력·오버레이 리포트·추론 아티팩트 직렬화·API 서비스화를 통해 설명가능 스크리닝/교육 보조 도구로의 전환이 가능하다(단, 현 단계는 연구용이며 의료기기가 아님).</w:t>
      </w:r>
    </w:p>
    <w:p>
      <w:r>
        <w:pict>
          <v:rect style="width:0;height:1.5pt" o:hralign="center" o:hrstd="t" o:hr="t"/>
        </w:pict>
      </w:r>
    </w:p>
    <w:p>
      <w:pPr>
        <w:pStyle w:val="Heading2"/>
      </w:pPr>
      <w:bookmarkStart w:id="45" w:name="결론-conclusion"/>
      <w:r>
        <w:t xml:space="preserve">5. 결론 (Conclusion)</w:t>
      </w:r>
      <w:bookmarkEnd w:id="45"/>
    </w:p>
    <w:p>
      <w:pPr>
        <w:pStyle w:val="FirstParagraph"/>
      </w:pPr>
      <w:r>
        <w:t xml:space="preserve">본 연구는 T1 강조 MRI에서 복잡한 외부 신경영상 스위트 없이 순수 파이썬 COM 정렬만으로 해마 및 주요 피질엽 위축을 수초 내 정량화하는 설명가능 척도(e-CVRS)를 제안하고, ADNI MCI 코호트에서 전문가 판독과 fair-to-moderate 일치(총합 ICC=0.575)를 실증하였다. 범위가 크게 제한된 본 코호트에서는 e-CVRS를 포함한 어떤 영상지표도 MMSE에 대한 유의한 독립 증분을 보이지 못했으며, 이는 지표의 무효가 아니라 코호트 구조에 기인한다. 다만 사전 정의 동등성 검정을 수행하지 않았으므로 3D 용적측정 대비</w:t>
      </w:r>
      <w:r>
        <w:t xml:space="preserve"> </w:t>
      </w:r>
      <w:r>
        <w:t xml:space="preserve">“</w:t>
      </w:r>
      <w:r>
        <w:t xml:space="preserve">비열등</w:t>
      </w:r>
      <w:r>
        <w:t xml:space="preserve">”</w:t>
      </w:r>
      <w:r>
        <w:t xml:space="preserve">으로 단정하지 않는다. 설명가능 오버레이와 경량 연산이라는 강점을 고려할 때 e-CVRS는 임상 스크리닝·교육·판독 보조 도구로서의 잠재력을 가지며, 보정 고도화와 전 스펙트럼·외부 코호트 재현을 통해 향후 설명가능 SaMD로의 발전이 기대된다.</w:t>
      </w:r>
    </w:p>
    <w:p>
      <w:r>
        <w:pict>
          <v:rect style="width:0;height:1.5pt" o:hralign="center" o:hrstd="t" o:hr="t"/>
        </w:pict>
      </w:r>
    </w:p>
    <w:p>
      <w:pPr>
        <w:pStyle w:val="Heading2"/>
      </w:pPr>
      <w:bookmarkStart w:id="46" w:name="declarations"/>
      <w:r>
        <w:t xml:space="preserve">Declarations</w:t>
      </w:r>
      <w:bookmarkEnd w:id="46"/>
    </w:p>
    <w:p>
      <w:pPr>
        <w:pStyle w:val="FirstParagraph"/>
      </w:pPr>
      <w:r>
        <w:rPr>
          <w:b/>
        </w:rPr>
        <w:t xml:space="preserve">윤리 승인 및 동의(Ethics approval and consent).</w:t>
      </w:r>
      <w:r>
        <w:t xml:space="preserve"> </w:t>
      </w:r>
      <w:r>
        <w:t xml:space="preserve">본 연구는 ADNI의 공개·비식별 2차 데이터를 분석하였다. ADNI는 각 참여기관 IRB 승인 하에 수행되었으며 모든 참여자(또는 대리인)로부터 서면 동의를 받았다. 2차 데이터 분석에 대한 소속기관 IRB 승인/면제 여부는 최종 투고 시 기관 규정에 따라 기재한다.</w:t>
      </w:r>
    </w:p>
    <w:p>
      <w:pPr>
        <w:pStyle w:val="BodyText"/>
      </w:pPr>
      <w:r>
        <w:rPr>
          <w:b/>
        </w:rPr>
        <w:t xml:space="preserve">데이터 가용성(Data availability).</w:t>
      </w:r>
      <w:r>
        <w:t xml:space="preserve"> </w:t>
      </w:r>
      <w:r>
        <w:t xml:space="preserve">본 연구에 사용된 영상·임상 데이터는 ADNI(adni.loni.usc.edu)에서 데이터 사용 협약을 통해 제공되며, 저자가 재배포할 수 없다. 분석 코드(e-CVRS 파이프라인 및 평가 스크립트)는 합리적 요청 시 제공 가능하다.</w:t>
      </w:r>
    </w:p>
    <w:p>
      <w:pPr>
        <w:pStyle w:val="BodyText"/>
      </w:pPr>
      <w:r>
        <w:rPr>
          <w:b/>
        </w:rPr>
        <w:t xml:space="preserve">연구비(Funding).</w:t>
      </w:r>
      <w:r>
        <w:t xml:space="preserve"> </w:t>
      </w:r>
      <w:r>
        <w:t xml:space="preserve">해당 없음/투고 시 기재.</w:t>
      </w:r>
    </w:p>
    <w:p>
      <w:pPr>
        <w:pStyle w:val="BodyText"/>
      </w:pPr>
      <w:r>
        <w:rPr>
          <w:b/>
        </w:rPr>
        <w:t xml:space="preserve">이해상충(Conflicts of interest).</w:t>
      </w:r>
      <w:r>
        <w:t xml:space="preserve"> </w:t>
      </w:r>
      <w:r>
        <w:t xml:space="preserve">저자들은 이해상충이 없음을 선언한다.</w:t>
      </w:r>
    </w:p>
    <w:p>
      <w:pPr>
        <w:pStyle w:val="BodyText"/>
      </w:pPr>
      <w:r>
        <w:rPr>
          <w:b/>
        </w:rPr>
        <w:t xml:space="preserve">저자 기여(Author contributions).</w:t>
      </w:r>
      <w:r>
        <w:t xml:space="preserve"> </w:t>
      </w:r>
      <w:r>
        <w:t xml:space="preserve">연구 설계, 알고리즘 구현, 통계 분석, 원고 작성 및 검토 — 투고 시 CRediT 분류에 따라 기재.</w:t>
      </w:r>
    </w:p>
    <w:p>
      <w:pPr>
        <w:pStyle w:val="BodyText"/>
      </w:pPr>
      <w:r>
        <w:rPr>
          <w:b/>
        </w:rPr>
        <w:t xml:space="preserve">ADNI 사사(Acknowledgment).</w:t>
      </w:r>
      <w:r>
        <w:t xml:space="preserve"> </w:t>
      </w:r>
      <w:r>
        <w:t xml:space="preserve">본 연구에 사용된 데이터의 수집·공유에 대한 재원은 알츠하이머병 신경영상 이니셔티브(ADNI)(국립보건원 지원금 U01 AG024904) 및 국방부 ADNI(수상번호 W81XWH-12-2-0012)에서 제공되었다. ADNI는 국립노화연구소(NIA), 국립영상·생명공학연구소(NIBIB), 그리고 다수의 민간 기여기관의 후원을 받는다. 본 연구의 다수 조사자는 ADNI의 설계·시행에 기여하였으나 본 원고의 분석·작성에는 참여하지 않았다. ADNI 조사자 명단은 다음에서 확인할 수 있다: http://adni.loni.usc.edu/wp-content/uploads/how_to_apply/ADNI_Acknowledgement_List.pdf (투고 시 최신 표준 사사문안으로 대체).</w:t>
      </w:r>
    </w:p>
    <w:p>
      <w:r>
        <w:pict>
          <v:rect style="width:0;height:1.5pt" o:hralign="center" o:hrstd="t" o:hr="t"/>
        </w:pict>
      </w:r>
    </w:p>
    <w:p>
      <w:pPr>
        <w:pStyle w:val="Heading2"/>
      </w:pPr>
      <w:bookmarkStart w:id="47" w:name="references"/>
      <w:r>
        <w:t xml:space="preserve">References</w:t>
      </w:r>
      <w:bookmarkEnd w:id="47"/>
    </w:p>
    <w:p>
      <w:pPr>
        <w:numPr>
          <w:ilvl w:val="0"/>
          <w:numId w:val="1001"/>
        </w:numPr>
        <w:pStyle w:val="Compact"/>
      </w:pPr>
      <w:r>
        <w:t xml:space="preserve">Jang JW, Park SY, Park YH, Baek MJ, Lim JS, Youn YC, et al. A comprehensive visual rating scale of brain magnetic resonance imaging: application in elderly subjects with Alzheimer’s disease, mild cognitive impairment, and normal cognition. J Alzheimers Dis 2015;44:1023–34.</w:t>
      </w:r>
    </w:p>
    <w:p>
      <w:pPr>
        <w:numPr>
          <w:ilvl w:val="0"/>
          <w:numId w:val="1001"/>
        </w:numPr>
        <w:pStyle w:val="Compact"/>
      </w:pPr>
      <w:r>
        <w:t xml:space="preserve">Jang JW, Park JH, Kim S, Park YH, Pyun JM, Lim JS, et al. A</w:t>
      </w:r>
      <w:r>
        <w:t xml:space="preserve"> </w:t>
      </w:r>
      <w:r>
        <w:t xml:space="preserve">‘</w:t>
      </w:r>
      <w:r>
        <w:t xml:space="preserve">Comprehensive Visual Rating Scale</w:t>
      </w:r>
      <w:r>
        <w:t xml:space="preserve">’</w:t>
      </w:r>
      <w:r>
        <w:t xml:space="preserve"> </w:t>
      </w:r>
      <w:r>
        <w:t xml:space="preserve">for predicting progression to dementia in patients with mild cognitive impairment. PLoS One 2018;13:e0201852.</w:t>
      </w:r>
    </w:p>
    <w:p>
      <w:pPr>
        <w:numPr>
          <w:ilvl w:val="0"/>
          <w:numId w:val="1001"/>
        </w:numPr>
        <w:pStyle w:val="Compact"/>
      </w:pPr>
      <w:r>
        <w:t xml:space="preserve">Chung JK, Jang JW; Alzheimer’s Disease Neuroimaging Initiative. Comprehensive visual rating scale on magnetic resonance imaging: application to prodromal Alzheimer disease. Ann Geriatr Med Res 2021;25(1):39–44.</w:t>
      </w:r>
    </w:p>
    <w:p>
      <w:pPr>
        <w:numPr>
          <w:ilvl w:val="0"/>
          <w:numId w:val="1001"/>
        </w:numPr>
        <w:pStyle w:val="Compact"/>
      </w:pPr>
      <w:r>
        <w:t xml:space="preserve">Scheltens P, Leys D, Barkhof F, Huglo D, Weinstein HC, Vermersch P, et al. Atrophy of medial temporal lobes on MRI in</w:t>
      </w:r>
      <w:r>
        <w:t xml:space="preserve"> </w:t>
      </w:r>
      <w:r>
        <w:t xml:space="preserve">“</w:t>
      </w:r>
      <w:r>
        <w:t xml:space="preserve">probable</w:t>
      </w:r>
      <w:r>
        <w:t xml:space="preserve">”</w:t>
      </w:r>
      <w:r>
        <w:t xml:space="preserve"> </w:t>
      </w:r>
      <w:r>
        <w:t xml:space="preserve">Alzheimer’s disease and normal ageing: diagnostic value and neuropsychological correlates. J Neurol Neurosurg Psychiatry 1992;55:967–72.</w:t>
      </w:r>
    </w:p>
    <w:p>
      <w:pPr>
        <w:numPr>
          <w:ilvl w:val="0"/>
          <w:numId w:val="1001"/>
        </w:numPr>
        <w:pStyle w:val="Compact"/>
      </w:pPr>
      <w:r>
        <w:t xml:space="preserve">Kim GH, Kim JE, Choi KG, Lim SM, Lee JM, Na DL, et al. T1-weighted axial visual rating scale for an assessment of medial temporal atrophy in Alzheimer’s disease. J Alzheimers Dis 2014;41:169–78.</w:t>
      </w:r>
    </w:p>
    <w:p>
      <w:pPr>
        <w:numPr>
          <w:ilvl w:val="0"/>
          <w:numId w:val="1001"/>
        </w:numPr>
        <w:pStyle w:val="Compact"/>
      </w:pPr>
      <w:r>
        <w:t xml:space="preserve">Victoroff J, Mack WJ, Grafton ST, Schreiber SS, Chui HC. A method to improve interrater reliability of visual inspection of brain MRI scans in dementia. Neurology 1994;44:2267–76.</w:t>
      </w:r>
    </w:p>
    <w:p>
      <w:pPr>
        <w:numPr>
          <w:ilvl w:val="0"/>
          <w:numId w:val="1001"/>
        </w:numPr>
        <w:pStyle w:val="Compact"/>
      </w:pPr>
      <w:r>
        <w:t xml:space="preserve">Koedam EL, Lehmann M, van der Flier WM, Scheltens P, Pijnenburg YA, Fox N, et al. Visual assessment of posterior atrophy: development of a MRI rating scale. Eur Radiol 2011;21:2618–25.</w:t>
      </w:r>
    </w:p>
    <w:p>
      <w:pPr>
        <w:numPr>
          <w:ilvl w:val="0"/>
          <w:numId w:val="1001"/>
        </w:numPr>
        <w:pStyle w:val="Compact"/>
      </w:pPr>
      <w:r>
        <w:t xml:space="preserve">Pasquier F, Leys D, Weerts JG, Mounier-Vehier F, Barkhof F, Scheltens P. Inter- and intraobserver reproducibility of cerebral atrophy assessment on MRI scans with hemispheric infarcts. Eur Neurol 1996;36:268–72.</w:t>
      </w:r>
    </w:p>
    <w:p>
      <w:pPr>
        <w:numPr>
          <w:ilvl w:val="0"/>
          <w:numId w:val="1001"/>
        </w:numPr>
        <w:pStyle w:val="Compact"/>
      </w:pPr>
      <w:r>
        <w:t xml:space="preserve">Frisoni GB, Fox NC, Jack CR Jr, Scheltens P, Thompson PM. The clinical use of structural MRI in Alzheimer disease. Nat Rev Neurol 2010;6:67–77.</w:t>
      </w:r>
    </w:p>
    <w:p>
      <w:pPr>
        <w:numPr>
          <w:ilvl w:val="0"/>
          <w:numId w:val="1001"/>
        </w:numPr>
        <w:pStyle w:val="Compact"/>
      </w:pPr>
      <w:r>
        <w:t xml:space="preserve">Jack CR Jr, Bernstein MA, Fox NC, Thompson P, Alexander G, Harvey D, et al. The Alzheimer’s Disease Neuroimaging Initiative (ADNI): MRI methods. J Magn Reson Imaging 2008;27:685–91.</w:t>
      </w:r>
    </w:p>
    <w:p>
      <w:pPr>
        <w:numPr>
          <w:ilvl w:val="0"/>
          <w:numId w:val="1001"/>
        </w:numPr>
        <w:pStyle w:val="Compact"/>
      </w:pPr>
      <w:r>
        <w:t xml:space="preserve">Fischl B. FreeSurfer. Neuroimage 2012;62:774–81.</w:t>
      </w:r>
    </w:p>
    <w:p>
      <w:pPr>
        <w:numPr>
          <w:ilvl w:val="0"/>
          <w:numId w:val="1001"/>
        </w:numPr>
        <w:pStyle w:val="Compact"/>
      </w:pPr>
      <w:r>
        <w:t xml:space="preserve">Henschel L, Conjeti S, Estrada S, Diers K, Fischl B, Reuter M. FastSurfer: a fast and accurate deep learning based neuroimaging pipeline. Neuroimage 2020;219:117012.</w:t>
      </w:r>
    </w:p>
    <w:p>
      <w:pPr>
        <w:numPr>
          <w:ilvl w:val="0"/>
          <w:numId w:val="1001"/>
        </w:numPr>
        <w:pStyle w:val="Compact"/>
      </w:pPr>
      <w:r>
        <w:t xml:space="preserve">Billot B, Greve DN, Puonti O, Thielscher A, Van Leemput K, Fischl B, et al. SynthSeg: segmentation of brain MRI scans of any contrast and resolution without retraining. Med Image Anal 2023;83:102789.</w:t>
      </w:r>
    </w:p>
    <w:p>
      <w:pPr>
        <w:numPr>
          <w:ilvl w:val="0"/>
          <w:numId w:val="1001"/>
        </w:numPr>
        <w:pStyle w:val="Compact"/>
      </w:pPr>
      <w:r>
        <w:t xml:space="preserve">Rudin C. Stop explaining black box machine learning models for high stakes decisions and use interpretable models instead. Nat Mach Intell 2019;1:206–15.</w:t>
      </w:r>
    </w:p>
    <w:p>
      <w:pPr>
        <w:numPr>
          <w:ilvl w:val="0"/>
          <w:numId w:val="1001"/>
        </w:numPr>
        <w:pStyle w:val="Compact"/>
      </w:pPr>
      <w:r>
        <w:t xml:space="preserve">Folstein MF, Folstein SE, McHugh PR.</w:t>
      </w:r>
      <w:r>
        <w:t xml:space="preserve"> </w:t>
      </w:r>
      <w:r>
        <w:t xml:space="preserve">“</w:t>
      </w:r>
      <w:r>
        <w:t xml:space="preserve">Mini-mental state</w:t>
      </w:r>
      <w:r>
        <w:t xml:space="preserve">”</w:t>
      </w:r>
      <w:r>
        <w:t xml:space="preserve">: a practical method for grading the cognitive state of patients for the clinician. J Psychiatr Res 1975;12:189–98.</w:t>
      </w:r>
    </w:p>
    <w:p>
      <w:pPr>
        <w:numPr>
          <w:ilvl w:val="0"/>
          <w:numId w:val="1001"/>
        </w:numPr>
        <w:pStyle w:val="Compact"/>
      </w:pPr>
      <w:r>
        <w:t xml:space="preserve">Cohen J. Weighted kappa: nominal scale agreement with provision for scaled disagreement or partial credit. Psychol Bull 1968;70:213–20.</w:t>
      </w:r>
    </w:p>
    <w:p>
      <w:pPr>
        <w:numPr>
          <w:ilvl w:val="0"/>
          <w:numId w:val="1001"/>
        </w:numPr>
        <w:pStyle w:val="Compact"/>
      </w:pPr>
      <w:r>
        <w:t xml:space="preserve">Landis JR, Koch GG. The measurement of observer agreement for categorical data. Biometrics 1977;33:159–74.</w:t>
      </w:r>
    </w:p>
    <w:p>
      <w:pPr>
        <w:numPr>
          <w:ilvl w:val="0"/>
          <w:numId w:val="1001"/>
        </w:numPr>
        <w:pStyle w:val="Compact"/>
      </w:pPr>
      <w:r>
        <w:t xml:space="preserve">Koo TK, Li MY. A guideline of selecting and reporting intraclass correlation coefficients for reliability research. J Chiropr Med 2016;15:155–63.</w:t>
      </w:r>
    </w:p>
    <w:p>
      <w:pPr>
        <w:numPr>
          <w:ilvl w:val="0"/>
          <w:numId w:val="1001"/>
        </w:numPr>
        <w:pStyle w:val="Compact"/>
      </w:pPr>
      <w:r>
        <w:t xml:space="preserve">Bland JM, Altman DG. Statistical methods for assessing agreement between two methods of clinical measurement. Lancet 1986;1:307–10.</w:t>
      </w:r>
    </w:p>
    <w:p>
      <w:pPr>
        <w:numPr>
          <w:ilvl w:val="0"/>
          <w:numId w:val="1001"/>
        </w:numPr>
        <w:pStyle w:val="Compact"/>
      </w:pPr>
      <w:r>
        <w:t xml:space="preserve">Benjamini Y, Hochberg Y. Controlling the false discovery rate: a practical and powerful approach to multiple testing. J R Stat Soc Series B 1995;57:289–300.</w:t>
      </w:r>
    </w:p>
    <w:p>
      <w:pPr>
        <w:numPr>
          <w:ilvl w:val="0"/>
          <w:numId w:val="1001"/>
        </w:numPr>
        <w:pStyle w:val="Compact"/>
      </w:pPr>
      <w:r>
        <w:t xml:space="preserve">Bossuyt PM, Reitsma JB, Bruns DE, Gatsonis CA, Glasziou PP, Irwig L, et al. STARD 2015: an updated list of essential items for reporting diagnostic accuracy studies. BMJ 2015;351:h5527.</w:t>
      </w:r>
    </w:p>
    <w:p>
      <w:pPr>
        <w:numPr>
          <w:ilvl w:val="0"/>
          <w:numId w:val="1001"/>
        </w:numPr>
        <w:pStyle w:val="Compact"/>
      </w:pPr>
      <w:r>
        <w:t xml:space="preserve">Collins GS, Reitsma JB, Altman DG, Moons KG. Transparent reporting of a multivariable prediction model for individual prognosis or diagnosis (TRIPOD). BMJ 2015;350:g7594.</w:t>
      </w:r>
    </w:p>
    <w:p>
      <w:pPr>
        <w:numPr>
          <w:ilvl w:val="0"/>
          <w:numId w:val="1001"/>
        </w:numPr>
        <w:pStyle w:val="Compact"/>
      </w:pPr>
      <w:r>
        <w:t xml:space="preserve">Wahlund LO, Barkhof F, Fazekas F, Bronge L, Augustin M, Sjögren M, et al. A new rating scale for age-related white matter changes applicable to MRI and CT. Stroke 2001;32:1318–22.</w:t>
      </w:r>
    </w:p>
    <w:p>
      <w:r>
        <w:pict>
          <v:rect style="width:0;height:1.5pt" o:hralign="center" o:hrstd="t" o:hr="t"/>
        </w:pict>
      </w:r>
    </w:p>
    <w:p>
      <w:pPr>
        <w:pStyle w:val="Heading2"/>
      </w:pPr>
      <w:bookmarkStart w:id="48" w:name="figure-legends-초안"/>
      <w:r>
        <w:t xml:space="preserve">Figure Legends (초안)</w:t>
      </w:r>
      <w:bookmarkEnd w:id="48"/>
    </w:p>
    <w:p>
      <w:pPr>
        <w:numPr>
          <w:ilvl w:val="0"/>
          <w:numId w:val="1002"/>
        </w:numPr>
        <w:pStyle w:val="Compact"/>
      </w:pPr>
      <w:r>
        <w:rPr>
          <w:b/>
        </w:rPr>
        <w:t xml:space="preserve">Figure 1.</w:t>
      </w:r>
      <w:r>
        <w:t xml:space="preserve"> </w:t>
      </w:r>
      <w:r>
        <w:t xml:space="preserve">e-CVRS 파이프라인 개요 및 대표 사례의 설명가능 오버레이. COM 정렬로 선택된 MTA 관상면 및 피질 축상면 위에 ROI 경계, CSF 마스크, 측정 CSF 비율, 부여 등급을 주석.</w:t>
      </w:r>
    </w:p>
    <w:p>
      <w:pPr>
        <w:numPr>
          <w:ilvl w:val="0"/>
          <w:numId w:val="1002"/>
        </w:numPr>
        <w:pStyle w:val="Compact"/>
      </w:pPr>
      <w:r>
        <w:rPr>
          <w:b/>
        </w:rPr>
        <w:t xml:space="preserve">Figure 2.</w:t>
      </w:r>
      <w:r>
        <w:t xml:space="preserve"> </w:t>
      </w:r>
      <w:r>
        <w:t xml:space="preserve">(A) 총합 위축점수의 Bland–Altman 플롯(수기−자동 편향 및 95% 일치한계). (B) 부위별 등급 혼동행렬로 오분류가 인접 등급에 국한되는지 시각화.</w:t>
      </w:r>
    </w:p>
    <w:p>
      <w:pPr>
        <w:numPr>
          <w:ilvl w:val="0"/>
          <w:numId w:val="1002"/>
        </w:numPr>
        <w:pStyle w:val="Compact"/>
      </w:pPr>
      <w:r>
        <w:rPr>
          <w:b/>
        </w:rPr>
        <w:t xml:space="preserve">Figure 3.</w:t>
      </w:r>
      <w:r>
        <w:t xml:space="preserve"> </w:t>
      </w:r>
      <w:r>
        <w:t xml:space="preserve">등급별 대표 사례 갤러리(부위×등급) — 판독 근거 오버레이 예시로, 교육·판독 보조 활용을 예시.</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2026-07-06T02:45:57Z</dcterms:created>
  <dcterms:modified xsi:type="dcterms:W3CDTF">2026-07-06T02:45:57Z</dcterms:modified>
</cp:coreProperties>
</file>

<file path=docProps/custom.xml><?xml version="1.0" encoding="utf-8"?>
<Properties xmlns="http://schemas.openxmlformats.org/officeDocument/2006/custom-properties" xmlns:vt="http://schemas.openxmlformats.org/officeDocument/2006/docPropsVTypes"/>
</file>