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144E3E"/>
          <w:sz w:val="60"/>
        </w:rPr>
        <w:t>pSI Localization Atlas</w:t>
      </w:r>
    </w:p>
    <w:p>
      <w:pPr>
        <w:jc w:val="center"/>
      </w:pPr>
      <w:r>
        <w:rPr>
          <w:rFonts w:ascii="Aptos Display" w:hAnsi="Aptos Display"/>
          <w:b/>
          <w:color w:val="1A2723"/>
          <w:sz w:val="34"/>
        </w:rPr>
        <w:t>Rebuild Specification and Reusable Prompts</w:t>
      </w:r>
    </w:p>
    <w:p>
      <w:pPr>
        <w:pStyle w:val="SubtitleCustom"/>
        <w:jc w:val="center"/>
      </w:pPr>
      <w:r>
        <w:t>Current scientific requirements, page structure, asset rules, writing standards, and validation checks.</w:t>
      </w:r>
    </w:p>
    <w:tbl>
      <w:tblPr>
        <w:tblW w:type="auto" w:w="0"/>
        <w:jc w:val="center"/>
        <w:tblLook w:firstColumn="1" w:firstRow="1" w:lastColumn="0" w:lastRow="0" w:noHBand="0" w:noVBand="1" w:val="04A0"/>
      </w:tblPr>
      <w:tblGrid>
        <w:gridCol w:w="10080"/>
      </w:tblGrid>
      <w:tr>
        <w:tc>
          <w:tcPr>
            <w:tcW w:type="dxa" w:w="7488"/>
            <w:shd w:fill="00B4C8"/>
          </w:tcPr>
          <w:p>
            <w:pPr>
              <w:spacing w:after="0"/>
            </w:pPr>
            <w:r>
              <w:t xml:space="preserve"> </w:t>
            </w:r>
          </w:p>
        </w:tc>
      </w:tr>
    </w:tbl>
    <w:p>
      <w:pPr>
        <w:spacing w:after="240"/>
      </w:pP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3F0"/>
            <w:tcBorders>
              <w:top w:val="single" w:sz="4" w:color="C9D8D2"/>
              <w:left w:val="single" w:sz="4" w:color="C9D8D2"/>
              <w:bottom w:val="single" w:sz="4" w:color="C9D8D2"/>
              <w:right w:val="single" w:sz="4" w:color="C9D8D2"/>
            </w:tcBorders>
          </w:tcPr>
          <w:p>
            <w:r>
              <w:rPr>
                <w:b/>
                <w:color w:val="144E3E"/>
              </w:rPr>
              <w:t>Primary use</w:t>
            </w:r>
          </w:p>
        </w:tc>
        <w:tc>
          <w:tcPr>
            <w:tcW w:type="dxa" w:w="5040"/>
            <w:vAlign w:val="center"/>
            <w:tcBorders>
              <w:top w:val="single" w:sz="4" w:color="C9D8D2"/>
              <w:left w:val="single" w:sz="4" w:color="C9D8D2"/>
              <w:bottom w:val="single" w:sz="4" w:color="C9D8D2"/>
              <w:right w:val="single" w:sz="4" w:color="C9D8D2"/>
            </w:tcBorders>
          </w:tcPr>
          <w:p>
            <w:r>
              <w:t>Rebuild or extend the public pSI localization website</w:t>
            </w:r>
          </w:p>
        </w:tc>
      </w:tr>
      <w:tr>
        <w:tc>
          <w:tcPr>
            <w:tcW w:type="dxa" w:w="5040"/>
            <w:vAlign w:val="center"/>
            <w:shd w:fill="EAF3F0"/>
            <w:tcBorders>
              <w:top w:val="single" w:sz="4" w:color="C9D8D2"/>
              <w:left w:val="single" w:sz="4" w:color="C9D8D2"/>
              <w:bottom w:val="single" w:sz="4" w:color="C9D8D2"/>
              <w:right w:val="single" w:sz="4" w:color="C9D8D2"/>
            </w:tcBorders>
          </w:tcPr>
          <w:p>
            <w:r>
              <w:rPr>
                <w:b/>
                <w:color w:val="144E3E"/>
              </w:rPr>
              <w:t>Scientific framework</w:t>
            </w:r>
          </w:p>
        </w:tc>
        <w:tc>
          <w:tcPr>
            <w:tcW w:type="dxa" w:w="5040"/>
            <w:vAlign w:val="center"/>
            <w:tcBorders>
              <w:top w:val="single" w:sz="4" w:color="C9D8D2"/>
              <w:left w:val="single" w:sz="4" w:color="C9D8D2"/>
              <w:bottom w:val="single" w:sz="4" w:color="C9D8D2"/>
              <w:right w:val="single" w:sz="4" w:color="C9D8D2"/>
            </w:tcBorders>
          </w:tcPr>
          <w:p>
            <w:r>
              <w:t>Franklin-Paxinos surgical references plus real Allen Mouse CCFv3 data</w:t>
            </w:r>
          </w:p>
        </w:tc>
      </w:tr>
      <w:tr>
        <w:tc>
          <w:tcPr>
            <w:tcW w:type="dxa" w:w="5040"/>
            <w:vAlign w:val="center"/>
            <w:shd w:fill="EAF3F0"/>
            <w:tcBorders>
              <w:top w:val="single" w:sz="4" w:color="C9D8D2"/>
              <w:left w:val="single" w:sz="4" w:color="C9D8D2"/>
              <w:bottom w:val="single" w:sz="4" w:color="C9D8D2"/>
              <w:right w:val="single" w:sz="4" w:color="C9D8D2"/>
            </w:tcBorders>
          </w:tcPr>
          <w:p>
            <w:r>
              <w:rPr>
                <w:b/>
                <w:color w:val="144E3E"/>
              </w:rPr>
              <w:t>Public repository</w:t>
            </w:r>
          </w:p>
        </w:tc>
        <w:tc>
          <w:tcPr>
            <w:tcW w:type="dxa" w:w="5040"/>
            <w:vAlign w:val="center"/>
            <w:tcBorders>
              <w:top w:val="single" w:sz="4" w:color="C9D8D2"/>
              <w:left w:val="single" w:sz="4" w:color="C9D8D2"/>
              <w:bottom w:val="single" w:sz="4" w:color="C9D8D2"/>
              <w:right w:val="single" w:sz="4" w:color="C9D8D2"/>
            </w:tcBorders>
          </w:tcPr>
          <w:p>
            <w:r>
              <w:t>neugun/pSI-atlas</w:t>
            </w:r>
          </w:p>
        </w:tc>
      </w:tr>
      <w:tr>
        <w:tc>
          <w:tcPr>
            <w:tcW w:type="dxa" w:w="5040"/>
            <w:vAlign w:val="center"/>
            <w:shd w:fill="EAF3F0"/>
            <w:tcBorders>
              <w:top w:val="single" w:sz="4" w:color="C9D8D2"/>
              <w:left w:val="single" w:sz="4" w:color="C9D8D2"/>
              <w:bottom w:val="single" w:sz="4" w:color="C9D8D2"/>
              <w:right w:val="single" w:sz="4" w:color="C9D8D2"/>
            </w:tcBorders>
          </w:tcPr>
          <w:p>
            <w:r>
              <w:rPr>
                <w:b/>
                <w:color w:val="144E3E"/>
              </w:rPr>
              <w:t>Public site</w:t>
            </w:r>
          </w:p>
        </w:tc>
        <w:tc>
          <w:tcPr>
            <w:tcW w:type="dxa" w:w="5040"/>
            <w:vAlign w:val="center"/>
            <w:tcBorders>
              <w:top w:val="single" w:sz="4" w:color="C9D8D2"/>
              <w:left w:val="single" w:sz="4" w:color="C9D8D2"/>
              <w:bottom w:val="single" w:sz="4" w:color="C9D8D2"/>
              <w:right w:val="single" w:sz="4" w:color="C9D8D2"/>
            </w:tcBorders>
          </w:tcPr>
          <w:p>
            <w:r>
              <w:t>https://neugun.github.io/pSI-atlas/</w:t>
            </w:r>
          </w:p>
        </w:tc>
      </w:tr>
    </w:tbl>
    <w:p>
      <w:r>
        <w:br w:type="page"/>
      </w:r>
    </w:p>
    <w:p>
      <w:pPr>
        <w:pStyle w:val="Heading1"/>
      </w:pPr>
      <w:r>
        <w:t>1. Purpose and Scope</w:t>
      </w:r>
    </w:p>
    <w:p>
      <w:r>
        <w:rPr>
          <w:b/>
        </w:rPr>
        <w:t xml:space="preserve">Purpose. </w:t>
      </w:r>
      <w:r>
        <w:t>Provide a public, technically accurate reference for locating the mouse posterior substantia innominata (pSI), checking experimental placements, and reviewing the principal anatomical and circuit evidence.</w:t>
      </w:r>
    </w:p>
    <w:p>
      <w:pPr>
        <w:pStyle w:val="ListBullet"/>
        <w:spacing w:after="30"/>
      </w:pPr>
      <w:r>
        <w:t>Support viral injection, fiber, electrode, cannula, and single-cell calcium-imaging targeting.</w:t>
      </w:r>
    </w:p>
    <w:p>
      <w:pPr>
        <w:pStyle w:val="ListBullet"/>
        <w:spacing w:after="30"/>
      </w:pPr>
      <w:r>
        <w:t>Separate stereotaxic surgical coordinates from Allen Mouse CCFv3 anatomy and voxel coordinates.</w:t>
      </w:r>
    </w:p>
    <w:p>
      <w:pPr>
        <w:pStyle w:val="ListBullet"/>
        <w:spacing w:after="30"/>
      </w:pPr>
      <w:r>
        <w:t>Use real histology and published circuit figures rather than generic diagrams.</w:t>
      </w:r>
    </w:p>
    <w:p>
      <w:pPr>
        <w:pStyle w:val="ListBullet"/>
        <w:spacing w:after="30"/>
      </w:pPr>
      <w:r>
        <w:t>Remain concise enough for routine laboratory use.</w:t>
      </w:r>
    </w:p>
    <w:p>
      <w:r>
        <w:rPr>
          <w:b/>
        </w:rPr>
        <w:t xml:space="preserve">Required definition. </w:t>
      </w:r>
      <w:r>
        <w:t>pSI is the posterior part of the atlas-defined substantia innominata corresponding to the region targeted and validated in the experiments.</w:t>
      </w:r>
    </w:p>
    <w:p>
      <w:pPr>
        <w:pStyle w:val="SmallNote"/>
      </w:pPr>
      <w:r>
        <w:t>Do not describe pSI as a separate Allen ontology parcel.</w:t>
      </w:r>
    </w:p>
    <w:p>
      <w:pPr>
        <w:pStyle w:val="Heading1"/>
      </w:pPr>
      <w:r>
        <w:t>2. Scientific Requirements</w:t>
      </w:r>
    </w:p>
    <w:p>
      <w:pPr>
        <w:pStyle w:val="Heading2"/>
      </w:pPr>
      <w:r>
        <w:t>2.1 Coordinate systems</w:t>
      </w:r>
    </w:p>
    <w:p>
      <w:pPr>
        <w:pStyle w:val="ListBullet"/>
        <w:spacing w:after="30"/>
      </w:pPr>
      <w:r>
        <w:t>Franklin-Paxinos surgical reference: AP -0.90 mm, ML +/-2.2 to 2.3 mm, DV -4.50 mm.</w:t>
      </w:r>
    </w:p>
    <w:p>
      <w:pPr>
        <w:pStyle w:val="ListBullet"/>
        <w:spacing w:after="30"/>
      </w:pPr>
      <w:r>
        <w:t>Approximate paper-defined pSI A-P extent: bregma -0.7 to -1.6 mm.</w:t>
      </w:r>
    </w:p>
    <w:p>
      <w:pPr>
        <w:pStyle w:val="ListBullet"/>
        <w:spacing w:after="30"/>
      </w:pPr>
      <w:r>
        <w:t>The interactive viewer must use real Allen Mouse CCFv3 histology and annotation data.</w:t>
      </w:r>
    </w:p>
    <w:p>
      <w:pPr>
        <w:pStyle w:val="ListBullet"/>
        <w:spacing w:after="30"/>
      </w:pPr>
      <w:r>
        <w:t>Viewer AP/ML/DV values may be bregma-referenced display coordinates, but they must be converted to the real 50-um CCFv3 voxel grid.</w:t>
      </w:r>
    </w:p>
    <w:p>
      <w:pPr>
        <w:pStyle w:val="ListBullet"/>
        <w:spacing w:after="30"/>
      </w:pPr>
      <w:r>
        <w:t>The published Franklin-Paxinos coordinates must never be presented as native Allen coordinates.</w:t>
      </w:r>
    </w:p>
    <w:p>
      <w:pPr>
        <w:pStyle w:val="ListBullet"/>
        <w:spacing w:after="30"/>
      </w:pPr>
      <w:r>
        <w:t>Structure name, acronym, ontology ID, hierarchy, and nearby regions must come from the original Allen annotation at the crosshair.</w:t>
      </w:r>
    </w:p>
    <w:p>
      <w:pPr>
        <w:pStyle w:val="ListBullet"/>
        <w:spacing w:after="30"/>
      </w:pPr>
      <w:r>
        <w:t>A 'Center on Allen SI' action may move the crosshair to the annotated SI region at the selected coronal level.</w:t>
      </w:r>
    </w:p>
    <w:p>
      <w:pPr>
        <w:pStyle w:val="ListBullet"/>
        <w:spacing w:after="30"/>
      </w:pPr>
      <w:r>
        <w:t>Shareable URLs should preserve the current view, for example: ?ap=-0.90&amp;ml=2.30&amp;dv=-4.50&amp;side=right.</w:t>
      </w:r>
    </w:p>
    <w:p>
      <w:pPr>
        <w:pStyle w:val="Heading2"/>
      </w:pPr>
      <w:r>
        <w:t>2.2 Anatomical landmarks</w:t>
      </w:r>
    </w:p>
    <w:p>
      <w:pPr>
        <w:pStyle w:val="ListBullet"/>
        <w:spacing w:after="30"/>
      </w:pPr>
      <w:r>
        <w:t>pSI lies ventral to the caudal GP/internal-capsule field.</w:t>
      </w:r>
    </w:p>
    <w:p>
      <w:pPr>
        <w:pStyle w:val="ListBullet"/>
        <w:spacing w:after="30"/>
      </w:pPr>
      <w:r>
        <w:t>pSI lies lateral to the lateral hypothalamus.</w:t>
      </w:r>
    </w:p>
    <w:p>
      <w:pPr>
        <w:pStyle w:val="ListBullet"/>
        <w:spacing w:after="30"/>
      </w:pPr>
      <w:r>
        <w:t>pSI lies dorsal and relatively lateral to the optic tract.</w:t>
      </w:r>
    </w:p>
    <w:p>
      <w:pPr>
        <w:pStyle w:val="ListBullet"/>
        <w:spacing w:after="30"/>
      </w:pPr>
      <w:r>
        <w:t>pSI lies dorsal to the medial amygdala and dorsomedial to CeA/CeM.</w:t>
      </w:r>
    </w:p>
    <w:p>
      <w:pPr>
        <w:pStyle w:val="ListBullet"/>
        <w:spacing w:after="30"/>
      </w:pPr>
      <w:r>
        <w:t>The caudal GP/internal-capsule field is relatively cell-sparse, with larger and more widely separated cells.</w:t>
      </w:r>
    </w:p>
    <w:p>
      <w:pPr>
        <w:pStyle w:val="ListBullet"/>
        <w:spacing w:after="30"/>
      </w:pPr>
      <w:r>
        <w:t>At relevant posterior levels, the dorsal tip of the optic tract often reaches approximately the level of the pSI center.</w:t>
      </w:r>
    </w:p>
    <w:p>
      <w:pPr>
        <w:pStyle w:val="ListBullet"/>
        <w:spacing w:after="30"/>
      </w:pPr>
      <w:r>
        <w:t>Localization should use AP level plus the combined surrounding anatomy, not a single coordinate or border.</w:t>
      </w:r>
    </w:p>
    <w:p>
      <w:pPr>
        <w:pStyle w:val="ListBullet"/>
        <w:spacing w:after="30"/>
      </w:pPr>
      <w:r>
        <w:t>Recommended confirmation methods: bright transmitted light, DAPI, Nissl, tracing, and post hoc placement reconstruction.</w:t>
      </w:r>
    </w:p>
    <w:p>
      <w:pPr>
        <w:pStyle w:val="Heading2"/>
      </w:pPr>
      <w:r>
        <w:t>2.3 Projection-defined evidence</w:t>
      </w:r>
    </w:p>
    <w:p>
      <w:pPr>
        <w:pStyle w:val="ListBullet"/>
        <w:spacing w:after="30"/>
      </w:pPr>
      <w:r>
        <w:t>Retrograde labeling from lateral/ventrolateral PAG should be described as concentrated in pSI and sparse in GP, MeA, and optic-tract white matter.</w:t>
      </w:r>
    </w:p>
    <w:p>
      <w:pPr>
        <w:pStyle w:val="ListBullet"/>
        <w:spacing w:after="30"/>
      </w:pPr>
      <w:r>
        <w:t>The strongest pSI-PAG labeling is commonly evident near AP -1.0 to -1.1 mm, but this does not restrict the full pSI territory to that narrow interval.</w:t>
      </w:r>
    </w:p>
    <w:p>
      <w:pPr>
        <w:pStyle w:val="ListBullet"/>
        <w:spacing w:after="30"/>
      </w:pPr>
      <w:r>
        <w:t>PAG targeting in the 2021 study: AP -4.70 mm, ML +/-0.80 mm, DV -2.80 mm.</w:t>
      </w:r>
    </w:p>
    <w:p>
      <w:pPr>
        <w:pStyle w:val="ListBullet"/>
        <w:spacing w:after="30"/>
      </w:pPr>
      <w:r>
        <w:t>PAG targeting in the 2024 study: AP -4.70 mm, ML +/-0.70 mm, DV -2.80 mm.</w:t>
      </w:r>
    </w:p>
    <w:p>
      <w:pPr>
        <w:pStyle w:val="ListBullet"/>
        <w:spacing w:after="30"/>
      </w:pPr>
      <w:r>
        <w:t>Use one injection site per side, not multiple A-P levels.</w:t>
      </w:r>
    </w:p>
    <w:p>
      <w:pPr>
        <w:pStyle w:val="ListBullet"/>
        <w:spacing w:after="30"/>
      </w:pPr>
      <w:r>
        <w:t>Typical retrograde-virus volume was approximately 60 nL per side; experiment-specific exceptions should be described only when relevant.</w:t>
      </w:r>
    </w:p>
    <w:p>
      <w:pPr>
        <w:pStyle w:val="Heading2"/>
      </w:pPr>
      <w:r>
        <w:t>2.4 Molecular information</w:t>
      </w:r>
    </w:p>
    <w:p>
      <w:pPr>
        <w:pStyle w:val="ListBullet"/>
        <w:spacing w:after="30"/>
      </w:pPr>
      <w:r>
        <w:t>Do not claim that a single gene uniquely defines all pSI neurons.</w:t>
      </w:r>
    </w:p>
    <w:p>
      <w:pPr>
        <w:pStyle w:val="ListBullet"/>
        <w:spacing w:after="30"/>
      </w:pPr>
      <w:r>
        <w:t>2021 data: approximately 81% of aggression-induced c-Fos-positive pSI neurons were Thy1-positive and approximately 77% were CaMKIIalpha-positive.</w:t>
      </w:r>
    </w:p>
    <w:p>
      <w:pPr>
        <w:pStyle w:val="ListBullet"/>
        <w:spacing w:after="30"/>
      </w:pPr>
      <w:r>
        <w:t>Among PAG-projecting pSI neurons, approximately 87% were Thy1-positive and approximately 77% were CaMKIIalpha-positive.</w:t>
      </w:r>
    </w:p>
    <w:p>
      <w:pPr>
        <w:pStyle w:val="ListBullet"/>
        <w:spacing w:after="30"/>
      </w:pPr>
      <w:r>
        <w:t>ChAT can help identify the broader SI histological field but is not a marker for the complete functional pSI population.</w:t>
      </w:r>
    </w:p>
    <w:p>
      <w:pPr>
        <w:pStyle w:val="ListBullet"/>
        <w:spacing w:after="30"/>
      </w:pPr>
      <w:r>
        <w:t>HCN1 is functionally important in GABAergic pSI neurons but is not sufficiently region-specific to define pSI anatomically.</w:t>
      </w:r>
    </w:p>
    <w:p>
      <w:pPr>
        <w:pStyle w:val="ListBullet"/>
        <w:spacing w:after="30"/>
      </w:pPr>
      <w:r>
        <w:t>Single-cell RNA sequencing shows molecular heterogeneity in pSI.</w:t>
      </w:r>
    </w:p>
    <w:p>
      <w:pPr>
        <w:pStyle w:val="ListBullet"/>
        <w:spacing w:after="30"/>
      </w:pPr>
      <w:r>
        <w:t>Spatial transcriptomics is ongoing to identify a more selective marker or marker combination and to distinguish molecularly defined pSI subpopulations.</w:t>
      </w:r>
    </w:p>
    <w:p>
      <w:pPr>
        <w:pStyle w:val="Heading2"/>
      </w:pPr>
      <w:r>
        <w:t>2.5 Related nomenclature and cell numbers</w:t>
      </w:r>
    </w:p>
    <w:p>
      <w:pPr>
        <w:pStyle w:val="ListBullet"/>
        <w:spacing w:after="30"/>
      </w:pPr>
      <w:r>
        <w:t>The AmgC/M territory in the vocalization study substantially overlaps with and largely corresponds to the same anatomical territory called pSI in the aggression studies.</w:t>
      </w:r>
    </w:p>
    <w:p>
      <w:pPr>
        <w:pStyle w:val="ListBullet"/>
        <w:spacing w:after="30"/>
      </w:pPr>
      <w:r>
        <w:t>The naming difference should be presented as nomenclature and experimental emphasis, not as two clearly separate regions.</w:t>
      </w:r>
    </w:p>
    <w:p>
      <w:pPr>
        <w:pStyle w:val="ListBullet"/>
        <w:spacing w:after="30"/>
      </w:pPr>
      <w:r>
        <w:t>No unbiased pSI-specific stereological cell count is currently available.</w:t>
      </w:r>
    </w:p>
    <w:p>
      <w:pPr>
        <w:pStyle w:val="ListBullet"/>
        <w:spacing w:after="30"/>
      </w:pPr>
      <w:r>
        <w:t>Blue Brain estimates for the complete SI may be listed only with an explicit statement that they are not pSI-specific.</w:t>
      </w:r>
    </w:p>
    <w:p>
      <w:r>
        <w:br w:type="page"/>
      </w:r>
    </w:p>
    <w:p>
      <w:pPr>
        <w:pStyle w:val="Heading1"/>
      </w:pPr>
      <w:r>
        <w:t>3. Required Website Structure</w:t>
      </w:r>
    </w:p>
    <w:p>
      <w:pPr>
        <w:pStyle w:val="Heading2"/>
      </w:pPr>
      <w:r>
        <w:t>Page 1 - Interactive Locator</w:t>
      </w:r>
    </w:p>
    <w:p>
      <w:pPr>
        <w:pStyle w:val="ListBullet"/>
        <w:spacing w:after="30"/>
      </w:pPr>
      <w:r>
        <w:t>Real Allen CCFv3 coronal and sagittal views.</w:t>
      </w:r>
    </w:p>
    <w:p>
      <w:pPr>
        <w:pStyle w:val="ListBullet"/>
        <w:spacing w:after="30"/>
      </w:pPr>
      <w:r>
        <w:t>AP, ML, DV controls and hemisphere selection.</w:t>
      </w:r>
    </w:p>
    <w:p>
      <w:pPr>
        <w:pStyle w:val="ListBullet"/>
        <w:spacing w:after="30"/>
      </w:pPr>
      <w:r>
        <w:t>Crosshair synchronized across views.</w:t>
      </w:r>
    </w:p>
    <w:p>
      <w:pPr>
        <w:pStyle w:val="ListBullet"/>
        <w:spacing w:after="30"/>
      </w:pPr>
      <w:r>
        <w:t>Exact Allen structure, acronym, structure ID, hierarchy, and nearby regions.</w:t>
      </w:r>
    </w:p>
    <w:p>
      <w:pPr>
        <w:pStyle w:val="ListBullet"/>
        <w:spacing w:after="30"/>
      </w:pPr>
      <w:r>
        <w:t>One cyan posterior-SI contour derived from the real Allen SI mask.</w:t>
      </w:r>
    </w:p>
    <w:p>
      <w:pPr>
        <w:pStyle w:val="ListBullet"/>
        <w:spacing w:after="30"/>
      </w:pPr>
      <w:r>
        <w:t>Use a contour thickness approximately twice the original thin line; do not use a second expanded contour.</w:t>
      </w:r>
    </w:p>
    <w:p>
      <w:pPr>
        <w:pStyle w:val="ListBullet"/>
        <w:spacing w:after="30"/>
      </w:pPr>
      <w:r>
        <w:t>The cyan fill may remain lightly transparent, but the structure lookup must use the unmodified Allen annotation.</w:t>
      </w:r>
    </w:p>
    <w:p>
      <w:pPr>
        <w:pStyle w:val="ListBullet"/>
        <w:spacing w:after="30"/>
      </w:pPr>
      <w:r>
        <w:t>Display the Franklin-Paxinos surgical reference separately from the Allen viewer coordinates.</w:t>
      </w:r>
    </w:p>
    <w:p>
      <w:pPr>
        <w:pStyle w:val="ListBullet"/>
        <w:spacing w:after="30"/>
      </w:pPr>
      <w:r>
        <w:t>Provide a copyable shareable URL.</w:t>
      </w:r>
    </w:p>
    <w:p>
      <w:pPr>
        <w:pStyle w:val="Heading2"/>
      </w:pPr>
      <w:r>
        <w:t>Page 2 - How to Identify pSI</w:t>
      </w:r>
    </w:p>
    <w:p>
      <w:pPr>
        <w:pStyle w:val="ListNumber"/>
        <w:spacing w:after="30"/>
      </w:pPr>
      <w:r>
        <w:t>Confirm the relevant posterior AP level.</w:t>
      </w:r>
    </w:p>
    <w:p>
      <w:pPr>
        <w:pStyle w:val="ListNumber"/>
        <w:spacing w:after="30"/>
      </w:pPr>
      <w:r>
        <w:t>Identify the caudal GP/internal-capsule field.</w:t>
      </w:r>
    </w:p>
    <w:p>
      <w:pPr>
        <w:pStyle w:val="ListNumber"/>
        <w:spacing w:after="30"/>
      </w:pPr>
      <w:r>
        <w:t>Identify the optic tract and confirm that the target is dorsal and relatively lateral to it.</w:t>
      </w:r>
    </w:p>
    <w:p>
      <w:pPr>
        <w:pStyle w:val="ListNumber"/>
        <w:spacing w:after="30"/>
      </w:pPr>
      <w:r>
        <w:t>Check the relationship to LH, MeA, and CeA/CeM.</w:t>
      </w:r>
    </w:p>
    <w:p>
      <w:pPr>
        <w:pStyle w:val="ListNumber"/>
        <w:spacing w:after="30"/>
      </w:pPr>
      <w:r>
        <w:t>Use transmitted light, DAPI, or Nissl to judge tissue and cell-density boundaries.</w:t>
      </w:r>
    </w:p>
    <w:p>
      <w:pPr>
        <w:pStyle w:val="ListNumber"/>
        <w:spacing w:after="30"/>
      </w:pPr>
      <w:r>
        <w:t>Use PAG retrograde labeling or VMHvl terminal fields as supporting evidence.</w:t>
      </w:r>
    </w:p>
    <w:p>
      <w:pPr>
        <w:pStyle w:val="ListNumber"/>
        <w:spacing w:after="30"/>
      </w:pPr>
      <w:r>
        <w:t>Confirm the final viral, fiber, electrode, or cannula placement post hoc.</w:t>
      </w:r>
    </w:p>
    <w:p>
      <w:r>
        <w:rPr>
          <w:b/>
        </w:rPr>
        <w:t xml:space="preserve">Molecular context. </w:t>
      </w:r>
      <w:r>
        <w:t>Include Thy1, CaMKIIalpha, ChAT, HCN1, single-cell RNA sequencing, and ongoing spatial transcriptomics without presenting any one marker as pSI-specific.</w:t>
      </w:r>
    </w:p>
    <w:p>
      <w:pPr>
        <w:pStyle w:val="Heading2"/>
      </w:pPr>
      <w:r>
        <w:t>Page 3 - Anatomy and Circuit Evidence</w:t>
      </w:r>
    </w:p>
    <w:p>
      <w:r>
        <w:rPr>
          <w:b/>
        </w:rPr>
        <w:t>Section A - Localization and targeting</w:t>
      </w:r>
    </w:p>
    <w:p>
      <w:pPr>
        <w:pStyle w:val="ListBullet2"/>
        <w:spacing w:after="30"/>
      </w:pPr>
      <w:r>
        <w:t>PAG-retrograde serial whole-section series.</w:t>
      </w:r>
    </w:p>
    <w:p>
      <w:pPr>
        <w:pStyle w:val="ListBullet2"/>
        <w:spacing w:after="30"/>
      </w:pPr>
      <w:r>
        <w:t>High-resolution PAG-retrogradely labeled cells in pSI.</w:t>
      </w:r>
    </w:p>
    <w:p>
      <w:pPr>
        <w:pStyle w:val="ListBullet2"/>
        <w:spacing w:after="30"/>
      </w:pPr>
      <w:r>
        <w:t>pSI-PAG projection-targeting image.</w:t>
      </w:r>
    </w:p>
    <w:p>
      <w:pPr>
        <w:pStyle w:val="ListBullet2"/>
        <w:spacing w:after="30"/>
      </w:pPr>
      <w:r>
        <w:t>ChR2-positive VMHvl terminals in pSI.</w:t>
      </w:r>
    </w:p>
    <w:p>
      <w:pPr>
        <w:pStyle w:val="ListBullet2"/>
        <w:spacing w:after="30"/>
      </w:pPr>
      <w:r>
        <w:t>Human atlas sections labeled SI.</w:t>
      </w:r>
    </w:p>
    <w:p>
      <w:pPr>
        <w:pStyle w:val="ListBullet2"/>
        <w:spacing w:after="30"/>
      </w:pPr>
      <w:r>
        <w:t>SI localization video.</w:t>
      </w:r>
    </w:p>
    <w:p>
      <w:r>
        <w:rPr>
          <w:b/>
        </w:rPr>
        <w:t>Section B - Input anatomy</w:t>
      </w:r>
    </w:p>
    <w:p>
      <w:pPr>
        <w:pStyle w:val="ListBullet2"/>
        <w:spacing w:after="30"/>
      </w:pPr>
      <w:r>
        <w:t>2021 Figure S10 whole-brain input map.</w:t>
      </w:r>
    </w:p>
    <w:p>
      <w:pPr>
        <w:pStyle w:val="ListBullet2"/>
        <w:spacing w:after="30"/>
      </w:pPr>
      <w:r>
        <w:t>Use 2024 Figure 2C only when it directly supports the VMHvl input field.</w:t>
      </w:r>
    </w:p>
    <w:p>
      <w:r>
        <w:rPr>
          <w:b/>
        </w:rPr>
        <w:t>Section C - Circuit maps</w:t>
      </w:r>
    </w:p>
    <w:p>
      <w:pPr>
        <w:pStyle w:val="ListBullet2"/>
        <w:spacing w:after="30"/>
      </w:pPr>
      <w:r>
        <w:t>2021 Figure S8 downstream/output map.</w:t>
      </w:r>
    </w:p>
    <w:p>
      <w:pPr>
        <w:pStyle w:val="ListBullet2"/>
        <w:spacing w:after="30"/>
      </w:pPr>
      <w:r>
        <w:t>Relevant 2024 circuit panel, including Figure 4O.</w:t>
      </w:r>
    </w:p>
    <w:p>
      <w:r>
        <w:rPr>
          <w:b/>
        </w:rPr>
        <w:t xml:space="preserve">Do not display on Page 3: </w:t>
      </w:r>
      <w:r>
        <w:t>Figure S9; activity labeling in PAG-projecting pSI neurons; repeated Thy1/c-Fos labeling; post hoc viral placement; Allen mouse posterior-section cards; Franklin-Paxinos target card; Blue Brain SI card; or the complete Figure S1 atlas comparison.</w:t>
      </w:r>
    </w:p>
    <w:p>
      <w:pPr>
        <w:pStyle w:val="Heading2"/>
      </w:pPr>
      <w:r>
        <w:t>Page 4 - References and Resources</w:t>
      </w:r>
    </w:p>
    <w:p>
      <w:pPr>
        <w:pStyle w:val="ListBullet"/>
        <w:spacing w:after="30"/>
      </w:pPr>
      <w:r>
        <w:t>Allen Mouse Brain Atlas.</w:t>
      </w:r>
    </w:p>
    <w:p>
      <w:pPr>
        <w:pStyle w:val="ListBullet"/>
        <w:spacing w:after="30"/>
      </w:pPr>
      <w:r>
        <w:t>Franklin and Paxinos mouse brain atlas.</w:t>
      </w:r>
    </w:p>
    <w:p>
      <w:pPr>
        <w:pStyle w:val="ListBullet"/>
        <w:spacing w:after="30"/>
      </w:pPr>
      <w:r>
        <w:t>Blue Brain Cell Atlas, with whole-SI limitation stated.</w:t>
      </w:r>
    </w:p>
    <w:p>
      <w:pPr>
        <w:pStyle w:val="ListBullet"/>
        <w:spacing w:after="30"/>
      </w:pPr>
      <w:r>
        <w:t>2021 Neuron paper.</w:t>
      </w:r>
    </w:p>
    <w:p>
      <w:pPr>
        <w:pStyle w:val="ListBullet"/>
        <w:spacing w:after="30"/>
      </w:pPr>
      <w:r>
        <w:t>2024 Neuron paper.</w:t>
      </w:r>
    </w:p>
    <w:p>
      <w:pPr>
        <w:pStyle w:val="ListBullet"/>
        <w:spacing w:after="30"/>
      </w:pPr>
      <w:r>
        <w:t>HCN1 bioRxiv paper.</w:t>
      </w:r>
    </w:p>
    <w:p>
      <w:pPr>
        <w:pStyle w:val="ListBullet"/>
        <w:spacing w:after="30"/>
      </w:pPr>
      <w:r>
        <w:t>Michael et al. eLife paper on AmgC/M-PAG neurons.</w:t>
      </w:r>
    </w:p>
    <w:p>
      <w:pPr>
        <w:pStyle w:val="ListBullet"/>
        <w:spacing w:after="30"/>
      </w:pPr>
      <w:r>
        <w:t>Short explanation of the pSI/AmgC/M nomenclature overlap.</w:t>
      </w:r>
    </w:p>
    <w:p>
      <w:pPr>
        <w:pStyle w:val="Heading1"/>
      </w:pPr>
      <w:r>
        <w:t>4. Asset Inventory and Use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54E3E"/>
            <w:tcBorders>
              <w:top w:val="single" w:sz="4" w:color="C9D8D2"/>
              <w:left w:val="single" w:sz="4" w:color="C9D8D2"/>
              <w:bottom w:val="single" w:sz="4" w:color="C9D8D2"/>
              <w:right w:val="single" w:sz="4" w:color="C9D8D2"/>
            </w:tcBorders>
          </w:tcPr>
          <w:p>
            <w:r>
              <w:rPr>
                <w:b/>
                <w:color w:val="FFFFFF"/>
                <w:sz w:val="17"/>
              </w:rPr>
              <w:t>Asset</w:t>
            </w:r>
          </w:p>
        </w:tc>
        <w:tc>
          <w:tcPr>
            <w:tcW w:type="dxa" w:w="2520"/>
            <w:shd w:fill="154E3E"/>
            <w:tcBorders>
              <w:top w:val="single" w:sz="4" w:color="C9D8D2"/>
              <w:left w:val="single" w:sz="4" w:color="C9D8D2"/>
              <w:bottom w:val="single" w:sz="4" w:color="C9D8D2"/>
              <w:right w:val="single" w:sz="4" w:color="C9D8D2"/>
            </w:tcBorders>
          </w:tcPr>
          <w:p>
            <w:r>
              <w:rPr>
                <w:b/>
                <w:color w:val="FFFFFF"/>
                <w:sz w:val="17"/>
              </w:rPr>
              <w:t>Status</w:t>
            </w:r>
          </w:p>
        </w:tc>
        <w:tc>
          <w:tcPr>
            <w:tcW w:type="dxa" w:w="2520"/>
            <w:shd w:fill="154E3E"/>
            <w:tcBorders>
              <w:top w:val="single" w:sz="4" w:color="C9D8D2"/>
              <w:left w:val="single" w:sz="4" w:color="C9D8D2"/>
              <w:bottom w:val="single" w:sz="4" w:color="C9D8D2"/>
              <w:right w:val="single" w:sz="4" w:color="C9D8D2"/>
            </w:tcBorders>
          </w:tcPr>
          <w:p>
            <w:r>
              <w:rPr>
                <w:b/>
                <w:color w:val="FFFFFF"/>
                <w:sz w:val="17"/>
              </w:rPr>
              <w:t>Placement</w:t>
            </w:r>
          </w:p>
        </w:tc>
        <w:tc>
          <w:tcPr>
            <w:tcW w:type="dxa" w:w="2520"/>
            <w:shd w:fill="154E3E"/>
            <w:tcBorders>
              <w:top w:val="single" w:sz="4" w:color="C9D8D2"/>
              <w:left w:val="single" w:sz="4" w:color="C9D8D2"/>
              <w:bottom w:val="single" w:sz="4" w:color="C9D8D2"/>
              <w:right w:val="single" w:sz="4" w:color="C9D8D2"/>
            </w:tcBorders>
          </w:tcPr>
          <w:p>
            <w:r>
              <w:rPr>
                <w:b/>
                <w:color w:val="FFFFFF"/>
                <w:sz w:val="17"/>
              </w:rPr>
              <w:t>Implementation note</w:t>
            </w:r>
          </w:p>
        </w:tc>
      </w:tr>
      <w:tr>
        <w:tc>
          <w:tcPr>
            <w:tcW w:type="dxa" w:w="2520"/>
            <w:vAlign w:val="top"/>
            <w:tcBorders>
              <w:top w:val="single" w:sz="4" w:color="C9D8D2"/>
              <w:left w:val="single" w:sz="4" w:color="C9D8D2"/>
              <w:bottom w:val="single" w:sz="4" w:color="C9D8D2"/>
              <w:right w:val="single" w:sz="4" w:color="C9D8D2"/>
            </w:tcBorders>
          </w:tcPr>
          <w:p>
            <w:r>
              <w:rPr>
                <w:sz w:val="16"/>
              </w:rPr>
              <w:t>7# psi retroaav from vlpag x10 1.oib - Composite(1).tif</w:t>
            </w:r>
          </w:p>
        </w:tc>
        <w:tc>
          <w:tcPr>
            <w:tcW w:type="dxa" w:w="2520"/>
            <w:vAlign w:val="top"/>
            <w:shd w:fill="E8F9FB"/>
            <w:tcBorders>
              <w:top w:val="single" w:sz="4" w:color="C9D8D2"/>
              <w:left w:val="single" w:sz="4" w:color="C9D8D2"/>
              <w:bottom w:val="single" w:sz="4" w:color="C9D8D2"/>
              <w:right w:val="single" w:sz="4" w:color="C9D8D2"/>
            </w:tcBorders>
          </w:tcPr>
          <w:p>
            <w:r>
              <w:rPr>
                <w:sz w:val="16"/>
              </w:rPr>
              <w:t>Use</w:t>
            </w:r>
          </w:p>
        </w:tc>
        <w:tc>
          <w:tcPr>
            <w:tcW w:type="dxa" w:w="2520"/>
            <w:vAlign w:val="top"/>
            <w:tcBorders>
              <w:top w:val="single" w:sz="4" w:color="C9D8D2"/>
              <w:left w:val="single" w:sz="4" w:color="C9D8D2"/>
              <w:bottom w:val="single" w:sz="4" w:color="C9D8D2"/>
              <w:right w:val="single" w:sz="4" w:color="C9D8D2"/>
            </w:tcBorders>
          </w:tcPr>
          <w:p>
            <w:r>
              <w:rPr>
                <w:sz w:val="16"/>
              </w:rPr>
              <w:t>High-resolution PAG-retrogradely labeled pSI image</w:t>
            </w:r>
          </w:p>
        </w:tc>
        <w:tc>
          <w:tcPr>
            <w:tcW w:type="dxa" w:w="2520"/>
            <w:vAlign w:val="top"/>
            <w:tcBorders>
              <w:top w:val="single" w:sz="4" w:color="C9D8D2"/>
              <w:left w:val="single" w:sz="4" w:color="C9D8D2"/>
              <w:bottom w:val="single" w:sz="4" w:color="C9D8D2"/>
              <w:right w:val="single" w:sz="4" w:color="C9D8D2"/>
            </w:tcBorders>
          </w:tcPr>
          <w:p>
            <w:r>
              <w:rPr>
                <w:sz w:val="16"/>
              </w:rPr>
              <w:t>Retain original dimensions; provide click-to-open full resolution.</w:t>
            </w:r>
          </w:p>
        </w:tc>
      </w:tr>
      <w:tr>
        <w:tc>
          <w:tcPr>
            <w:tcW w:type="dxa" w:w="2520"/>
            <w:vAlign w:val="top"/>
            <w:tcBorders>
              <w:top w:val="single" w:sz="4" w:color="C9D8D2"/>
              <w:left w:val="single" w:sz="4" w:color="C9D8D2"/>
              <w:bottom w:val="single" w:sz="4" w:color="C9D8D2"/>
              <w:right w:val="single" w:sz="4" w:color="C9D8D2"/>
            </w:tcBorders>
          </w:tcPr>
          <w:p>
            <w:r>
              <w:rPr>
                <w:sz w:val="16"/>
              </w:rPr>
              <w:t>C1-SUM_thy1-cre si-dio eyfp C-Fos-DAgpCY3 1#_0513 5 10X(left)Composite.tif(1).tif</w:t>
            </w:r>
          </w:p>
        </w:tc>
        <w:tc>
          <w:tcPr>
            <w:tcW w:type="dxa" w:w="2520"/>
            <w:vAlign w:val="top"/>
            <w:shd w:fill="EAF3F0"/>
            <w:tcBorders>
              <w:top w:val="single" w:sz="4" w:color="C9D8D2"/>
              <w:left w:val="single" w:sz="4" w:color="C9D8D2"/>
              <w:bottom w:val="single" w:sz="4" w:color="C9D8D2"/>
              <w:right w:val="single" w:sz="4" w:color="C9D8D2"/>
            </w:tcBorders>
          </w:tcPr>
          <w:p>
            <w:r>
              <w:rPr>
                <w:sz w:val="16"/>
              </w:rPr>
              <w:t>Limited use</w:t>
            </w:r>
          </w:p>
        </w:tc>
        <w:tc>
          <w:tcPr>
            <w:tcW w:type="dxa" w:w="2520"/>
            <w:vAlign w:val="top"/>
            <w:tcBorders>
              <w:top w:val="single" w:sz="4" w:color="C9D8D2"/>
              <w:left w:val="single" w:sz="4" w:color="C9D8D2"/>
              <w:bottom w:val="single" w:sz="4" w:color="C9D8D2"/>
              <w:right w:val="single" w:sz="4" w:color="C9D8D2"/>
            </w:tcBorders>
          </w:tcPr>
          <w:p>
            <w:r>
              <w:rPr>
                <w:sz w:val="16"/>
              </w:rPr>
              <w:t>Page 2 molecular or histological context</w:t>
            </w:r>
          </w:p>
        </w:tc>
        <w:tc>
          <w:tcPr>
            <w:tcW w:type="dxa" w:w="2520"/>
            <w:vAlign w:val="top"/>
            <w:tcBorders>
              <w:top w:val="single" w:sz="4" w:color="C9D8D2"/>
              <w:left w:val="single" w:sz="4" w:color="C9D8D2"/>
              <w:bottom w:val="single" w:sz="4" w:color="C9D8D2"/>
              <w:right w:val="single" w:sz="4" w:color="C9D8D2"/>
            </w:tcBorders>
          </w:tcPr>
          <w:p>
            <w:r>
              <w:rPr>
                <w:sz w:val="16"/>
              </w:rPr>
              <w:t>Do not repeat on Page 3.</w:t>
            </w:r>
          </w:p>
        </w:tc>
      </w:tr>
      <w:tr>
        <w:tc>
          <w:tcPr>
            <w:tcW w:type="dxa" w:w="2520"/>
            <w:vAlign w:val="top"/>
            <w:tcBorders>
              <w:top w:val="single" w:sz="4" w:color="C9D8D2"/>
              <w:left w:val="single" w:sz="4" w:color="C9D8D2"/>
              <w:bottom w:val="single" w:sz="4" w:color="C9D8D2"/>
              <w:right w:val="single" w:sz="4" w:color="C9D8D2"/>
            </w:tcBorders>
          </w:tcPr>
          <w:p>
            <w:r>
              <w:rPr>
                <w:sz w:val="16"/>
              </w:rPr>
              <w:t>SUM_2# male retrocre pag psi control mcherry psi x10 1.oib - Composite.tif</w:t>
            </w:r>
          </w:p>
        </w:tc>
        <w:tc>
          <w:tcPr>
            <w:tcW w:type="dxa" w:w="2520"/>
            <w:vAlign w:val="top"/>
            <w:shd w:fill="E8F9FB"/>
            <w:tcBorders>
              <w:top w:val="single" w:sz="4" w:color="C9D8D2"/>
              <w:left w:val="single" w:sz="4" w:color="C9D8D2"/>
              <w:bottom w:val="single" w:sz="4" w:color="C9D8D2"/>
              <w:right w:val="single" w:sz="4" w:color="C9D8D2"/>
            </w:tcBorders>
          </w:tcPr>
          <w:p>
            <w:r>
              <w:rPr>
                <w:sz w:val="16"/>
              </w:rPr>
              <w:t>Use</w:t>
            </w:r>
          </w:p>
        </w:tc>
        <w:tc>
          <w:tcPr>
            <w:tcW w:type="dxa" w:w="2520"/>
            <w:vAlign w:val="top"/>
            <w:tcBorders>
              <w:top w:val="single" w:sz="4" w:color="C9D8D2"/>
              <w:left w:val="single" w:sz="4" w:color="C9D8D2"/>
              <w:bottom w:val="single" w:sz="4" w:color="C9D8D2"/>
              <w:right w:val="single" w:sz="4" w:color="C9D8D2"/>
            </w:tcBorders>
          </w:tcPr>
          <w:p>
            <w:r>
              <w:rPr>
                <w:sz w:val="16"/>
              </w:rPr>
              <w:t>pSI-PAG projection-targeting image</w:t>
            </w:r>
          </w:p>
        </w:tc>
        <w:tc>
          <w:tcPr>
            <w:tcW w:type="dxa" w:w="2520"/>
            <w:vAlign w:val="top"/>
            <w:tcBorders>
              <w:top w:val="single" w:sz="4" w:color="C9D8D2"/>
              <w:left w:val="single" w:sz="4" w:color="C9D8D2"/>
              <w:bottom w:val="single" w:sz="4" w:color="C9D8D2"/>
              <w:right w:val="single" w:sz="4" w:color="C9D8D2"/>
            </w:tcBorders>
          </w:tcPr>
          <w:p>
            <w:r>
              <w:rPr>
                <w:sz w:val="16"/>
              </w:rPr>
              <w:t>Title exactly: pSI-PAG projection-targeting image.</w:t>
            </w:r>
          </w:p>
        </w:tc>
      </w:tr>
      <w:tr>
        <w:tc>
          <w:tcPr>
            <w:tcW w:type="dxa" w:w="2520"/>
            <w:vAlign w:val="top"/>
            <w:tcBorders>
              <w:top w:val="single" w:sz="4" w:color="C9D8D2"/>
              <w:left w:val="single" w:sz="4" w:color="C9D8D2"/>
              <w:bottom w:val="single" w:sz="4" w:color="C9D8D2"/>
              <w:right w:val="single" w:sz="4" w:color="C9D8D2"/>
            </w:tcBorders>
          </w:tcPr>
          <w:p>
            <w:r>
              <w:rPr>
                <w:sz w:val="16"/>
              </w:rPr>
              <w:t>SUM_6# male cfos retrocre pag psi eyfp psi x10 2.oib - Composite.tif</w:t>
            </w:r>
          </w:p>
        </w:tc>
        <w:tc>
          <w:tcPr>
            <w:tcW w:type="dxa" w:w="2520"/>
            <w:vAlign w:val="top"/>
            <w:shd w:fill="EAF3F0"/>
            <w:tcBorders>
              <w:top w:val="single" w:sz="4" w:color="C9D8D2"/>
              <w:left w:val="single" w:sz="4" w:color="C9D8D2"/>
              <w:bottom w:val="single" w:sz="4" w:color="C9D8D2"/>
              <w:right w:val="single" w:sz="4" w:color="C9D8D2"/>
            </w:tcBorders>
          </w:tcPr>
          <w:p>
            <w:r>
              <w:rPr>
                <w:sz w:val="16"/>
              </w:rPr>
              <w:t>Exclude</w:t>
            </w:r>
          </w:p>
        </w:tc>
        <w:tc>
          <w:tcPr>
            <w:tcW w:type="dxa" w:w="2520"/>
            <w:vAlign w:val="top"/>
            <w:tcBorders>
              <w:top w:val="single" w:sz="4" w:color="C9D8D2"/>
              <w:left w:val="single" w:sz="4" w:color="C9D8D2"/>
              <w:bottom w:val="single" w:sz="4" w:color="C9D8D2"/>
              <w:right w:val="single" w:sz="4" w:color="C9D8D2"/>
            </w:tcBorders>
          </w:tcPr>
          <w:p>
            <w:r>
              <w:rPr>
                <w:sz w:val="16"/>
              </w:rPr>
              <w:t>None</w:t>
            </w:r>
          </w:p>
        </w:tc>
        <w:tc>
          <w:tcPr>
            <w:tcW w:type="dxa" w:w="2520"/>
            <w:vAlign w:val="top"/>
            <w:tcBorders>
              <w:top w:val="single" w:sz="4" w:color="C9D8D2"/>
              <w:left w:val="single" w:sz="4" w:color="C9D8D2"/>
              <w:bottom w:val="single" w:sz="4" w:color="C9D8D2"/>
              <w:right w:val="single" w:sz="4" w:color="C9D8D2"/>
            </w:tcBorders>
          </w:tcPr>
          <w:p>
            <w:r>
              <w:rPr>
                <w:sz w:val="16"/>
              </w:rPr>
              <w:t>Do not display in the current website.</w:t>
            </w:r>
          </w:p>
        </w:tc>
      </w:tr>
      <w:tr>
        <w:tc>
          <w:tcPr>
            <w:tcW w:type="dxa" w:w="2520"/>
            <w:vAlign w:val="top"/>
            <w:tcBorders>
              <w:top w:val="single" w:sz="4" w:color="C9D8D2"/>
              <w:left w:val="single" w:sz="4" w:color="C9D8D2"/>
              <w:bottom w:val="single" w:sz="4" w:color="C9D8D2"/>
              <w:right w:val="single" w:sz="4" w:color="C9D8D2"/>
            </w:tcBorders>
          </w:tcPr>
          <w:p>
            <w:r>
              <w:rPr>
                <w:sz w:val="16"/>
              </w:rPr>
              <w:t>pSI-PAG_V2.pdf</w:t>
            </w:r>
          </w:p>
        </w:tc>
        <w:tc>
          <w:tcPr>
            <w:tcW w:type="dxa" w:w="2520"/>
            <w:vAlign w:val="top"/>
            <w:shd w:fill="E8F9FB"/>
            <w:tcBorders>
              <w:top w:val="single" w:sz="4" w:color="C9D8D2"/>
              <w:left w:val="single" w:sz="4" w:color="C9D8D2"/>
              <w:bottom w:val="single" w:sz="4" w:color="C9D8D2"/>
              <w:right w:val="single" w:sz="4" w:color="C9D8D2"/>
            </w:tcBorders>
          </w:tcPr>
          <w:p>
            <w:r>
              <w:rPr>
                <w:sz w:val="16"/>
              </w:rPr>
              <w:t>Use</w:t>
            </w:r>
          </w:p>
        </w:tc>
        <w:tc>
          <w:tcPr>
            <w:tcW w:type="dxa" w:w="2520"/>
            <w:vAlign w:val="top"/>
            <w:tcBorders>
              <w:top w:val="single" w:sz="4" w:color="C9D8D2"/>
              <w:left w:val="single" w:sz="4" w:color="C9D8D2"/>
              <w:bottom w:val="single" w:sz="4" w:color="C9D8D2"/>
              <w:right w:val="single" w:sz="4" w:color="C9D8D2"/>
            </w:tcBorders>
          </w:tcPr>
          <w:p>
            <w:r>
              <w:rPr>
                <w:sz w:val="16"/>
              </w:rPr>
              <w:t>Eight-level PAG-retrograde serial-section series</w:t>
            </w:r>
          </w:p>
        </w:tc>
        <w:tc>
          <w:tcPr>
            <w:tcW w:type="dxa" w:w="2520"/>
            <w:vAlign w:val="top"/>
            <w:tcBorders>
              <w:top w:val="single" w:sz="4" w:color="C9D8D2"/>
              <w:left w:val="single" w:sz="4" w:color="C9D8D2"/>
              <w:bottom w:val="single" w:sz="4" w:color="C9D8D2"/>
              <w:right w:val="single" w:sz="4" w:color="C9D8D2"/>
            </w:tcBorders>
          </w:tcPr>
          <w:p>
            <w:r>
              <w:rPr>
                <w:sz w:val="16"/>
              </w:rPr>
              <w:t>Extract individual high-resolution images for -0.70, -0.82, -0.90, -1.06, -1.18, -1.24, -1.32, and -1.40 mm. Keep PDF download.</w:t>
            </w:r>
          </w:p>
        </w:tc>
      </w:tr>
      <w:tr>
        <w:tc>
          <w:tcPr>
            <w:tcW w:type="dxa" w:w="2520"/>
            <w:vAlign w:val="top"/>
            <w:tcBorders>
              <w:top w:val="single" w:sz="4" w:color="C9D8D2"/>
              <w:left w:val="single" w:sz="4" w:color="C9D8D2"/>
              <w:bottom w:val="single" w:sz="4" w:color="C9D8D2"/>
              <w:right w:val="single" w:sz="4" w:color="C9D8D2"/>
            </w:tcBorders>
          </w:tcPr>
          <w:p>
            <w:r>
              <w:rPr>
                <w:sz w:val="16"/>
              </w:rPr>
              <w:t>SI1.mp4</w:t>
            </w:r>
          </w:p>
        </w:tc>
        <w:tc>
          <w:tcPr>
            <w:tcW w:type="dxa" w:w="2520"/>
            <w:vAlign w:val="top"/>
            <w:shd w:fill="E8F9FB"/>
            <w:tcBorders>
              <w:top w:val="single" w:sz="4" w:color="C9D8D2"/>
              <w:left w:val="single" w:sz="4" w:color="C9D8D2"/>
              <w:bottom w:val="single" w:sz="4" w:color="C9D8D2"/>
              <w:right w:val="single" w:sz="4" w:color="C9D8D2"/>
            </w:tcBorders>
          </w:tcPr>
          <w:p>
            <w:r>
              <w:rPr>
                <w:sz w:val="16"/>
              </w:rPr>
              <w:t>Use</w:t>
            </w:r>
          </w:p>
        </w:tc>
        <w:tc>
          <w:tcPr>
            <w:tcW w:type="dxa" w:w="2520"/>
            <w:vAlign w:val="top"/>
            <w:tcBorders>
              <w:top w:val="single" w:sz="4" w:color="C9D8D2"/>
              <w:left w:val="single" w:sz="4" w:color="C9D8D2"/>
              <w:bottom w:val="single" w:sz="4" w:color="C9D8D2"/>
              <w:right w:val="single" w:sz="4" w:color="C9D8D2"/>
            </w:tcBorders>
          </w:tcPr>
          <w:p>
            <w:r>
              <w:rPr>
                <w:sz w:val="16"/>
              </w:rPr>
              <w:t>SI localization video</w:t>
            </w:r>
          </w:p>
        </w:tc>
        <w:tc>
          <w:tcPr>
            <w:tcW w:type="dxa" w:w="2520"/>
            <w:vAlign w:val="top"/>
            <w:tcBorders>
              <w:top w:val="single" w:sz="4" w:color="C9D8D2"/>
              <w:left w:val="single" w:sz="4" w:color="C9D8D2"/>
              <w:bottom w:val="single" w:sz="4" w:color="C9D8D2"/>
              <w:right w:val="single" w:sz="4" w:color="C9D8D2"/>
            </w:tcBorders>
          </w:tcPr>
          <w:p>
            <w:r>
              <w:rPr>
                <w:sz w:val="16"/>
              </w:rPr>
              <w:t>Encode as H.264, yuv420p, fast start; use controls, poster frame, and direct-open fallback.</w:t>
            </w:r>
          </w:p>
        </w:tc>
      </w:tr>
    </w:tbl>
    <w:p>
      <w:r>
        <w:br w:type="page"/>
      </w:r>
    </w:p>
    <w:p>
      <w:pPr>
        <w:pStyle w:val="Heading1"/>
      </w:pPr>
      <w:r>
        <w:t>5. Writing and Citation Rules</w:t>
      </w:r>
    </w:p>
    <w:p>
      <w:pPr>
        <w:pStyle w:val="Heading2"/>
      </w:pPr>
      <w:r>
        <w:t>5.1 Writing style</w:t>
      </w:r>
    </w:p>
    <w:p>
      <w:pPr>
        <w:pStyle w:val="ListBullet"/>
        <w:spacing w:after="30"/>
      </w:pPr>
      <w:r>
        <w:t>Use concise laboratory and methods language.</w:t>
      </w:r>
    </w:p>
    <w:p>
      <w:pPr>
        <w:pStyle w:val="ListBullet"/>
        <w:spacing w:after="30"/>
      </w:pPr>
      <w:r>
        <w:t>State what the image shows, where the target lies, and how the placement is judged.</w:t>
      </w:r>
    </w:p>
    <w:p>
      <w:pPr>
        <w:pStyle w:val="ListBullet"/>
        <w:spacing w:after="30"/>
      </w:pPr>
      <w:r>
        <w:t>Use short paragraphs and precise anatomical terms.</w:t>
      </w:r>
    </w:p>
    <w:p>
      <w:pPr>
        <w:pStyle w:val="ListBullet"/>
        <w:spacing w:after="30"/>
      </w:pPr>
      <w:r>
        <w:t>State limitations directly without promotional language.</w:t>
      </w:r>
    </w:p>
    <w:p>
      <w:pPr>
        <w:pStyle w:val="ListBullet"/>
        <w:spacing w:after="30"/>
      </w:pPr>
      <w:r>
        <w:t>Avoid repeated explanations across pages.</w:t>
      </w:r>
    </w:p>
    <w:p>
      <w:pPr>
        <w:pStyle w:val="Heading2"/>
      </w:pPr>
      <w:r>
        <w:t>5.2 Phrases to avoid</w:t>
      </w:r>
    </w:p>
    <w:p>
      <w:r>
        <w:t>evidence-guided; comprehensive resource; practical workflow; coordinate crosswalk; supplied by the authors; all panels are embedded; bundled inside the build; can be replaced later; cutting-edge; powerful tool; unique opportunity; provides a framework; reveals the complex landscape; enables unprecedented understanding.</w:t>
      </w:r>
    </w:p>
    <w:p>
      <w:pPr>
        <w:pStyle w:val="Heading2"/>
      </w:pPr>
      <w:r>
        <w:t>5.3 Preferred sentence patterns</w:t>
      </w:r>
    </w:p>
    <w:p>
      <w:pPr>
        <w:pStyle w:val="PromptBlock"/>
      </w:pPr>
      <w:r>
        <w:t>Retrogradely labeled cells are concentrated below the caudal GP/internal capsule and above MeA.</w:t>
      </w:r>
    </w:p>
    <w:p>
      <w:pPr>
        <w:pStyle w:val="PromptBlock"/>
      </w:pPr>
      <w:r>
        <w:t>The optic tract lies medial and ventral to the center of the pSI target.</w:t>
      </w:r>
    </w:p>
    <w:p>
      <w:pPr>
        <w:pStyle w:val="PromptBlock"/>
      </w:pPr>
      <w:r>
        <w:t>The cyan boundary marks the posterior Allen SI annotation at the current AP level.</w:t>
      </w:r>
    </w:p>
    <w:p>
      <w:pPr>
        <w:pStyle w:val="PromptBlock"/>
      </w:pPr>
      <w:r>
        <w:t>The figure shows eight coronal levels from bregma -0.70 to -1.40 mm.</w:t>
      </w:r>
    </w:p>
    <w:p>
      <w:pPr>
        <w:pStyle w:val="PromptBlock"/>
      </w:pPr>
      <w:r>
        <w:t>The published coordinates are Franklin-Paxinos surgical references; the viewer uses Allen Mouse CCFv3 anatomy.</w:t>
      </w:r>
    </w:p>
    <w:p>
      <w:pPr>
        <w:pStyle w:val="Heading2"/>
      </w:pPr>
      <w:r>
        <w:t>5.4 Citation format</w:t>
      </w:r>
    </w:p>
    <w:p>
      <w:pPr>
        <w:pStyle w:val="ListBullet"/>
        <w:spacing w:after="30"/>
      </w:pPr>
      <w:r>
        <w:t>2021: Zhu, Z., Ma, Q., Miao, L., Yang, H., et al.</w:t>
      </w:r>
    </w:p>
    <w:p>
      <w:pPr>
        <w:pStyle w:val="ListBullet"/>
        <w:spacing w:after="30"/>
      </w:pPr>
      <w:r>
        <w:t>2024: Zhu, Z., Miao, L., et al.</w:t>
      </w:r>
    </w:p>
    <w:p>
      <w:pPr>
        <w:pStyle w:val="ListBullet"/>
        <w:spacing w:after="30"/>
      </w:pPr>
      <w:r>
        <w:t>HCN1 preprint: Li, K., Zhu, Z., et al.</w:t>
      </w:r>
    </w:p>
    <w:p>
      <w:pPr>
        <w:pStyle w:val="ListBullet"/>
        <w:spacing w:after="30"/>
      </w:pPr>
      <w:r>
        <w:t>List leading authors in website citations; do not add a separate co-first-author statement.</w:t>
      </w:r>
    </w:p>
    <w:p>
      <w:pPr>
        <w:pStyle w:val="ListBullet"/>
        <w:spacing w:after="30"/>
      </w:pPr>
      <w:r>
        <w:t>Use Kaiyuan Li as the full name when a full author name is required.</w:t>
      </w:r>
    </w:p>
    <w:p>
      <w:pPr>
        <w:pStyle w:val="Heading1"/>
      </w:pPr>
      <w:r>
        <w:t>6. Master Rebuild Prompt</w:t>
      </w:r>
    </w:p>
    <w:tbl>
      <w:tblPr>
        <w:tblW w:type="auto" w:w="0"/>
        <w:jc w:val="center"/>
        <w:tblLayout w:type="autofit"/>
        <w:tblLook w:firstColumn="1" w:firstRow="1" w:lastColumn="0" w:lastRow="0" w:noHBand="0" w:noVBand="1" w:val="04A0"/>
      </w:tblPr>
      <w:tblGrid>
        <w:gridCol w:w="10080"/>
      </w:tblGrid>
      <w:tr>
        <w:tc>
          <w:tcPr>
            <w:tcW w:type="dxa" w:w="10080"/>
            <w:shd w:fill="154E3E"/>
            <w:tcBorders>
              <w:bottom w:val="single" w:sz="8" w:color="154E3E"/>
            </w:tcBorders>
          </w:tcPr>
          <w:p>
            <w:pPr>
              <w:spacing w:after="0"/>
            </w:pPr>
            <w:r>
              <w:rPr>
                <w:b/>
                <w:color w:val="FFFFFF"/>
                <w:sz w:val="20"/>
              </w:rPr>
              <w:t>MASTER PROMPT</w:t>
            </w:r>
          </w:p>
        </w:tc>
      </w:tr>
      <w:tr>
        <w:tc>
          <w:tcPr>
            <w:tcW w:type="dxa" w:w="10080"/>
            <w:shd w:fill="E8F9FB"/>
            <w:tcBorders>
              <w:top w:val="single" w:sz="6" w:color="C9D8D2"/>
              <w:left w:val="single" w:sz="6" w:color="C9D8D2"/>
              <w:bottom w:val="single" w:sz="6" w:color="C9D8D2"/>
              <w:right w:val="single" w:sz="6" w:color="C9D8D2"/>
            </w:tcBorders>
          </w:tcPr>
          <w:p>
            <w:pPr>
              <w:pStyle w:val="PromptBlock"/>
            </w:pPr>
            <w:r>
              <w:t>Rebuild the current pSI Localization Atlas as a public static website. The site must define pSI as the posterior part of the atlas-defined substantia innominata corresponding to the region targeted and validated experimentally; do not describe it as a separate Allen ontology parcel. Use real Allen Mouse CCFv3 histology and annotation for the interactive coronal and sagittal viewer. Preserve synchronized crosshairs, AP/ML/DV controls, hemisphere selection, exact Allen structure, acronym, structure ID, hierarchy, nearby regions, voxel coordinates, and shareable URLs. Keep the published Franklin-Paxinos surgical reference AP -0.90 mm, ML +/-2.2 to 2.3 mm, DV -4.50 mm clearly separate from the Allen viewer coordinates. Use one cyan contour derived from the true posterior Allen SI mask, with a line approximately twice the original thin width; do not add a second expanded contour or alter the Allen annotation used for structure lookup.</w:t>
              <w:br/>
              <w:br/>
              <w:t>Page 2 must explain tissue identification in direct laboratory language using caudal GP/internal capsule, lateral hypothalamus, optic tract, MeA, CeA/CeM, bright transmitted light, DAPI/Nissl, tracing, and post hoc placement. Include Thy1, CaMKIIalpha, ChAT, HCN1, single-cell RNA sequencing, and ongoing spatial transcriptomics, but do not present any one marker as pSI-specific.</w:t>
              <w:br/>
              <w:br/>
              <w:t>Organize Page 3 into Localization and targeting, Input anatomy, and Circuit maps. In Localization and targeting, show the PAG-retrograde serial section series, the high-resolution PAG-retrograde pSI image, the pSI-PAG projection-targeting image, ChR2-positive VMHvl terminals in pSI, human atlas sections labeled SI, and the SI localization video. In Input anatomy, show Figure S10 and use Figure 2C only when it directly supports the VMHvl input field. In Circuit maps, show Figure S8 and relevant 2024 circuit panels including Figure 4O. Do not show Figure S9, activity labeling in PAG-projecting pSI neurons, repeated Thy1/c-Fos labeling, post hoc viral placement, Allen posterior-section cards, the Franklin-Paxinos target card, the Blue Brain SI card, or the complete Figure S1 comparison.</w:t>
              <w:br/>
              <w:br/>
              <w:t>Use the provided high-resolution TIFF files, extract the eight serial sections from pSI-PAG_V2.pdf as separate high-resolution images, and encode SI1.mp4 as H.264 with yuv420p and fast-start metadata. Provide standard video controls, a clear poster frame, and a direct-open fallback. Use concise professional scientific language throughout. Remove promotional, template-like, and build-oriented wording. Produce a GitHub Pages production package, a self-contained standalone HTML, a standalone ZIP, and a complete editable source ZIP. Verify scientific wording, media paths, internal links, tests, type checking, production build, standalone build, desktop and mobile layouts, and ZIP integrity before delivery.</w:t>
            </w:r>
          </w:p>
        </w:tc>
      </w:tr>
    </w:tbl>
    <w:p>
      <w:pPr>
        <w:spacing w:after="0"/>
      </w:pPr>
    </w:p>
    <w:p>
      <w:pPr>
        <w:pStyle w:val="Heading1"/>
      </w:pPr>
      <w:r>
        <w:t>7. Reusable Update Prompts</w:t>
      </w:r>
    </w:p>
    <w:tbl>
      <w:tblPr>
        <w:tblW w:type="auto" w:w="0"/>
        <w:jc w:val="center"/>
        <w:tblLayout w:type="autofit"/>
        <w:tblLook w:firstColumn="1" w:firstRow="1" w:lastColumn="0" w:lastRow="0" w:noHBand="0" w:noVBand="1" w:val="04A0"/>
      </w:tblPr>
      <w:tblGrid>
        <w:gridCol w:w="10080"/>
      </w:tblGrid>
      <w:tr>
        <w:tc>
          <w:tcPr>
            <w:tcW w:type="dxa" w:w="10080"/>
            <w:shd w:fill="154E3E"/>
            <w:tcBorders>
              <w:bottom w:val="single" w:sz="8" w:color="154E3E"/>
            </w:tcBorders>
          </w:tcPr>
          <w:p>
            <w:pPr>
              <w:spacing w:after="0"/>
            </w:pPr>
            <w:r>
              <w:rPr>
                <w:b/>
                <w:color w:val="FFFFFF"/>
                <w:sz w:val="20"/>
              </w:rPr>
              <w:t>ASSET REPLACEMENT PROMPT</w:t>
            </w:r>
          </w:p>
        </w:tc>
      </w:tr>
      <w:tr>
        <w:tc>
          <w:tcPr>
            <w:tcW w:type="dxa" w:w="10080"/>
            <w:shd w:fill="E8F9FB"/>
            <w:tcBorders>
              <w:top w:val="single" w:sz="6" w:color="C9D8D2"/>
              <w:left w:val="single" w:sz="6" w:color="C9D8D2"/>
              <w:bottom w:val="single" w:sz="6" w:color="C9D8D2"/>
              <w:right w:val="single" w:sz="6" w:color="C9D8D2"/>
            </w:tcBorders>
          </w:tcPr>
          <w:p>
            <w:pPr>
              <w:pStyle w:val="PromptBlock"/>
            </w:pPr>
            <w:r>
              <w:t>Update the pSI Localization Atlas using newly supplied images or video. First identify the exact scientific role of each file and compare it with the current page. Replace an existing image only when the new file clearly represents the same experiment or anatomical evidence at higher quality. Do not add duplicate cards. Preserve the current page order, direct titles, and concise captions. Keep excluded items excluded unless explicitly requested. Rebuild all deliverables and verify that every retained image opens at full resolution and every video plays on GitHub Pages.</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154E3E"/>
            <w:tcBorders>
              <w:bottom w:val="single" w:sz="8" w:color="154E3E"/>
            </w:tcBorders>
          </w:tcPr>
          <w:p>
            <w:pPr>
              <w:spacing w:after="0"/>
            </w:pPr>
            <w:r>
              <w:rPr>
                <w:b/>
                <w:color w:val="FFFFFF"/>
                <w:sz w:val="20"/>
              </w:rPr>
              <w:t>SCIENTIFIC AND TECHNICAL QA PROMPT</w:t>
            </w:r>
          </w:p>
        </w:tc>
      </w:tr>
      <w:tr>
        <w:tc>
          <w:tcPr>
            <w:tcW w:type="dxa" w:w="10080"/>
            <w:shd w:fill="E8F9FB"/>
            <w:tcBorders>
              <w:top w:val="single" w:sz="6" w:color="C9D8D2"/>
              <w:left w:val="single" w:sz="6" w:color="C9D8D2"/>
              <w:bottom w:val="single" w:sz="6" w:color="C9D8D2"/>
              <w:right w:val="single" w:sz="6" w:color="C9D8D2"/>
            </w:tcBorders>
          </w:tcPr>
          <w:p>
            <w:pPr>
              <w:pStyle w:val="PromptBlock"/>
            </w:pPr>
            <w:r>
              <w:t>Audit the pSI Localization Atlas for scientific and technical accuracy. Confirm that pSI is described as posterior SI rather than a separate Allen structure; Franklin-Paxinos surgical coordinates are separated from Allen CCFv3 coordinates; the viewer uses the real Allen annotation; only one cyan contour is shown; Figure S8 is the output map; Figure S10 is the input map; Figure S9 is absent; AmgC/M is described as largely overlapping with pSI; HCN1 is not called a pSI-specific marker; ongoing spatial transcriptomics is stated accurately; and whole-SI cell counts are not presented as pSI-specific. Check for duplicate cards, removed titles, unnecessary promotional wording, broken media, incorrect asset paths, mobile layout problems, and incomplete production packages.</w:t>
            </w:r>
          </w:p>
        </w:tc>
      </w:tr>
    </w:tbl>
    <w:p>
      <w:pPr>
        <w:spacing w:after="0"/>
      </w:pPr>
    </w:p>
    <w:p>
      <w:pPr>
        <w:pStyle w:val="Heading1"/>
      </w:pPr>
      <w:r>
        <w:t>8. Final Validation Checklist</w:t>
      </w:r>
    </w:p>
    <w:p>
      <w:pPr>
        <w:ind w:left="259" w:hanging="259"/>
      </w:pPr>
      <w:r>
        <w:rPr>
          <w:b/>
          <w:color w:val="00B4C8"/>
        </w:rPr>
        <w:t xml:space="preserve">☐ </w:t>
      </w:r>
      <w:r>
        <w:t>pSI is defined as posterior SI and not as a separate Allen parcel.</w:t>
      </w:r>
    </w:p>
    <w:p>
      <w:pPr>
        <w:ind w:left="259" w:hanging="259"/>
      </w:pPr>
      <w:r>
        <w:rPr>
          <w:b/>
          <w:color w:val="00B4C8"/>
        </w:rPr>
        <w:t xml:space="preserve">☐ </w:t>
      </w:r>
      <w:r>
        <w:t>Franklin-Paxinos surgical coordinates are separated from Allen viewer coordinates.</w:t>
      </w:r>
    </w:p>
    <w:p>
      <w:pPr>
        <w:ind w:left="259" w:hanging="259"/>
      </w:pPr>
      <w:r>
        <w:rPr>
          <w:b/>
          <w:color w:val="00B4C8"/>
        </w:rPr>
        <w:t xml:space="preserve">☐ </w:t>
      </w:r>
      <w:r>
        <w:t>The viewer loads real Allen CCFv3 histology and annotation.</w:t>
      </w:r>
    </w:p>
    <w:p>
      <w:pPr>
        <w:ind w:left="259" w:hanging="259"/>
      </w:pPr>
      <w:r>
        <w:rPr>
          <w:b/>
          <w:color w:val="00B4C8"/>
        </w:rPr>
        <w:t xml:space="preserve">☐ </w:t>
      </w:r>
      <w:r>
        <w:t>Structure lookup uses the original Allen annotation at the crosshair.</w:t>
      </w:r>
    </w:p>
    <w:p>
      <w:pPr>
        <w:ind w:left="259" w:hanging="259"/>
      </w:pPr>
      <w:r>
        <w:rPr>
          <w:b/>
          <w:color w:val="00B4C8"/>
        </w:rPr>
        <w:t xml:space="preserve">☐ </w:t>
      </w:r>
      <w:r>
        <w:t>Only one cyan posterior-SI contour is displayed.</w:t>
      </w:r>
    </w:p>
    <w:p>
      <w:pPr>
        <w:ind w:left="259" w:hanging="259"/>
      </w:pPr>
      <w:r>
        <w:rPr>
          <w:b/>
          <w:color w:val="00B4C8"/>
        </w:rPr>
        <w:t xml:space="preserve">☐ </w:t>
      </w:r>
      <w:r>
        <w:t>The contour line is visible but not oversized.</w:t>
      </w:r>
    </w:p>
    <w:p>
      <w:pPr>
        <w:ind w:left="259" w:hanging="259"/>
      </w:pPr>
      <w:r>
        <w:rPr>
          <w:b/>
          <w:color w:val="00B4C8"/>
        </w:rPr>
        <w:t xml:space="preserve">☐ </w:t>
      </w:r>
      <w:r>
        <w:t>Page 2 uses direct anatomical and histological instructions.</w:t>
      </w:r>
    </w:p>
    <w:p>
      <w:pPr>
        <w:ind w:left="259" w:hanging="259"/>
      </w:pPr>
      <w:r>
        <w:rPr>
          <w:b/>
          <w:color w:val="00B4C8"/>
        </w:rPr>
        <w:t xml:space="preserve">☐ </w:t>
      </w:r>
      <w:r>
        <w:t>Page 3 has no duplicate localization cards.</w:t>
      </w:r>
    </w:p>
    <w:p>
      <w:pPr>
        <w:ind w:left="259" w:hanging="259"/>
      </w:pPr>
      <w:r>
        <w:rPr>
          <w:b/>
          <w:color w:val="00B4C8"/>
        </w:rPr>
        <w:t xml:space="preserve">☐ </w:t>
      </w:r>
      <w:r>
        <w:t>Figure S8 is used for outputs and Figure S10 for inputs.</w:t>
      </w:r>
    </w:p>
    <w:p>
      <w:pPr>
        <w:ind w:left="259" w:hanging="259"/>
      </w:pPr>
      <w:r>
        <w:rPr>
          <w:b/>
          <w:color w:val="00B4C8"/>
        </w:rPr>
        <w:t xml:space="preserve">☐ </w:t>
      </w:r>
      <w:r>
        <w:t>Figure S9 and all currently excluded cards are absent.</w:t>
      </w:r>
    </w:p>
    <w:p>
      <w:pPr>
        <w:ind w:left="259" w:hanging="259"/>
      </w:pPr>
      <w:r>
        <w:rPr>
          <w:b/>
          <w:color w:val="00B4C8"/>
        </w:rPr>
        <w:t xml:space="preserve">☐ </w:t>
      </w:r>
      <w:r>
        <w:t>The human SI panel follows the VMHvl terminal panel.</w:t>
      </w:r>
    </w:p>
    <w:p>
      <w:pPr>
        <w:ind w:left="259" w:hanging="259"/>
      </w:pPr>
      <w:r>
        <w:rPr>
          <w:b/>
          <w:color w:val="00B4C8"/>
        </w:rPr>
        <w:t xml:space="preserve">☐ </w:t>
      </w:r>
      <w:r>
        <w:t>High-resolution images open correctly.</w:t>
      </w:r>
    </w:p>
    <w:p>
      <w:pPr>
        <w:ind w:left="259" w:hanging="259"/>
      </w:pPr>
      <w:r>
        <w:rPr>
          <w:b/>
          <w:color w:val="00B4C8"/>
        </w:rPr>
        <w:t xml:space="preserve">☐ </w:t>
      </w:r>
      <w:r>
        <w:t>The SI video plays in a standard browser and has a fallback link.</w:t>
      </w:r>
    </w:p>
    <w:p>
      <w:pPr>
        <w:ind w:left="259" w:hanging="259"/>
      </w:pPr>
      <w:r>
        <w:rPr>
          <w:b/>
          <w:color w:val="00B4C8"/>
        </w:rPr>
        <w:t xml:space="preserve">☐ </w:t>
      </w:r>
      <w:r>
        <w:t>Citations use the required author formats.</w:t>
      </w:r>
    </w:p>
    <w:p>
      <w:pPr>
        <w:ind w:left="259" w:hanging="259"/>
      </w:pPr>
      <w:r>
        <w:rPr>
          <w:b/>
          <w:color w:val="00B4C8"/>
        </w:rPr>
        <w:t xml:space="preserve">☐ </w:t>
      </w:r>
      <w:r>
        <w:t>No promotional, build-oriented, or template-like language remains.</w:t>
      </w:r>
    </w:p>
    <w:p>
      <w:pPr>
        <w:ind w:left="259" w:hanging="259"/>
      </w:pPr>
      <w:r>
        <w:rPr>
          <w:b/>
          <w:color w:val="00B4C8"/>
        </w:rPr>
        <w:t xml:space="preserve">☐ </w:t>
      </w:r>
      <w:r>
        <w:t>All internal links and media paths resolve.</w:t>
      </w:r>
    </w:p>
    <w:p>
      <w:pPr>
        <w:ind w:left="259" w:hanging="259"/>
      </w:pPr>
      <w:r>
        <w:rPr>
          <w:b/>
          <w:color w:val="00B4C8"/>
        </w:rPr>
        <w:t xml:space="preserve">☐ </w:t>
      </w:r>
      <w:r>
        <w:t>Tests and type checking pass.</w:t>
      </w:r>
    </w:p>
    <w:p>
      <w:pPr>
        <w:ind w:left="259" w:hanging="259"/>
      </w:pPr>
      <w:r>
        <w:rPr>
          <w:b/>
          <w:color w:val="00B4C8"/>
        </w:rPr>
        <w:t xml:space="preserve">☐ </w:t>
      </w:r>
      <w:r>
        <w:t>Production and standalone builds complete successfully.</w:t>
      </w:r>
    </w:p>
    <w:p>
      <w:pPr>
        <w:ind w:left="259" w:hanging="259"/>
      </w:pPr>
      <w:r>
        <w:rPr>
          <w:b/>
          <w:color w:val="00B4C8"/>
        </w:rPr>
        <w:t xml:space="preserve">☐ </w:t>
      </w:r>
      <w:r>
        <w:t>Desktop and mobile layouts are reviewed.</w:t>
      </w:r>
    </w:p>
    <w:p>
      <w:pPr>
        <w:ind w:left="259" w:hanging="259"/>
      </w:pPr>
      <w:r>
        <w:rPr>
          <w:b/>
          <w:color w:val="00B4C8"/>
        </w:rPr>
        <w:t xml:space="preserve">☐ </w:t>
      </w:r>
      <w:r>
        <w:t>Production, standalone, and source ZIP files pass integrity checks.</w:t>
      </w:r>
    </w:p>
    <w:p>
      <w:pPr>
        <w:pStyle w:val="Heading1"/>
      </w:pPr>
      <w:r>
        <w:t>9. Deployment Target</w:t>
      </w:r>
    </w:p>
    <w:p>
      <w:pPr>
        <w:pStyle w:val="ListBullet"/>
        <w:spacing w:after="30"/>
      </w:pPr>
      <w:r>
        <w:t>Repository: https://github.com/neugun/pSI-atlas</w:t>
      </w:r>
    </w:p>
    <w:p>
      <w:pPr>
        <w:pStyle w:val="ListBullet"/>
        <w:spacing w:after="30"/>
      </w:pPr>
      <w:r>
        <w:t>Public site: https://neugun.github.io/pSI-atlas/</w:t>
      </w:r>
    </w:p>
    <w:p>
      <w:pPr>
        <w:pStyle w:val="ListBullet"/>
        <w:spacing w:after="30"/>
      </w:pPr>
      <w:r>
        <w:t>GitHub Pages source: main branch, repository root.</w:t>
      </w:r>
    </w:p>
    <w:p>
      <w:pPr>
        <w:pStyle w:val="ListBullet"/>
        <w:spacing w:after="30"/>
      </w:pPr>
      <w:r>
        <w:t>Production root should contain index.html, .nojekyll, and the complete assets directory.</w:t>
      </w:r>
    </w:p>
    <w:p>
      <w:pPr>
        <w:pStyle w:val="ListBullet"/>
        <w:spacing w:after="30"/>
      </w:pPr>
      <w:r>
        <w:t>To publish an update, replace the existing production files and commit the changes.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760"/>
        <w:sz w:val="16"/>
      </w:rPr>
      <w:t>Rebuild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760"/>
        <w:sz w:val="16"/>
      </w:rPr>
      <w:t>pSI Localization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A27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4E3E"/>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44E3E"/>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44E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E3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Aptos" w:hAnsi="Aptos"/>
      <w:color w:val="5A6760"/>
      <w:sz w:val="22"/>
    </w:rPr>
  </w:style>
  <w:style w:type="paragraph" w:customStyle="1" w:styleId="PromptBlock">
    <w:name w:val="Prompt Block"/>
    <w:pPr>
      <w:spacing w:before="60" w:after="60"/>
      <w:ind w:left="288" w:right="288"/>
    </w:pPr>
    <w:rPr>
      <w:rFonts w:ascii="Aptos" w:hAnsi="Aptos"/>
      <w:color w:val="1A2723"/>
      <w:sz w:val="19"/>
    </w:rPr>
  </w:style>
  <w:style w:type="paragraph" w:customStyle="1" w:styleId="SmallNote">
    <w:name w:val="Small Note"/>
    <w:rPr>
      <w:rFonts w:ascii="Aptos" w:hAnsi="Aptos"/>
      <w:color w:val="5A676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