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0c48dc6e2ac4ed58ae3d8a06376ed3909eb24c0"/>
    <w:p>
      <w:pPr>
        <w:pStyle w:val="Heading1"/>
      </w:pPr>
      <w:r>
        <w:t xml:space="preserve">The New Value Equation in Professional Services</w:t>
      </w:r>
    </w:p>
    <w:bookmarkStart w:id="21" w:name="Xd373d95f325e3530d5fd0645921d4434f925e02"/>
    <w:p>
      <w:pPr>
        <w:pStyle w:val="Heading2"/>
      </w:pPr>
      <w:r>
        <w:t xml:space="preserve">Culture, Talent, and Growth in the Private Equity Era</w:t>
      </w:r>
    </w:p>
    <w:bookmarkStart w:id="20" w:name="executive-summary"/>
    <w:p>
      <w:pPr>
        <w:pStyle w:val="Heading3"/>
      </w:pPr>
      <w:r>
        <w:t xml:space="preserve">Executive Summary</w:t>
      </w:r>
    </w:p>
    <w:p>
      <w:pPr>
        <w:pStyle w:val="FirstParagraph"/>
      </w:pPr>
      <w:r>
        <w:t xml:space="preserve">Professional services firms are operating in a fundamentally different competitive environment. Private equity is no longer an occasional capital partner. In many segments, particularly accounting and advisory, it is becoming table stakes for firms that want to scale, modernize, and compete at the highest levels.</w:t>
      </w:r>
    </w:p>
    <w:p>
      <w:pPr>
        <w:pStyle w:val="BodyText"/>
      </w:pPr>
      <w:r>
        <w:t xml:space="preserve">This shift has changed how firms are evaluated. Investors are not only assessing financial performance and market position. They are examining whether a firm possesses a culture capable of attracting, developing, and retaining top talent without relying on coercive mechanisms such as restrictive non‑compete agreements. Talent durability and cultural strength are now seen as core value drivers worthy of investment.</w:t>
      </w:r>
    </w:p>
    <w:p>
      <w:pPr>
        <w:pStyle w:val="BodyText"/>
      </w:pPr>
      <w:r>
        <w:t xml:space="preserve">Managing partners increasingly recognize the magnitude of this transition. They understand that building a firm attractive to private equity, whether for immediate partnership or long‑term optionality, requires more than incremental policy changes. It requires a deliberate evolution of culture, operating model, and service portfolio.</w:t>
      </w:r>
    </w:p>
    <w:p>
      <w:pPr>
        <w:pStyle w:val="BodyText"/>
      </w:pPr>
      <w:r>
        <w:t xml:space="preserve">This paper outlines why conventional approaches are insufficient, why accounting and advisory firms sit at the center of this shift, and how firms can responsibly manufacture cultural change through strategic service expansion. Throughout, generational communication expectations, particularly those of Generation Z entering the workforce alongside Generation X leadership, serve as a practical lens for understanding how culture is transmitted and reinforced.</w:t>
      </w:r>
    </w:p>
    <w:p>
      <w:r>
        <w:pict>
          <v:rect style="width:0;height:1.5pt" o:hralign="center" o:hrstd="t" o:hr="t"/>
        </w:pict>
      </w:r>
    </w:p>
    <w:bookmarkEnd w:id="20"/>
    <w:bookmarkEnd w:id="21"/>
    <w:bookmarkStart w:id="22" w:name="Xf788ce7604326fe1a2e5e8725c9e453c9ead059"/>
    <w:p>
      <w:pPr>
        <w:pStyle w:val="Heading2"/>
      </w:pPr>
      <w:r>
        <w:t xml:space="preserve">1. A New Competitive Environment for Professional Services</w:t>
      </w:r>
    </w:p>
    <w:p>
      <w:pPr>
        <w:pStyle w:val="FirstParagraph"/>
      </w:pPr>
      <w:r>
        <w:t xml:space="preserve">Private equity participation in professional services has accelerated. Scale, technology investment, and geographic expansion increasingly depend on access to capital and strategic partnership. As a result, firms that lack a credible pathway to PE readiness risk falling behind more modern, better‑capitalized competitors.</w:t>
      </w:r>
    </w:p>
    <w:p>
      <w:pPr>
        <w:pStyle w:val="BodyText"/>
      </w:pPr>
      <w:r>
        <w:t xml:space="preserve">In this environment, cultural quality is no longer an internal matter alone. It is part of market positioning. Investors recognize that professional services firms derive enterprise value from people, relationships, and expertise. A firm that struggles to retain talent or relies heavily on contractual constraints to prevent departures signals fragility. A firm that retains people because they are engaged, challenged, and valued signals resilience and scalability.</w:t>
      </w:r>
    </w:p>
    <w:p>
      <w:r>
        <w:pict>
          <v:rect style="width:0;height:1.5pt" o:hralign="center" o:hrstd="t" o:hr="t"/>
        </w:pict>
      </w:r>
    </w:p>
    <w:bookmarkEnd w:id="22"/>
    <w:bookmarkStart w:id="23" w:name="Xafbed8d7ea77675c72f707d4fd26d004a4e9d00"/>
    <w:p>
      <w:pPr>
        <w:pStyle w:val="Heading2"/>
      </w:pPr>
      <w:r>
        <w:t xml:space="preserve">2. How Private Equity Now Evaluates Talent and Culture</w:t>
      </w:r>
    </w:p>
    <w:p>
      <w:pPr>
        <w:pStyle w:val="FirstParagraph"/>
      </w:pPr>
      <w:r>
        <w:t xml:space="preserve">Private equity firms have learned that financial engineering cannot compensate for weak human systems. They increasingly assess whether a firm’s culture supports performance without coercion. Key signals include:</w:t>
      </w:r>
    </w:p>
    <w:p>
      <w:pPr>
        <w:pStyle w:val="BodyText"/>
      </w:pPr>
      <w:r>
        <w:t xml:space="preserve">• The presence of meaningful career development and leadership pathways</w:t>
      </w:r>
      <w:r>
        <w:br/>
      </w:r>
      <w:r>
        <w:t xml:space="preserve">• Evidence that professionals choose to stay for reasons beyond compensation</w:t>
      </w:r>
      <w:r>
        <w:br/>
      </w:r>
      <w:r>
        <w:t xml:space="preserve">• Collaboration across service lines rather than siloed competition</w:t>
      </w:r>
      <w:r>
        <w:br/>
      </w:r>
      <w:r>
        <w:t xml:space="preserve">• Transparent, modern communication practices that build trust</w:t>
      </w:r>
    </w:p>
    <w:p>
      <w:pPr>
        <w:pStyle w:val="BodyText"/>
      </w:pPr>
      <w:r>
        <w:t xml:space="preserve">Firms that depend primarily on restrictive employment agreements to retain staff are viewed as higher risk. These mechanisms may delay departures but often mask disengagement. Investors favor organizations where loyalty is earned through opportunity, purpose, and professional growth.</w:t>
      </w:r>
    </w:p>
    <w:p>
      <w:r>
        <w:pict>
          <v:rect style="width:0;height:1.5pt" o:hralign="center" o:hrstd="t" o:hr="t"/>
        </w:pict>
      </w:r>
    </w:p>
    <w:bookmarkEnd w:id="23"/>
    <w:bookmarkStart w:id="24" w:name="X212515d5f7328a9b2014aa4daa0429bfabcf978"/>
    <w:p>
      <w:pPr>
        <w:pStyle w:val="Heading2"/>
      </w:pPr>
      <w:r>
        <w:t xml:space="preserve">3. Managing Partner Awareness and the Desire for Readiness</w:t>
      </w:r>
    </w:p>
    <w:p>
      <w:pPr>
        <w:pStyle w:val="FirstParagraph"/>
      </w:pPr>
      <w:r>
        <w:t xml:space="preserve">Managing partners are increasingly aware that cultural strength affects both firm performance and future strategic options. Even firms not actively pursuing private equity investment understand that being</w:t>
      </w:r>
      <w:r>
        <w:t xml:space="preserve"> </w:t>
      </w:r>
      <w:r>
        <w:t xml:space="preserve">“investable”</w:t>
      </w:r>
      <w:r>
        <w:t xml:space="preserve"> </w:t>
      </w:r>
      <w:r>
        <w:t xml:space="preserve">is a competitive advantage.</w:t>
      </w:r>
    </w:p>
    <w:p>
      <w:pPr>
        <w:pStyle w:val="BodyText"/>
      </w:pPr>
      <w:r>
        <w:t xml:space="preserve">Leaders want their firms to be seen as forward‑looking, well‑run, and capable of attracting ambitious professionals. They recognize that culture cannot be declared through mission statements. It must be experienced daily through how work is organized, how people communicate, and what kinds of opportunities are available.</w:t>
      </w:r>
    </w:p>
    <w:p>
      <w:r>
        <w:pict>
          <v:rect style="width:0;height:1.5pt" o:hralign="center" o:hrstd="t" o:hr="t"/>
        </w:pict>
      </w:r>
    </w:p>
    <w:bookmarkEnd w:id="24"/>
    <w:bookmarkStart w:id="25" w:name="Xcc41bb86f77c28d390278bac5e4ff1eb7c27455"/>
    <w:p>
      <w:pPr>
        <w:pStyle w:val="Heading2"/>
      </w:pPr>
      <w:r>
        <w:t xml:space="preserve">4. Accounting and Advisory Firms in the Crosshairs</w:t>
      </w:r>
    </w:p>
    <w:p>
      <w:pPr>
        <w:pStyle w:val="FirstParagraph"/>
      </w:pPr>
      <w:r>
        <w:t xml:space="preserve">Accounting and advisory firms are at the center of this shift. They face rising technology expectations from clients, increasing competition from well‑funded platforms, and a workforce that evaluates employers differently than prior generations.</w:t>
      </w:r>
    </w:p>
    <w:p>
      <w:pPr>
        <w:pStyle w:val="BodyText"/>
      </w:pPr>
      <w:r>
        <w:t xml:space="preserve">These firms must modernize not only tools and services, but also the environment in which professionals operate. Younger professionals, particularly Gen Z, expect clear communication, frequent feedback, visible leadership, and meaningful development opportunities. Gen X leaders, who often occupy managing partner and senior leadership roles, bring deep experience but may rely on communication and management norms shaped in a different era.</w:t>
      </w:r>
    </w:p>
    <w:p>
      <w:pPr>
        <w:pStyle w:val="BodyText"/>
      </w:pPr>
      <w:r>
        <w:t xml:space="preserve">Bridging this gap is not cosmetic. It influences engagement, retention, and the firm’s ability to scale new services.</w:t>
      </w:r>
    </w:p>
    <w:p>
      <w:r>
        <w:pict>
          <v:rect style="width:0;height:1.5pt" o:hralign="center" o:hrstd="t" o:hr="t"/>
        </w:pict>
      </w:r>
    </w:p>
    <w:bookmarkEnd w:id="25"/>
    <w:bookmarkStart w:id="26" w:name="why-conventional-hr-is-not-enough"/>
    <w:p>
      <w:pPr>
        <w:pStyle w:val="Heading2"/>
      </w:pPr>
      <w:r>
        <w:t xml:space="preserve">5. Why Conventional HR Is Not Enough</w:t>
      </w:r>
    </w:p>
    <w:p>
      <w:pPr>
        <w:pStyle w:val="FirstParagraph"/>
      </w:pPr>
      <w:r>
        <w:t xml:space="preserve">Traditional human resources functions play an important role in compliance, benefits, and policy. However, cultural transformation at the scale now required cannot be delegated solely to HR.</w:t>
      </w:r>
    </w:p>
    <w:p>
      <w:pPr>
        <w:pStyle w:val="BodyText"/>
      </w:pPr>
      <w:r>
        <w:t xml:space="preserve">Culture in professional services firms is shaped by:</w:t>
      </w:r>
    </w:p>
    <w:p>
      <w:pPr>
        <w:pStyle w:val="BodyText"/>
      </w:pPr>
      <w:r>
        <w:t xml:space="preserve">• The nature of the services offered</w:t>
      </w:r>
      <w:r>
        <w:br/>
      </w:r>
      <w:r>
        <w:t xml:space="preserve">• The kinds of problems professionals solve</w:t>
      </w:r>
      <w:r>
        <w:br/>
      </w:r>
      <w:r>
        <w:t xml:space="preserve">• The technologies they use</w:t>
      </w:r>
      <w:r>
        <w:br/>
      </w:r>
      <w:r>
        <w:t xml:space="preserve">• The collaboration patterns between teams</w:t>
      </w:r>
    </w:p>
    <w:p>
      <w:pPr>
        <w:pStyle w:val="BodyText"/>
      </w:pPr>
      <w:r>
        <w:t xml:space="preserve">Without changing these structural elements, attempts to shift culture through top‑down directives or training programs often produce limited results. Professionals respond more to the work they are doing and the opportunities they see than to stated values alone.</w:t>
      </w:r>
    </w:p>
    <w:p>
      <w:r>
        <w:pict>
          <v:rect style="width:0;height:1.5pt" o:hralign="center" o:hrstd="t" o:hr="t"/>
        </w:pict>
      </w:r>
    </w:p>
    <w:bookmarkEnd w:id="26"/>
    <w:bookmarkStart w:id="30" w:name="Xadfbd1f89a11f02835ca52a5a1a0907ee61993e"/>
    <w:p>
      <w:pPr>
        <w:pStyle w:val="Heading2"/>
      </w:pPr>
      <w:r>
        <w:t xml:space="preserve">6. Manufacturing Cultural Change Through Service Strategy</w:t>
      </w:r>
    </w:p>
    <w:p>
      <w:pPr>
        <w:pStyle w:val="FirstParagraph"/>
      </w:pPr>
      <w:r>
        <w:t xml:space="preserve">A more effective approach is to manufacture cultural evolution through the deliberate expansion of the firm’s service portfolio. By introducing new, strategically chosen service lines, firms can create environments that naturally attract, develop, and retain modern talent while influencing the broader culture.</w:t>
      </w:r>
    </w:p>
    <w:p>
      <w:pPr>
        <w:pStyle w:val="BodyText"/>
      </w:pPr>
      <w:r>
        <w:t xml:space="preserve">One powerful example is the introduction of an ERP implementation practice built on contemporary cloud and automation technologies. This type of practice achieves multiple objectives simultaneously:</w:t>
      </w:r>
    </w:p>
    <w:bookmarkStart w:id="27" w:name="revenue-growth"/>
    <w:p>
      <w:pPr>
        <w:pStyle w:val="Heading3"/>
      </w:pPr>
      <w:r>
        <w:t xml:space="preserve">Revenue Growth</w:t>
      </w:r>
    </w:p>
    <w:p>
      <w:pPr>
        <w:pStyle w:val="FirstParagraph"/>
      </w:pPr>
      <w:r>
        <w:t xml:space="preserve">ERP and digital transformation work opens new, high‑value revenue streams aligned with client demand for modernization.</w:t>
      </w:r>
    </w:p>
    <w:bookmarkEnd w:id="27"/>
    <w:bookmarkStart w:id="28" w:name="environmental-change"/>
    <w:p>
      <w:pPr>
        <w:pStyle w:val="Heading3"/>
      </w:pPr>
      <w:r>
        <w:t xml:space="preserve">Environmental Change</w:t>
      </w:r>
    </w:p>
    <w:p>
      <w:pPr>
        <w:pStyle w:val="FirstParagraph"/>
      </w:pPr>
      <w:r>
        <w:t xml:space="preserve">Working in technology‑enabled transformation environments exposes professionals to cross‑functional collaboration, agile methodologies, and modern tools. This shifts day‑to‑day experience in ways that traditional policy changes cannot.</w:t>
      </w:r>
    </w:p>
    <w:bookmarkEnd w:id="28"/>
    <w:bookmarkStart w:id="29" w:name="talent-attraction-and-retention"/>
    <w:p>
      <w:pPr>
        <w:pStyle w:val="Heading3"/>
      </w:pPr>
      <w:r>
        <w:t xml:space="preserve">Talent Attraction and Retention</w:t>
      </w:r>
    </w:p>
    <w:p>
      <w:pPr>
        <w:pStyle w:val="FirstParagraph"/>
      </w:pPr>
      <w:r>
        <w:t xml:space="preserve">Ambitious professionals are drawn to work that is challenging, forward‑looking, and meaningful. When they find an environment where they are learning, trusted, and part of something growing, loyalty deepens. Leaving such an environment for marginal increases in title or pay becomes a harder decision.</w:t>
      </w:r>
    </w:p>
    <w:p>
      <w:pPr>
        <w:pStyle w:val="BodyText"/>
      </w:pPr>
      <w:r>
        <w:t xml:space="preserve">Over time, the norms and behaviors developed in these new practices spread across the firm. Communication becomes more frequent and transparent. Collaboration increases. Expectations around development and leadership evolve. Culture changes not through decree, but through lived experience.</w:t>
      </w:r>
    </w:p>
    <w:p>
      <w:r>
        <w:pict>
          <v:rect style="width:0;height:1.5pt" o:hralign="center" o:hrstd="t" o:hr="t"/>
        </w:pict>
      </w:r>
    </w:p>
    <w:bookmarkEnd w:id="29"/>
    <w:bookmarkEnd w:id="30"/>
    <w:bookmarkStart w:id="31" w:name="X9d6d08cb9a078b3221e36a596eae4a557485a51"/>
    <w:p>
      <w:pPr>
        <w:pStyle w:val="Heading2"/>
      </w:pPr>
      <w:r>
        <w:t xml:space="preserve">7. Communication as a Cultural Transmission Mechanism</w:t>
      </w:r>
    </w:p>
    <w:p>
      <w:pPr>
        <w:pStyle w:val="FirstParagraph"/>
      </w:pPr>
      <w:r>
        <w:t xml:space="preserve">Generational communication differences provide a practical illustration of how culture is reinforced. Gen Z professionals often prefer concise, transparent, and frequent communication, while Gen X leaders may be accustomed to more formal and less frequent exchanges.</w:t>
      </w:r>
    </w:p>
    <w:p>
      <w:pPr>
        <w:pStyle w:val="BodyText"/>
      </w:pPr>
      <w:r>
        <w:t xml:space="preserve">When firms modernize communication practices to support new service environments, they also strengthen cultural cohesion. Regular feedback, clear updates, and visible leadership presence help build trust across generations. These habits support the kind of culture investors value: open, accountable, and performance‑oriented without being fear‑driven.</w:t>
      </w:r>
    </w:p>
    <w:p>
      <w:r>
        <w:pict>
          <v:rect style="width:0;height:1.5pt" o:hralign="center" o:hrstd="t" o:hr="t"/>
        </w:pict>
      </w:r>
    </w:p>
    <w:bookmarkEnd w:id="31"/>
    <w:bookmarkStart w:id="32" w:name="Xb66bd10bc9c28cac5b16954961fbb36c6c2e732"/>
    <w:p>
      <w:pPr>
        <w:pStyle w:val="Heading2"/>
      </w:pPr>
      <w:r>
        <w:t xml:space="preserve">8. What This Means for Managing Partners Now</w:t>
      </w:r>
    </w:p>
    <w:p>
      <w:pPr>
        <w:pStyle w:val="FirstParagraph"/>
      </w:pPr>
      <w:r>
        <w:t xml:space="preserve">Managing partners do not need to choose between preserving firm identity and modernizing for the future. The imperative is to evolve deliberately and responsibly.</w:t>
      </w:r>
    </w:p>
    <w:p>
      <w:pPr>
        <w:pStyle w:val="BodyText"/>
      </w:pPr>
      <w:r>
        <w:t xml:space="preserve">Immediate priorities should include:</w:t>
      </w:r>
    </w:p>
    <w:p>
      <w:pPr>
        <w:pStyle w:val="BodyText"/>
      </w:pPr>
      <w:r>
        <w:t xml:space="preserve">• Assessing whether the current service portfolio creates an environment that ambitious professionals want to join and stay in</w:t>
      </w:r>
      <w:r>
        <w:br/>
      </w:r>
      <w:r>
        <w:t xml:space="preserve">• Identifying opportunities to introduce modern, growth-oriented practices that change day-to-day work in positive ways</w:t>
      </w:r>
      <w:r>
        <w:br/>
      </w:r>
      <w:r>
        <w:t xml:space="preserve">• Evaluating communication rhythms between leadership and staff to ensure clarity, transparency, and regular feedback</w:t>
      </w:r>
      <w:r>
        <w:br/>
      </w:r>
      <w:r>
        <w:t xml:space="preserve">• Reducing reliance on restrictive retention mechanisms and increasing focus on development, opportunity, and purpose</w:t>
      </w:r>
    </w:p>
    <w:p>
      <w:pPr>
        <w:pStyle w:val="BodyText"/>
      </w:pPr>
      <w:r>
        <w:t xml:space="preserve">These steps move cultural evolution from abstract aspiration to operational reality. They also strengthen the firm’s credibility with both talent and potential capital partners.</w:t>
      </w:r>
    </w:p>
    <w:p>
      <w:r>
        <w:pict>
          <v:rect style="width:0;height:1.5pt" o:hralign="center" o:hrstd="t" o:hr="t"/>
        </w:pict>
      </w:r>
    </w:p>
    <w:bookmarkEnd w:id="32"/>
    <w:bookmarkStart w:id="33" w:name="the-futurecount-perspective"/>
    <w:p>
      <w:pPr>
        <w:pStyle w:val="Heading2"/>
      </w:pPr>
      <w:r>
        <w:t xml:space="preserve">9. The FutureCount Perspective</w:t>
      </w:r>
    </w:p>
    <w:p>
      <w:pPr>
        <w:pStyle w:val="FirstParagraph"/>
      </w:pPr>
      <w:r>
        <w:t xml:space="preserve">FutureCount focuses on the intersection of service strategy, talent environment, and operational performance in professional services firms. We believe cultural strength is not created through slogans or policies alone. It is built by shaping the work professionals do, the tools they use, and the way leaders engage with them every day.</w:t>
      </w:r>
    </w:p>
    <w:p>
      <w:pPr>
        <w:pStyle w:val="BodyText"/>
      </w:pPr>
      <w:r>
        <w:t xml:space="preserve">By aligning service expansion, leadership communication, and talent development, firms can create environments where professionals choose to stay, grow, and contribute at a high level. This not only improves performance today, it increases strategic optionality for tomorrow — including the ability to attract high-quality private equity partnership on favorable terms.</w:t>
      </w:r>
    </w:p>
    <w:p>
      <w:r>
        <w:pict>
          <v:rect style="width:0;height:1.5pt" o:hralign="center" o:hrstd="t" o:hr="t"/>
        </w:pict>
      </w:r>
    </w:p>
    <w:bookmarkEnd w:id="33"/>
    <w:bookmarkStart w:id="34" w:name="conclusion"/>
    <w:p>
      <w:pPr>
        <w:pStyle w:val="Heading2"/>
      </w:pPr>
      <w:r>
        <w:t xml:space="preserve">Conclusion</w:t>
      </w:r>
    </w:p>
    <w:p>
      <w:pPr>
        <w:pStyle w:val="FirstParagraph"/>
      </w:pPr>
      <w:r>
        <w:t xml:space="preserve">Professional services firms face a structural shift in how value is created and evaluated. Private equity interest has raised the bar for cultural strength and talent durability. Accounting and advisory firms in particular must respond with strategies that go beyond traditional HR interventions.</w:t>
      </w:r>
    </w:p>
    <w:p>
      <w:pPr>
        <w:pStyle w:val="BodyText"/>
      </w:pPr>
      <w:r>
        <w:t xml:space="preserve">By expanding into modern service lines such as ERP implementation and digital transformation, firms can drive revenue growth while simultaneously reshaping the environment in which professionals work. This approach attracts and retains top talent, strengthens communication norms, and builds a culture that is investable, resilient, and aligned with the expectations of the next generation of professionals.</w:t>
      </w:r>
    </w:p>
    <w:p>
      <w:pPr>
        <w:pStyle w:val="BodyText"/>
      </w:pPr>
      <w:r>
        <w:t xml:space="preserve">Cultural change at this scale cannot be forced from the top alone. It must be built into the work itself. Firms that understand this will be better positioned to compete, grow, and partner with capital on their own terms.</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2026-01-27T17:09:53Z</dcterms:created>
  <dcterms:modified xsi:type="dcterms:W3CDTF">2026-01-27T17:09:53Z</dcterms:modified>
</cp:coreProperties>
</file>

<file path=docProps/custom.xml><?xml version="1.0" encoding="utf-8"?>
<Properties xmlns="http://schemas.openxmlformats.org/officeDocument/2006/custom-properties" xmlns:vt="http://schemas.openxmlformats.org/officeDocument/2006/docPropsVTypes"/>
</file>